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DD85E">
      <w:pPr>
        <w:spacing w:line="600" w:lineRule="exact"/>
        <w:jc w:val="center"/>
        <w:rPr>
          <w:rStyle w:val="17"/>
          <w:rFonts w:ascii="Times New Roman" w:hAnsi="Times New Roman" w:eastAsia="方正小标宋_GBK" w:cs="Times New Roman"/>
          <w:sz w:val="44"/>
          <w:szCs w:val="44"/>
          <w:highlight w:val="none"/>
          <w:shd w:val="clear" w:color="auto" w:fill="auto"/>
        </w:rPr>
      </w:pPr>
      <w:r>
        <w:rPr>
          <w:rStyle w:val="17"/>
          <w:rFonts w:ascii="Times New Roman" w:hAnsi="Times New Roman" w:eastAsia="方正小标宋_GBK" w:cs="Times New Roman"/>
          <w:sz w:val="44"/>
          <w:szCs w:val="44"/>
          <w:highlight w:val="none"/>
          <w:shd w:val="clear" w:color="auto" w:fill="auto"/>
        </w:rPr>
        <w:t>桂林市</w:t>
      </w:r>
      <w:r>
        <w:rPr>
          <w:rStyle w:val="17"/>
          <w:rFonts w:ascii="Times New Roman" w:hAnsi="Times New Roman" w:eastAsia="方正小标宋_GBK" w:cs="Times New Roman"/>
          <w:sz w:val="44"/>
          <w:szCs w:val="44"/>
          <w:highlight w:val="none"/>
          <w:shd w:val="clear" w:color="auto" w:fill="auto"/>
        </w:rPr>
        <w:t>秀峰区</w:t>
      </w:r>
      <w:r>
        <w:rPr>
          <w:rStyle w:val="17"/>
          <w:rFonts w:ascii="Times New Roman" w:hAnsi="Times New Roman" w:eastAsia="方正小标宋_GBK" w:cs="Times New Roman"/>
          <w:sz w:val="44"/>
          <w:szCs w:val="44"/>
          <w:highlight w:val="none"/>
          <w:shd w:val="clear" w:color="auto" w:fill="auto"/>
        </w:rPr>
        <w:t>琴潭片区城中村改造项目</w:t>
      </w:r>
    </w:p>
    <w:p w14:paraId="205BDF25">
      <w:pPr>
        <w:spacing w:line="600" w:lineRule="exact"/>
        <w:jc w:val="center"/>
        <w:rPr>
          <w:rStyle w:val="17"/>
          <w:rFonts w:ascii="Times New Roman" w:hAnsi="Times New Roman" w:eastAsia="方正小标宋_GBK" w:cs="Times New Roman"/>
          <w:sz w:val="44"/>
          <w:szCs w:val="44"/>
          <w:highlight w:val="none"/>
          <w:shd w:val="clear" w:color="auto" w:fill="auto"/>
        </w:rPr>
      </w:pPr>
      <w:r>
        <w:rPr>
          <w:rStyle w:val="17"/>
          <w:rFonts w:ascii="Times New Roman" w:hAnsi="Times New Roman" w:eastAsia="方正小标宋_GBK" w:cs="Times New Roman"/>
          <w:sz w:val="44"/>
          <w:szCs w:val="44"/>
          <w:highlight w:val="none"/>
          <w:shd w:val="clear" w:color="auto" w:fill="auto"/>
        </w:rPr>
        <w:t>集体土地上房屋征收补偿安置方案</w:t>
      </w:r>
    </w:p>
    <w:p w14:paraId="7F8C5C5D">
      <w:pPr>
        <w:jc w:val="center"/>
        <w:rPr>
          <w:rFonts w:ascii="Times New Roman" w:hAnsi="Times New Roman" w:eastAsia="楷体" w:cs="Times New Roman"/>
          <w:sz w:val="32"/>
          <w:szCs w:val="32"/>
          <w:highlight w:val="none"/>
          <w:shd w:val="clear" w:color="auto" w:fill="auto"/>
        </w:rPr>
      </w:pPr>
      <w:r>
        <w:rPr>
          <w:rFonts w:ascii="Times New Roman" w:hAnsi="Times New Roman" w:eastAsia="楷体" w:cs="Times New Roman"/>
          <w:sz w:val="32"/>
          <w:szCs w:val="32"/>
          <w:highlight w:val="none"/>
          <w:shd w:val="clear" w:color="auto" w:fill="auto"/>
        </w:rPr>
        <w:t>（征求意见稿）</w:t>
      </w:r>
    </w:p>
    <w:p w14:paraId="46C05864">
      <w:pPr>
        <w:spacing w:line="540" w:lineRule="exact"/>
        <w:ind w:firstLine="664" w:firstLineChars="200"/>
        <w:rPr>
          <w:rStyle w:val="17"/>
          <w:rFonts w:ascii="Times New Roman" w:hAnsi="Times New Roman" w:eastAsia="仿宋_GB2312" w:cs="Times New Roman"/>
          <w:spacing w:val="6"/>
          <w:sz w:val="32"/>
          <w:szCs w:val="32"/>
          <w:highlight w:val="none"/>
          <w:shd w:val="clear" w:color="auto" w:fill="auto"/>
        </w:rPr>
      </w:pPr>
    </w:p>
    <w:p w14:paraId="5C0BD0DD">
      <w:pPr>
        <w:spacing w:line="540" w:lineRule="exact"/>
        <w:ind w:firstLine="640" w:firstLineChars="200"/>
        <w:rPr>
          <w:rStyle w:val="17"/>
          <w:rFonts w:hint="eastAsia" w:ascii="Times New Roman" w:hAnsi="Times New Roman" w:eastAsia="仿宋_GB2312" w:cs="仿宋_GB2312"/>
          <w:sz w:val="32"/>
          <w:szCs w:val="32"/>
          <w:highlight w:val="none"/>
          <w:shd w:val="clear" w:color="auto" w:fill="auto"/>
        </w:rPr>
      </w:pPr>
      <w:r>
        <w:rPr>
          <w:rStyle w:val="18"/>
          <w:rFonts w:hint="eastAsia" w:ascii="Times New Roman" w:hAnsi="Times New Roman" w:eastAsia="仿宋_GB2312" w:cs="仿宋_GB2312"/>
          <w:sz w:val="32"/>
          <w:szCs w:val="32"/>
          <w:highlight w:val="none"/>
          <w:shd w:val="clear" w:color="auto" w:fill="auto"/>
        </w:rPr>
        <w:t>为加快推进桂林世界级旅游城市建设</w:t>
      </w:r>
      <w:r>
        <w:rPr>
          <w:rFonts w:hint="eastAsia" w:ascii="Times New Roman" w:hAnsi="Times New Roman" w:eastAsia="仿宋_GB2312" w:cs="仿宋_GB2312"/>
          <w:sz w:val="32"/>
          <w:szCs w:val="32"/>
          <w:highlight w:val="none"/>
          <w:shd w:val="clear" w:color="auto" w:fill="auto"/>
        </w:rPr>
        <w:t>，推进秀峰区城市更新进程，优化城乡人居环境，改善机场路沿线城中村环境面貌</w:t>
      </w:r>
      <w:r>
        <w:rPr>
          <w:rStyle w:val="18"/>
          <w:rFonts w:hint="eastAsia" w:ascii="Times New Roman" w:hAnsi="Times New Roman" w:eastAsia="仿宋_GB2312" w:cs="仿宋_GB2312"/>
          <w:sz w:val="32"/>
          <w:szCs w:val="32"/>
          <w:highlight w:val="none"/>
          <w:shd w:val="clear" w:color="auto" w:fill="auto"/>
        </w:rPr>
        <w:t>，经秀峰区委和秀峰区人民政府研究，决定启动桂林市</w:t>
      </w:r>
      <w:r>
        <w:rPr>
          <w:rFonts w:hint="eastAsia" w:ascii="Times New Roman" w:hAnsi="Times New Roman" w:eastAsia="仿宋_GB2312" w:cs="仿宋_GB2312"/>
          <w:sz w:val="32"/>
          <w:szCs w:val="32"/>
          <w:highlight w:val="none"/>
          <w:shd w:val="clear" w:color="auto" w:fill="auto"/>
        </w:rPr>
        <w:t>琴潭片区城中村改造项目。</w:t>
      </w:r>
      <w:r>
        <w:rPr>
          <w:rStyle w:val="17"/>
          <w:rFonts w:hint="eastAsia" w:ascii="Times New Roman" w:hAnsi="Times New Roman" w:eastAsia="仿宋_GB2312" w:cs="仿宋_GB2312"/>
          <w:sz w:val="32"/>
          <w:szCs w:val="32"/>
          <w:highlight w:val="none"/>
          <w:shd w:val="clear" w:color="auto" w:fill="auto"/>
        </w:rPr>
        <w:t>根据《中华人民共和国土地管理法》《广西壮族自治区实施</w:t>
      </w:r>
      <w:r>
        <w:rPr>
          <w:rStyle w:val="17"/>
          <w:rFonts w:hint="eastAsia" w:ascii="Times New Roman" w:hAnsi="Times New Roman" w:eastAsia="仿宋_GB2312" w:cs="仿宋_GB2312"/>
          <w:sz w:val="32"/>
          <w:szCs w:val="32"/>
          <w:highlight w:val="none"/>
          <w:shd w:val="clear" w:color="auto" w:fill="auto"/>
          <w:lang w:eastAsia="zh-CN"/>
        </w:rPr>
        <w:t>〈</w:t>
      </w:r>
      <w:r>
        <w:rPr>
          <w:rStyle w:val="17"/>
          <w:rFonts w:hint="eastAsia" w:ascii="Times New Roman" w:hAnsi="Times New Roman" w:eastAsia="仿宋_GB2312" w:cs="仿宋_GB2312"/>
          <w:sz w:val="32"/>
          <w:szCs w:val="32"/>
          <w:highlight w:val="none"/>
          <w:shd w:val="clear" w:color="auto" w:fill="auto"/>
        </w:rPr>
        <w:t>中华人民共和国土地管理法</w:t>
      </w:r>
      <w:r>
        <w:rPr>
          <w:rStyle w:val="17"/>
          <w:rFonts w:hint="eastAsia" w:ascii="Times New Roman" w:hAnsi="Times New Roman" w:eastAsia="仿宋_GB2312" w:cs="仿宋_GB2312"/>
          <w:sz w:val="32"/>
          <w:szCs w:val="32"/>
          <w:highlight w:val="none"/>
          <w:shd w:val="clear" w:color="auto" w:fill="auto"/>
          <w:lang w:eastAsia="zh-CN"/>
        </w:rPr>
        <w:t>〉</w:t>
      </w:r>
      <w:r>
        <w:rPr>
          <w:rStyle w:val="17"/>
          <w:rFonts w:hint="eastAsia" w:ascii="Times New Roman" w:hAnsi="Times New Roman" w:eastAsia="仿宋_GB2312" w:cs="仿宋_GB2312"/>
          <w:sz w:val="32"/>
          <w:szCs w:val="32"/>
          <w:highlight w:val="none"/>
          <w:shd w:val="clear" w:color="auto" w:fill="auto"/>
        </w:rPr>
        <w:t>办法》《桂林市城市规划区内集体土地征收补偿安置办法》（市政〔2014〕27号）等相关规定，参照《桂林市国有土地上房屋征收与补偿暂行办法》（市政〔2012〕58号），结合秀峰区的实际和被征收户的实际情况，制定本方案。</w:t>
      </w:r>
    </w:p>
    <w:p w14:paraId="4C5894A3">
      <w:pPr>
        <w:spacing w:line="540" w:lineRule="exact"/>
        <w:ind w:firstLine="640" w:firstLineChars="200"/>
        <w:rPr>
          <w:rStyle w:val="17"/>
          <w:rFonts w:ascii="Times New Roman" w:hAnsi="Times New Roman" w:eastAsia="仿宋_GB2312" w:cs="Times New Roman"/>
          <w:sz w:val="32"/>
          <w:szCs w:val="32"/>
          <w:highlight w:val="none"/>
          <w:shd w:val="clear" w:color="auto" w:fill="auto"/>
        </w:rPr>
      </w:pPr>
      <w:r>
        <w:rPr>
          <w:rStyle w:val="17"/>
          <w:rFonts w:ascii="Times New Roman" w:hAnsi="Times New Roman" w:eastAsia="黑体" w:cs="Times New Roman"/>
          <w:sz w:val="32"/>
          <w:szCs w:val="32"/>
          <w:highlight w:val="none"/>
          <w:shd w:val="clear" w:color="auto" w:fill="auto"/>
        </w:rPr>
        <w:t>一、征收范围对象</w:t>
      </w:r>
    </w:p>
    <w:p w14:paraId="7D4B0FB2">
      <w:pPr>
        <w:spacing w:line="540" w:lineRule="exact"/>
        <w:ind w:firstLine="640" w:firstLineChars="200"/>
        <w:rPr>
          <w:rStyle w:val="18"/>
          <w:rFonts w:hint="eastAsia" w:ascii="Times New Roman" w:hAnsi="Times New Roman" w:eastAsia="仿宋_GB2312" w:cs="仿宋_GB2312"/>
          <w:sz w:val="32"/>
          <w:szCs w:val="32"/>
          <w:highlight w:val="none"/>
          <w:shd w:val="clear" w:color="auto" w:fill="auto"/>
        </w:rPr>
      </w:pPr>
      <w:r>
        <w:rPr>
          <w:rStyle w:val="18"/>
          <w:rFonts w:hint="eastAsia" w:ascii="Times New Roman" w:hAnsi="Times New Roman" w:eastAsia="仿宋_GB2312" w:cs="仿宋_GB2312"/>
          <w:sz w:val="32"/>
          <w:szCs w:val="32"/>
          <w:highlight w:val="none"/>
          <w:shd w:val="clear" w:color="auto" w:fill="auto"/>
        </w:rPr>
        <w:t>桂林市秀峰区琴潭片区城中村改造项目规划征收红线范围内A地块（秀峰区东安路以南，翠竹路以北莲花塘村、五里圩、莫家街、敦睦村集体土地上的房屋，东安路以北敦睦村部分集体土地上的房屋），B地块（秀峰区翠竹路与琴潭道的交汇处西面与南面琴潭岩村部分集体土地上的房屋），C地块（秀峰区福利路以西燕子岩村部分集体土地上的房屋）集体土地上的房屋，共约 1295 户，总建筑面积约 741354.19 ㎡（最终以实际测绘数字为准）。</w:t>
      </w:r>
    </w:p>
    <w:p w14:paraId="024B4088">
      <w:pPr>
        <w:spacing w:line="540" w:lineRule="exact"/>
        <w:ind w:firstLine="640" w:firstLineChars="200"/>
        <w:rPr>
          <w:rStyle w:val="17"/>
          <w:rFonts w:ascii="Times New Roman" w:hAnsi="Times New Roman" w:eastAsia="黑体" w:cs="Times New Roman"/>
          <w:sz w:val="32"/>
          <w:szCs w:val="32"/>
          <w:highlight w:val="none"/>
          <w:shd w:val="clear" w:color="auto" w:fill="auto"/>
        </w:rPr>
      </w:pPr>
      <w:r>
        <w:rPr>
          <w:rStyle w:val="17"/>
          <w:rFonts w:ascii="Times New Roman" w:hAnsi="Times New Roman" w:eastAsia="黑体" w:cs="Times New Roman"/>
          <w:sz w:val="32"/>
          <w:szCs w:val="32"/>
          <w:highlight w:val="none"/>
          <w:shd w:val="clear" w:color="auto" w:fill="auto"/>
        </w:rPr>
        <w:t>二、征收人与被征收人</w:t>
      </w:r>
    </w:p>
    <w:p w14:paraId="57693616">
      <w:pPr>
        <w:spacing w:line="540" w:lineRule="exact"/>
        <w:ind w:firstLine="640" w:firstLineChars="200"/>
        <w:rPr>
          <w:rStyle w:val="18"/>
          <w:rFonts w:hint="eastAsia" w:ascii="Times New Roman" w:hAnsi="Times New Roman" w:eastAsia="仿宋_GB2312" w:cs="仿宋_GB2312"/>
          <w:sz w:val="32"/>
          <w:szCs w:val="32"/>
          <w:highlight w:val="none"/>
          <w:shd w:val="clear" w:color="auto" w:fill="auto"/>
        </w:rPr>
      </w:pPr>
      <w:r>
        <w:rPr>
          <w:rStyle w:val="18"/>
          <w:rFonts w:hint="eastAsia" w:ascii="Times New Roman" w:hAnsi="Times New Roman" w:eastAsia="仿宋_GB2312" w:cs="仿宋_GB2312"/>
          <w:sz w:val="32"/>
          <w:szCs w:val="32"/>
          <w:highlight w:val="none"/>
          <w:shd w:val="clear" w:color="auto" w:fill="auto"/>
        </w:rPr>
        <w:t>（一）征收人：本项目征收主体为桂林市秀峰区人民政府，征收委托实施单位为桂林市秀峰区智慧投资有限责任公司，具体实施单位为桂林市秀峰区琴潭片区城中村改造项目指挥部。</w:t>
      </w:r>
    </w:p>
    <w:p w14:paraId="7A4CCF71">
      <w:pPr>
        <w:spacing w:line="540" w:lineRule="exact"/>
        <w:ind w:firstLine="640" w:firstLineChars="200"/>
        <w:rPr>
          <w:rStyle w:val="18"/>
          <w:rFonts w:hint="eastAsia" w:ascii="Times New Roman" w:hAnsi="Times New Roman" w:eastAsia="仿宋_GB2312" w:cs="仿宋_GB2312"/>
          <w:sz w:val="32"/>
          <w:szCs w:val="32"/>
          <w:highlight w:val="none"/>
          <w:shd w:val="clear" w:color="auto" w:fill="auto"/>
        </w:rPr>
      </w:pPr>
      <w:r>
        <w:rPr>
          <w:rStyle w:val="18"/>
          <w:rFonts w:hint="eastAsia" w:ascii="Times New Roman" w:hAnsi="Times New Roman" w:eastAsia="仿宋_GB2312" w:cs="仿宋_GB2312"/>
          <w:sz w:val="32"/>
          <w:szCs w:val="32"/>
          <w:highlight w:val="none"/>
          <w:shd w:val="clear" w:color="auto" w:fill="auto"/>
        </w:rPr>
        <w:t>（二）被征收人：征收范围内集体土地上房屋的权属人。</w:t>
      </w:r>
    </w:p>
    <w:p w14:paraId="6FBF2001">
      <w:pPr>
        <w:spacing w:line="540" w:lineRule="exact"/>
        <w:ind w:firstLine="640" w:firstLineChars="200"/>
        <w:rPr>
          <w:rStyle w:val="17"/>
          <w:rFonts w:ascii="Times New Roman" w:hAnsi="Times New Roman" w:eastAsia="黑体" w:cs="Times New Roman"/>
          <w:sz w:val="32"/>
          <w:szCs w:val="32"/>
          <w:highlight w:val="none"/>
          <w:shd w:val="clear" w:color="auto" w:fill="auto"/>
        </w:rPr>
      </w:pPr>
      <w:r>
        <w:rPr>
          <w:rStyle w:val="17"/>
          <w:rFonts w:ascii="Times New Roman" w:hAnsi="Times New Roman" w:eastAsia="黑体" w:cs="Times New Roman"/>
          <w:sz w:val="32"/>
          <w:szCs w:val="32"/>
          <w:highlight w:val="none"/>
          <w:shd w:val="clear" w:color="auto" w:fill="auto"/>
        </w:rPr>
        <w:t>三、房屋产权核查认证</w:t>
      </w:r>
    </w:p>
    <w:p w14:paraId="123BAD3E">
      <w:pPr>
        <w:spacing w:line="540" w:lineRule="exact"/>
        <w:ind w:firstLine="640" w:firstLineChars="200"/>
        <w:rPr>
          <w:rStyle w:val="18"/>
          <w:rFonts w:hint="eastAsia" w:ascii="Times New Roman" w:hAnsi="Times New Roman" w:eastAsia="仿宋_GB2312" w:cs="仿宋_GB2312"/>
          <w:sz w:val="32"/>
          <w:szCs w:val="32"/>
          <w:highlight w:val="none"/>
          <w:shd w:val="clear" w:color="auto" w:fill="auto"/>
        </w:rPr>
      </w:pPr>
      <w:r>
        <w:rPr>
          <w:rStyle w:val="18"/>
          <w:rFonts w:hint="eastAsia" w:ascii="Times New Roman" w:hAnsi="Times New Roman" w:eastAsia="仿宋_GB2312" w:cs="仿宋_GB2312"/>
          <w:sz w:val="32"/>
          <w:szCs w:val="32"/>
          <w:highlight w:val="none"/>
          <w:shd w:val="clear" w:color="auto" w:fill="auto"/>
        </w:rPr>
        <w:t>《房屋征收补偿安置方案》公布后，被征收人应将身份证、户口本、土地证件、房屋产权证或不动产权证及其它有效权属证明等资料提供给具体实施单位，由具体实施单位组织调查核实。被征收人应积极配合对征收房屋的调查、认定和评估工作，及时提供相关材料。被征收人拒不配合的，自行承担相应责任。</w:t>
      </w:r>
    </w:p>
    <w:p w14:paraId="1671E623">
      <w:pPr>
        <w:spacing w:line="540" w:lineRule="exact"/>
        <w:ind w:firstLine="640" w:firstLineChars="200"/>
        <w:rPr>
          <w:rStyle w:val="17"/>
          <w:rFonts w:ascii="Times New Roman" w:hAnsi="Times New Roman" w:eastAsia="黑体" w:cs="Times New Roman"/>
          <w:sz w:val="32"/>
          <w:szCs w:val="32"/>
          <w:highlight w:val="none"/>
          <w:shd w:val="clear" w:color="auto" w:fill="auto"/>
        </w:rPr>
      </w:pPr>
      <w:r>
        <w:rPr>
          <w:rStyle w:val="17"/>
          <w:rFonts w:ascii="Times New Roman" w:hAnsi="Times New Roman" w:eastAsia="黑体" w:cs="Times New Roman"/>
          <w:sz w:val="32"/>
          <w:szCs w:val="32"/>
          <w:highlight w:val="none"/>
          <w:shd w:val="clear" w:color="auto" w:fill="auto"/>
        </w:rPr>
        <w:t>四、评估机构确定方式</w:t>
      </w:r>
    </w:p>
    <w:p w14:paraId="2A96928D">
      <w:pPr>
        <w:spacing w:line="540" w:lineRule="exact"/>
        <w:ind w:firstLine="640" w:firstLineChars="200"/>
        <w:rPr>
          <w:rStyle w:val="18"/>
          <w:rFonts w:hint="eastAsia" w:ascii="Times New Roman" w:hAnsi="Times New Roman" w:eastAsia="仿宋_GB2312" w:cs="仿宋_GB2312"/>
          <w:sz w:val="32"/>
          <w:szCs w:val="32"/>
          <w:highlight w:val="none"/>
          <w:shd w:val="clear" w:color="auto" w:fill="auto"/>
        </w:rPr>
      </w:pPr>
      <w:r>
        <w:rPr>
          <w:rStyle w:val="18"/>
          <w:rFonts w:hint="eastAsia" w:ascii="Times New Roman" w:hAnsi="Times New Roman" w:eastAsia="仿宋_GB2312" w:cs="仿宋_GB2312"/>
          <w:sz w:val="32"/>
          <w:szCs w:val="32"/>
          <w:highlight w:val="none"/>
          <w:shd w:val="clear" w:color="auto" w:fill="auto"/>
        </w:rPr>
        <w:t>房屋的价值由房地产价格评估机构（以下简称评估机构）通过评估确定，评估机构由房屋征收具体实施单位按相关程序选定。选定的评估机构应具有相应资质，并已在桂林市社会保障住房发展中心备案。评估机构依据《中华人民共和国资产评估法》、参照《国有土地上房屋征收评估办法》中的相关规定对被征收房屋进行评估，并在约定的期限内提供评估报告。</w:t>
      </w:r>
    </w:p>
    <w:p w14:paraId="6D80E9C9">
      <w:pPr>
        <w:spacing w:line="540" w:lineRule="exact"/>
        <w:ind w:firstLine="640" w:firstLineChars="200"/>
        <w:rPr>
          <w:rStyle w:val="17"/>
          <w:rFonts w:ascii="Times New Roman" w:hAnsi="Times New Roman" w:eastAsia="黑体" w:cs="Times New Roman"/>
          <w:sz w:val="32"/>
          <w:szCs w:val="32"/>
          <w:highlight w:val="none"/>
          <w:shd w:val="clear" w:color="auto" w:fill="auto"/>
        </w:rPr>
      </w:pPr>
      <w:r>
        <w:rPr>
          <w:rStyle w:val="17"/>
          <w:rFonts w:ascii="Times New Roman" w:hAnsi="Times New Roman" w:eastAsia="黑体" w:cs="Times New Roman"/>
          <w:sz w:val="32"/>
          <w:szCs w:val="32"/>
          <w:highlight w:val="none"/>
          <w:shd w:val="clear" w:color="auto" w:fill="auto"/>
        </w:rPr>
        <w:t>五、被征收房屋的基本情况</w:t>
      </w:r>
    </w:p>
    <w:p w14:paraId="0595B790">
      <w:pPr>
        <w:spacing w:line="540" w:lineRule="exact"/>
        <w:ind w:firstLine="640" w:firstLineChars="200"/>
        <w:rPr>
          <w:rStyle w:val="18"/>
          <w:rFonts w:hint="eastAsia" w:ascii="Times New Roman" w:hAnsi="Times New Roman" w:eastAsia="仿宋_GB2312" w:cs="仿宋_GB2312"/>
          <w:sz w:val="32"/>
          <w:szCs w:val="32"/>
          <w:highlight w:val="none"/>
          <w:shd w:val="clear" w:color="auto" w:fill="auto"/>
        </w:rPr>
      </w:pPr>
      <w:r>
        <w:rPr>
          <w:rStyle w:val="18"/>
          <w:rFonts w:hint="eastAsia" w:ascii="Times New Roman" w:hAnsi="Times New Roman" w:eastAsia="仿宋_GB2312" w:cs="仿宋_GB2312"/>
          <w:sz w:val="32"/>
          <w:szCs w:val="32"/>
          <w:highlight w:val="none"/>
          <w:shd w:val="clear" w:color="auto" w:fill="auto"/>
        </w:rPr>
        <w:t>详见桂林市秀峰区琴潭片区城中村改造项目房屋征收调查登记汇总表。</w:t>
      </w:r>
    </w:p>
    <w:p w14:paraId="5BAFC662">
      <w:pPr>
        <w:spacing w:line="540" w:lineRule="exact"/>
        <w:ind w:firstLine="640" w:firstLineChars="200"/>
        <w:rPr>
          <w:rStyle w:val="17"/>
          <w:rFonts w:ascii="Times New Roman" w:hAnsi="Times New Roman" w:eastAsia="黑体" w:cs="Times New Roman"/>
          <w:sz w:val="32"/>
          <w:szCs w:val="32"/>
          <w:highlight w:val="none"/>
          <w:shd w:val="clear" w:color="auto" w:fill="auto"/>
        </w:rPr>
      </w:pPr>
      <w:r>
        <w:rPr>
          <w:rStyle w:val="17"/>
          <w:rFonts w:ascii="Times New Roman" w:hAnsi="Times New Roman" w:eastAsia="黑体" w:cs="Times New Roman"/>
          <w:sz w:val="32"/>
          <w:szCs w:val="32"/>
          <w:highlight w:val="none"/>
          <w:shd w:val="clear" w:color="auto" w:fill="auto"/>
        </w:rPr>
        <w:t>六、有证房屋征收补偿安置方式</w:t>
      </w:r>
    </w:p>
    <w:p w14:paraId="015A8ADA">
      <w:pPr>
        <w:spacing w:line="540" w:lineRule="exact"/>
        <w:ind w:firstLine="640" w:firstLineChars="200"/>
        <w:rPr>
          <w:rStyle w:val="18"/>
          <w:rFonts w:hint="eastAsia" w:ascii="Times New Roman" w:hAnsi="Times New Roman" w:eastAsia="仿宋_GB2312" w:cs="仿宋_GB2312"/>
          <w:sz w:val="32"/>
          <w:szCs w:val="32"/>
          <w:highlight w:val="none"/>
          <w:shd w:val="clear" w:color="auto" w:fill="auto"/>
        </w:rPr>
      </w:pPr>
      <w:r>
        <w:rPr>
          <w:rStyle w:val="18"/>
          <w:rFonts w:hint="eastAsia" w:ascii="Times New Roman" w:hAnsi="Times New Roman" w:eastAsia="仿宋_GB2312" w:cs="仿宋_GB2312"/>
          <w:sz w:val="32"/>
          <w:szCs w:val="32"/>
          <w:highlight w:val="none"/>
          <w:shd w:val="clear" w:color="auto" w:fill="auto"/>
        </w:rPr>
        <w:t>有证房屋征收补偿实行房屋产权调换或货币补偿。除本方案另有规定外，被征收人可以选择补偿安置方式。</w:t>
      </w:r>
    </w:p>
    <w:p w14:paraId="098D7A3B">
      <w:pPr>
        <w:spacing w:line="540" w:lineRule="exact"/>
        <w:ind w:firstLine="640" w:firstLineChars="200"/>
        <w:rPr>
          <w:rStyle w:val="18"/>
          <w:rFonts w:hint="eastAsia" w:ascii="Times New Roman" w:hAnsi="Times New Roman" w:eastAsia="仿宋_GB2312" w:cs="仿宋_GB2312"/>
          <w:sz w:val="32"/>
          <w:szCs w:val="32"/>
          <w:highlight w:val="none"/>
          <w:shd w:val="clear" w:color="auto" w:fill="auto"/>
        </w:rPr>
      </w:pPr>
      <w:r>
        <w:rPr>
          <w:rStyle w:val="18"/>
          <w:rFonts w:hint="eastAsia" w:ascii="Times New Roman" w:hAnsi="Times New Roman" w:eastAsia="仿宋_GB2312" w:cs="仿宋_GB2312"/>
          <w:sz w:val="32"/>
          <w:szCs w:val="32"/>
          <w:highlight w:val="none"/>
          <w:shd w:val="clear" w:color="auto" w:fill="auto"/>
        </w:rPr>
        <w:t>“住改非”、非住宅房屋的征收补偿参照桂林市国有土地上房屋征收与补偿相关规定执行。</w:t>
      </w:r>
    </w:p>
    <w:p w14:paraId="1396E348">
      <w:pPr>
        <w:widowControl w:val="0"/>
        <w:spacing w:line="590" w:lineRule="exact"/>
        <w:ind w:firstLine="667" w:firstLineChars="200"/>
        <w:rPr>
          <w:rFonts w:ascii="Times New Roman" w:hAnsi="Times New Roman" w:cs="Times New Roman"/>
          <w:b/>
          <w:bCs/>
          <w:spacing w:val="6"/>
          <w:sz w:val="32"/>
          <w:szCs w:val="32"/>
          <w:highlight w:val="none"/>
          <w:shd w:val="clear" w:color="auto" w:fill="auto"/>
        </w:rPr>
      </w:pPr>
      <w:r>
        <w:rPr>
          <w:rFonts w:ascii="Times New Roman" w:hAnsi="Times New Roman" w:eastAsia="楷体_GB2312" w:cs="Times New Roman"/>
          <w:b/>
          <w:bCs/>
          <w:spacing w:val="6"/>
          <w:sz w:val="32"/>
          <w:szCs w:val="32"/>
          <w:highlight w:val="none"/>
          <w:shd w:val="clear" w:color="auto" w:fill="auto"/>
        </w:rPr>
        <w:t>（一）产权调换</w:t>
      </w:r>
    </w:p>
    <w:p w14:paraId="1E9A08D4">
      <w:pPr>
        <w:widowControl w:val="0"/>
        <w:spacing w:line="590" w:lineRule="exact"/>
        <w:ind w:firstLine="667" w:firstLineChars="200"/>
        <w:rPr>
          <w:rFonts w:ascii="Times New Roman" w:hAnsi="Times New Roman" w:eastAsia="方正仿宋_GBK" w:cs="Times New Roman"/>
          <w:b/>
          <w:bCs/>
          <w:spacing w:val="6"/>
          <w:sz w:val="32"/>
          <w:szCs w:val="32"/>
          <w:highlight w:val="none"/>
          <w:shd w:val="clear" w:color="auto" w:fill="auto"/>
        </w:rPr>
      </w:pPr>
      <w:r>
        <w:rPr>
          <w:rFonts w:ascii="Times New Roman" w:hAnsi="Times New Roman" w:eastAsia="方正仿宋_GBK" w:cs="Times New Roman"/>
          <w:b/>
          <w:bCs/>
          <w:spacing w:val="6"/>
          <w:sz w:val="32"/>
          <w:szCs w:val="32"/>
          <w:highlight w:val="none"/>
          <w:shd w:val="clear" w:color="auto" w:fill="auto"/>
        </w:rPr>
        <w:t>1. 产权调换安置方式及原则</w:t>
      </w:r>
    </w:p>
    <w:p w14:paraId="165169AC">
      <w:pPr>
        <w:spacing w:line="540" w:lineRule="exact"/>
        <w:ind w:firstLine="640" w:firstLineChars="200"/>
        <w:rPr>
          <w:rStyle w:val="18"/>
          <w:rFonts w:hint="eastAsia" w:ascii="Times New Roman" w:hAnsi="Times New Roman" w:eastAsia="仿宋_GB2312" w:cs="仿宋_GB2312"/>
          <w:sz w:val="32"/>
          <w:szCs w:val="32"/>
          <w:highlight w:val="none"/>
          <w:shd w:val="clear" w:color="auto" w:fill="auto"/>
        </w:rPr>
      </w:pPr>
      <w:r>
        <w:rPr>
          <w:rStyle w:val="18"/>
          <w:rFonts w:hint="eastAsia" w:ascii="Times New Roman" w:hAnsi="Times New Roman" w:eastAsia="仿宋_GB2312" w:cs="仿宋_GB2312"/>
          <w:sz w:val="32"/>
          <w:szCs w:val="32"/>
          <w:highlight w:val="none"/>
          <w:shd w:val="clear" w:color="auto" w:fill="auto"/>
        </w:rPr>
        <w:t>（1）产权调换实行秀峰区琴潭片区详细规划调整中的B17-10、D8-3地块（具体安置地块以市政府控规批复为准）、秀峰区中隐路27号、秀峰区琴潭道2号、秀峰区翠竹路68号安置房安置。</w:t>
      </w:r>
    </w:p>
    <w:p w14:paraId="4C4FB39A">
      <w:pPr>
        <w:spacing w:line="540" w:lineRule="exact"/>
        <w:ind w:firstLine="640" w:firstLineChars="200"/>
        <w:rPr>
          <w:rStyle w:val="18"/>
          <w:rFonts w:hint="eastAsia" w:ascii="Times New Roman" w:hAnsi="Times New Roman" w:eastAsia="仿宋_GB2312" w:cs="仿宋_GB2312"/>
          <w:sz w:val="32"/>
          <w:szCs w:val="32"/>
          <w:highlight w:val="none"/>
          <w:shd w:val="clear" w:color="auto" w:fill="auto"/>
        </w:rPr>
      </w:pPr>
      <w:r>
        <w:rPr>
          <w:rStyle w:val="18"/>
          <w:rFonts w:hint="eastAsia" w:ascii="Times New Roman" w:hAnsi="Times New Roman" w:eastAsia="仿宋_GB2312" w:cs="仿宋_GB2312"/>
          <w:sz w:val="32"/>
          <w:szCs w:val="32"/>
          <w:highlight w:val="none"/>
          <w:shd w:val="clear" w:color="auto" w:fill="auto"/>
        </w:rPr>
        <w:t>（2）安置房所涉土地为国有划拨性质的，安置房与被征收有证住宅置换的面积征收人与被征收人互不补差价。若安置房所涉土地为国有出让性质，或根据国家政策安置房所涉土地由划拨转为出让性质，由被征收人缴纳土地出让金。</w:t>
      </w:r>
    </w:p>
    <w:p w14:paraId="28AA0169">
      <w:pPr>
        <w:spacing w:line="540" w:lineRule="exact"/>
        <w:ind w:firstLine="640" w:firstLineChars="200"/>
        <w:rPr>
          <w:rStyle w:val="18"/>
          <w:rFonts w:hint="eastAsia" w:ascii="Times New Roman" w:hAnsi="Times New Roman" w:eastAsia="仿宋_GB2312" w:cs="仿宋_GB2312"/>
          <w:sz w:val="32"/>
          <w:szCs w:val="32"/>
          <w:highlight w:val="none"/>
          <w:shd w:val="clear" w:color="auto" w:fill="auto"/>
        </w:rPr>
      </w:pPr>
      <w:r>
        <w:rPr>
          <w:rStyle w:val="18"/>
          <w:rFonts w:hint="eastAsia" w:ascii="Times New Roman" w:hAnsi="Times New Roman" w:eastAsia="仿宋_GB2312" w:cs="仿宋_GB2312"/>
          <w:sz w:val="32"/>
          <w:szCs w:val="32"/>
          <w:highlight w:val="none"/>
          <w:shd w:val="clear" w:color="auto" w:fill="auto"/>
        </w:rPr>
        <w:t>（3）被征收房屋装修装饰的价值，不作产权调换，给予货币补偿。</w:t>
      </w:r>
    </w:p>
    <w:p w14:paraId="1D04EEDD">
      <w:pPr>
        <w:widowControl w:val="0"/>
        <w:spacing w:line="590" w:lineRule="exact"/>
        <w:ind w:firstLine="667" w:firstLineChars="200"/>
        <w:rPr>
          <w:rFonts w:ascii="Times New Roman" w:hAnsi="Times New Roman" w:eastAsia="方正仿宋_GBK" w:cs="Times New Roman"/>
          <w:b/>
          <w:bCs/>
          <w:spacing w:val="6"/>
          <w:sz w:val="32"/>
          <w:szCs w:val="32"/>
          <w:highlight w:val="none"/>
          <w:shd w:val="clear" w:color="auto" w:fill="auto"/>
        </w:rPr>
      </w:pPr>
      <w:r>
        <w:rPr>
          <w:rFonts w:ascii="Times New Roman" w:hAnsi="Times New Roman" w:eastAsia="方正仿宋_GBK" w:cs="Times New Roman"/>
          <w:b/>
          <w:bCs/>
          <w:spacing w:val="6"/>
          <w:sz w:val="32"/>
          <w:szCs w:val="32"/>
          <w:highlight w:val="none"/>
          <w:shd w:val="clear" w:color="auto" w:fill="auto"/>
        </w:rPr>
        <w:t>2. 有证住宅安置标准及要求</w:t>
      </w:r>
    </w:p>
    <w:p w14:paraId="614C6654">
      <w:pPr>
        <w:spacing w:line="540" w:lineRule="exact"/>
        <w:ind w:firstLine="640" w:firstLineChars="200"/>
        <w:rPr>
          <w:rStyle w:val="18"/>
          <w:rFonts w:hint="eastAsia" w:ascii="Times New Roman" w:hAnsi="Times New Roman" w:eastAsia="仿宋_GB2312" w:cs="仿宋_GB2312"/>
          <w:sz w:val="32"/>
          <w:szCs w:val="32"/>
          <w:highlight w:val="none"/>
          <w:shd w:val="clear" w:color="auto" w:fill="auto"/>
          <w:lang w:val="en-US" w:eastAsia="zh-CN"/>
        </w:rPr>
      </w:pPr>
      <w:r>
        <w:rPr>
          <w:rStyle w:val="18"/>
          <w:rFonts w:hint="eastAsia" w:ascii="Times New Roman" w:hAnsi="Times New Roman" w:eastAsia="仿宋_GB2312" w:cs="仿宋_GB2312"/>
          <w:sz w:val="32"/>
          <w:szCs w:val="32"/>
          <w:highlight w:val="none"/>
          <w:shd w:val="clear" w:color="auto" w:fill="auto"/>
        </w:rPr>
        <w:t>（1）被征收人为本村常住农业人口且享有本村集体收益分配权的（含其直系自然增加人口且为本村常住农业人口的），被征收有证房屋面积超过人均建筑面积60㎡的按安置人口人均建筑面积60㎡进行置换，超过部分的有证面积采取货币补偿方式；经调查核实仅有一处住房，且被征收房屋有证面积不足人均建筑面积60㎡的，可按安置人口人均建筑面积60㎡选择安置房，补足部分由被征收人进行补差</w:t>
      </w:r>
      <w:r>
        <w:rPr>
          <w:rStyle w:val="18"/>
          <w:rFonts w:hint="eastAsia" w:ascii="Times New Roman" w:hAnsi="Times New Roman" w:eastAsia="仿宋_GB2312" w:cs="仿宋_GB2312"/>
          <w:sz w:val="32"/>
          <w:szCs w:val="32"/>
          <w:highlight w:val="none"/>
          <w:shd w:val="clear" w:color="auto" w:fill="auto"/>
          <w:lang w:eastAsia="zh-CN"/>
        </w:rPr>
        <w:t>。</w:t>
      </w:r>
    </w:p>
    <w:p w14:paraId="4AFEA0BF">
      <w:pPr>
        <w:spacing w:line="540" w:lineRule="exact"/>
        <w:ind w:firstLine="640" w:firstLineChars="200"/>
        <w:rPr>
          <w:rStyle w:val="18"/>
          <w:rFonts w:hint="eastAsia" w:ascii="Times New Roman" w:hAnsi="Times New Roman" w:eastAsia="仿宋_GB2312" w:cs="仿宋_GB2312"/>
          <w:sz w:val="32"/>
          <w:szCs w:val="32"/>
          <w:highlight w:val="none"/>
          <w:shd w:val="clear" w:color="auto" w:fill="auto"/>
        </w:rPr>
      </w:pPr>
      <w:r>
        <w:rPr>
          <w:rStyle w:val="18"/>
          <w:rFonts w:hint="eastAsia" w:ascii="Times New Roman" w:hAnsi="Times New Roman" w:eastAsia="仿宋_GB2312" w:cs="仿宋_GB2312"/>
          <w:sz w:val="32"/>
          <w:szCs w:val="32"/>
          <w:highlight w:val="none"/>
          <w:shd w:val="clear" w:color="auto" w:fill="auto"/>
        </w:rPr>
        <w:t>（2）已享受产权置换安置政策的被征收人，其原安置房面积已达到人均建筑面积60㎡的，本次房屋征收采取货币补偿方式；其原安置房面积未达到人均建筑面积60㎡的，可补足安置人口人均建筑面积60㎡的差额面积。</w:t>
      </w:r>
    </w:p>
    <w:p w14:paraId="25699F5F">
      <w:pPr>
        <w:spacing w:line="540" w:lineRule="exact"/>
        <w:ind w:firstLine="640" w:firstLineChars="200"/>
        <w:rPr>
          <w:rStyle w:val="18"/>
          <w:rFonts w:hint="eastAsia" w:ascii="Times New Roman" w:hAnsi="Times New Roman" w:eastAsia="仿宋_GB2312" w:cs="仿宋_GB2312"/>
          <w:sz w:val="32"/>
          <w:szCs w:val="32"/>
          <w:highlight w:val="none"/>
          <w:shd w:val="clear" w:color="auto" w:fill="auto"/>
        </w:rPr>
      </w:pPr>
      <w:r>
        <w:rPr>
          <w:rStyle w:val="18"/>
          <w:rFonts w:hint="eastAsia" w:ascii="Times New Roman" w:hAnsi="Times New Roman" w:eastAsia="仿宋_GB2312" w:cs="仿宋_GB2312"/>
          <w:sz w:val="32"/>
          <w:szCs w:val="32"/>
          <w:highlight w:val="none"/>
          <w:shd w:val="clear" w:color="auto" w:fill="auto"/>
        </w:rPr>
        <w:t>（3）安置房面积与被征收有证住宅置换面积有差别时应按以下规定结清差价：</w:t>
      </w:r>
    </w:p>
    <w:p w14:paraId="6013CD23">
      <w:pPr>
        <w:spacing w:line="540" w:lineRule="exact"/>
        <w:ind w:firstLine="640" w:firstLineChars="200"/>
        <w:rPr>
          <w:rStyle w:val="18"/>
          <w:rFonts w:hint="eastAsia" w:ascii="Times New Roman" w:hAnsi="Times New Roman" w:eastAsia="仿宋_GB2312" w:cs="仿宋_GB2312"/>
          <w:sz w:val="32"/>
          <w:szCs w:val="32"/>
          <w:highlight w:val="none"/>
          <w:shd w:val="clear" w:color="auto" w:fill="auto"/>
        </w:rPr>
      </w:pPr>
      <w:r>
        <w:rPr>
          <w:rStyle w:val="18"/>
          <w:rFonts w:hint="eastAsia" w:ascii="Times New Roman" w:hAnsi="Times New Roman" w:eastAsia="仿宋_GB2312" w:cs="仿宋_GB2312"/>
          <w:sz w:val="32"/>
          <w:szCs w:val="32"/>
          <w:highlight w:val="none"/>
          <w:shd w:val="clear" w:color="auto" w:fill="auto"/>
        </w:rPr>
        <w:t>① 每户安置房面积超过该户有证住宅置换面积20㎡以内（含20㎡）的部分由被征收人按优惠价（安置房评估价的80%）进行补差，超过20㎡以上的部分由被征收人按安置房评估价进行补差。若被征收房屋有证面积不足人均建筑面积60㎡的，该户安置房补足人均建筑面积60㎡的差额部分按优惠价（安置房评估价的80%）进行补差；该户安置房面积超过人均建筑面积60㎡的面积在 20 ㎡内（含 20 ㎡）的部分由被征收人按优惠价（安置房评估价的80%）进行补差，超过的面积在20㎡以上的部分由被征收人按安置房评估价进行补差。安置房以建成后的实测面积为最终结算面积，按上述相应价格实行多退少补。</w:t>
      </w:r>
    </w:p>
    <w:p w14:paraId="72B19872">
      <w:pPr>
        <w:spacing w:line="540" w:lineRule="exact"/>
        <w:ind w:firstLine="640" w:firstLineChars="200"/>
        <w:rPr>
          <w:rStyle w:val="18"/>
          <w:rFonts w:hint="eastAsia" w:ascii="Times New Roman" w:hAnsi="Times New Roman" w:eastAsia="仿宋_GB2312" w:cs="仿宋_GB2312"/>
          <w:sz w:val="32"/>
          <w:szCs w:val="32"/>
          <w:highlight w:val="none"/>
          <w:shd w:val="clear" w:color="auto" w:fill="auto"/>
        </w:rPr>
      </w:pPr>
      <w:r>
        <w:rPr>
          <w:rStyle w:val="18"/>
          <w:rFonts w:hint="eastAsia" w:ascii="Times New Roman" w:hAnsi="Times New Roman" w:eastAsia="仿宋_GB2312" w:cs="仿宋_GB2312"/>
          <w:sz w:val="32"/>
          <w:szCs w:val="32"/>
          <w:highlight w:val="none"/>
          <w:shd w:val="clear" w:color="auto" w:fill="auto"/>
        </w:rPr>
        <w:t>② 期房安置的，若被征收人选定安置房的总面积未超出该户有证住宅置换面积，且实际交付给该户的安置房的实测面积又少于该户选定安置房总面积的部分，由征收人按照安置房的评估价以货币形式补偿给被征收人。</w:t>
      </w:r>
    </w:p>
    <w:p w14:paraId="22323A5D">
      <w:pPr>
        <w:widowControl w:val="0"/>
        <w:spacing w:line="590" w:lineRule="exact"/>
        <w:ind w:firstLine="667" w:firstLineChars="200"/>
        <w:rPr>
          <w:rFonts w:hint="eastAsia" w:ascii="Times New Roman" w:hAnsi="Times New Roman" w:eastAsia="方正仿宋_GBK" w:cs="Times New Roman"/>
          <w:b/>
          <w:bCs/>
          <w:spacing w:val="6"/>
          <w:sz w:val="32"/>
          <w:szCs w:val="32"/>
          <w:highlight w:val="none"/>
          <w:shd w:val="clear" w:color="auto" w:fill="auto"/>
        </w:rPr>
      </w:pPr>
      <w:r>
        <w:rPr>
          <w:rFonts w:hint="eastAsia" w:ascii="Times New Roman" w:hAnsi="Times New Roman" w:eastAsia="方正仿宋_GBK" w:cs="Times New Roman"/>
          <w:b/>
          <w:bCs/>
          <w:spacing w:val="6"/>
          <w:sz w:val="32"/>
          <w:szCs w:val="32"/>
          <w:highlight w:val="none"/>
          <w:shd w:val="clear" w:color="auto" w:fill="auto"/>
        </w:rPr>
        <w:t>3. 安置房建设及选房顺序</w:t>
      </w:r>
    </w:p>
    <w:p w14:paraId="7BF5B974">
      <w:pPr>
        <w:spacing w:line="540" w:lineRule="exact"/>
        <w:ind w:firstLine="640" w:firstLineChars="200"/>
        <w:rPr>
          <w:rStyle w:val="18"/>
          <w:rFonts w:hint="eastAsia" w:ascii="Times New Roman" w:hAnsi="Times New Roman" w:eastAsia="仿宋_GB2312" w:cs="仿宋_GB2312"/>
          <w:sz w:val="32"/>
          <w:szCs w:val="32"/>
          <w:highlight w:val="none"/>
          <w:shd w:val="clear" w:color="auto" w:fill="auto"/>
        </w:rPr>
      </w:pPr>
      <w:r>
        <w:rPr>
          <w:rStyle w:val="18"/>
          <w:rFonts w:hint="eastAsia" w:ascii="Times New Roman" w:hAnsi="Times New Roman" w:eastAsia="仿宋_GB2312" w:cs="仿宋_GB2312"/>
          <w:sz w:val="32"/>
          <w:szCs w:val="32"/>
          <w:highlight w:val="none"/>
          <w:shd w:val="clear" w:color="auto" w:fill="auto"/>
        </w:rPr>
        <w:t>（1）安置房建设</w:t>
      </w:r>
    </w:p>
    <w:p w14:paraId="1CD895C6">
      <w:pPr>
        <w:spacing w:line="540" w:lineRule="exact"/>
        <w:ind w:firstLine="640" w:firstLineChars="200"/>
        <w:rPr>
          <w:rStyle w:val="18"/>
          <w:rFonts w:hint="eastAsia" w:ascii="Times New Roman" w:hAnsi="Times New Roman" w:eastAsia="仿宋_GB2312" w:cs="仿宋_GB2312"/>
          <w:sz w:val="32"/>
          <w:szCs w:val="32"/>
          <w:highlight w:val="none"/>
          <w:shd w:val="clear" w:color="auto" w:fill="auto"/>
        </w:rPr>
      </w:pPr>
      <w:r>
        <w:rPr>
          <w:rStyle w:val="18"/>
          <w:rFonts w:hint="eastAsia" w:ascii="Times New Roman" w:hAnsi="Times New Roman" w:eastAsia="仿宋_GB2312" w:cs="仿宋_GB2312"/>
          <w:sz w:val="32"/>
          <w:szCs w:val="32"/>
          <w:highlight w:val="none"/>
          <w:shd w:val="clear" w:color="auto" w:fill="auto"/>
        </w:rPr>
        <w:t>由项目业主按照规划的要求，负责建设好安置小区，用于被征收房屋的产权调换。安置小区应配套设施齐备，规划设计符合城市居住区规划设计标准中住宅小区的要求。</w:t>
      </w:r>
    </w:p>
    <w:p w14:paraId="3BF67F82">
      <w:pPr>
        <w:spacing w:line="540" w:lineRule="exact"/>
        <w:ind w:firstLine="640" w:firstLineChars="200"/>
        <w:rPr>
          <w:rStyle w:val="18"/>
          <w:rFonts w:hint="eastAsia" w:ascii="Times New Roman" w:hAnsi="Times New Roman" w:eastAsia="仿宋_GB2312" w:cs="仿宋_GB2312"/>
          <w:sz w:val="32"/>
          <w:szCs w:val="32"/>
          <w:highlight w:val="none"/>
          <w:shd w:val="clear" w:color="auto" w:fill="auto"/>
        </w:rPr>
      </w:pPr>
      <w:r>
        <w:rPr>
          <w:rStyle w:val="18"/>
          <w:rFonts w:hint="eastAsia" w:ascii="Times New Roman" w:hAnsi="Times New Roman" w:eastAsia="仿宋_GB2312" w:cs="仿宋_GB2312"/>
          <w:sz w:val="32"/>
          <w:szCs w:val="32"/>
          <w:highlight w:val="none"/>
          <w:shd w:val="clear" w:color="auto" w:fill="auto"/>
        </w:rPr>
        <w:t>（2）选房顺序</w:t>
      </w:r>
    </w:p>
    <w:p w14:paraId="7A866900">
      <w:pPr>
        <w:spacing w:line="540" w:lineRule="exact"/>
        <w:ind w:firstLine="640" w:firstLineChars="200"/>
        <w:rPr>
          <w:rStyle w:val="18"/>
          <w:rFonts w:hint="eastAsia" w:ascii="Times New Roman" w:hAnsi="Times New Roman" w:eastAsia="仿宋_GB2312" w:cs="仿宋_GB2312"/>
          <w:sz w:val="32"/>
          <w:szCs w:val="32"/>
          <w:highlight w:val="none"/>
          <w:shd w:val="clear" w:color="auto" w:fill="auto"/>
        </w:rPr>
      </w:pPr>
      <w:r>
        <w:rPr>
          <w:rStyle w:val="18"/>
          <w:rFonts w:hint="eastAsia" w:ascii="Times New Roman" w:hAnsi="Times New Roman" w:eastAsia="仿宋_GB2312" w:cs="仿宋_GB2312"/>
          <w:sz w:val="32"/>
          <w:szCs w:val="32"/>
          <w:highlight w:val="none"/>
          <w:shd w:val="clear" w:color="auto" w:fill="auto"/>
        </w:rPr>
        <w:t>实行产权调换安置的，被征收人按照签订补偿安置协议并完成搬迁的先后次序，选择符合其安置条件的安置房屋。</w:t>
      </w:r>
    </w:p>
    <w:p w14:paraId="11772FD8">
      <w:pPr>
        <w:widowControl w:val="0"/>
        <w:spacing w:line="590" w:lineRule="exact"/>
        <w:ind w:firstLine="667" w:firstLineChars="200"/>
        <w:rPr>
          <w:rFonts w:hint="eastAsia" w:ascii="Times New Roman" w:hAnsi="Times New Roman" w:eastAsia="楷体_GB2312" w:cs="Times New Roman"/>
          <w:b/>
          <w:bCs/>
          <w:spacing w:val="6"/>
          <w:sz w:val="32"/>
          <w:szCs w:val="32"/>
          <w:highlight w:val="none"/>
          <w:shd w:val="clear" w:color="auto" w:fill="auto"/>
        </w:rPr>
      </w:pPr>
      <w:r>
        <w:rPr>
          <w:rFonts w:hint="eastAsia" w:ascii="Times New Roman" w:hAnsi="Times New Roman" w:eastAsia="楷体_GB2312" w:cs="Times New Roman"/>
          <w:b/>
          <w:bCs/>
          <w:spacing w:val="6"/>
          <w:sz w:val="32"/>
          <w:szCs w:val="32"/>
          <w:highlight w:val="none"/>
          <w:shd w:val="clear" w:color="auto" w:fill="auto"/>
        </w:rPr>
        <w:t>（二）货币补偿</w:t>
      </w:r>
      <w:bookmarkStart w:id="0" w:name="_GoBack"/>
      <w:bookmarkEnd w:id="0"/>
    </w:p>
    <w:p w14:paraId="24733B46">
      <w:pPr>
        <w:spacing w:line="540" w:lineRule="exact"/>
        <w:ind w:firstLine="640" w:firstLineChars="200"/>
        <w:rPr>
          <w:rStyle w:val="18"/>
          <w:rFonts w:hint="eastAsia" w:ascii="Times New Roman" w:hAnsi="Times New Roman" w:eastAsia="仿宋_GB2312" w:cs="仿宋_GB2312"/>
          <w:sz w:val="32"/>
          <w:szCs w:val="32"/>
          <w:highlight w:val="none"/>
          <w:shd w:val="clear" w:color="auto" w:fill="auto"/>
        </w:rPr>
      </w:pPr>
      <w:r>
        <w:rPr>
          <w:rStyle w:val="18"/>
          <w:rFonts w:hint="eastAsia" w:ascii="Times New Roman" w:hAnsi="Times New Roman" w:eastAsia="仿宋_GB2312" w:cs="仿宋_GB2312"/>
          <w:sz w:val="32"/>
          <w:szCs w:val="32"/>
          <w:highlight w:val="none"/>
          <w:shd w:val="clear" w:color="auto" w:fill="auto"/>
        </w:rPr>
        <w:t>1.实行货币补偿的，由征收主体予以一次性补偿。货币补偿金额按照被征收房屋评估价确定，因被征收人原因导致无法进行评估的参照被征收房屋类似房产评估价确定。</w:t>
      </w:r>
    </w:p>
    <w:p w14:paraId="73B5C30B">
      <w:pPr>
        <w:spacing w:line="540" w:lineRule="exact"/>
        <w:ind w:firstLine="640" w:firstLineChars="200"/>
        <w:rPr>
          <w:rStyle w:val="18"/>
          <w:rFonts w:hint="eastAsia" w:ascii="Times New Roman" w:hAnsi="Times New Roman" w:eastAsia="仿宋_GB2312" w:cs="仿宋_GB2312"/>
          <w:sz w:val="32"/>
          <w:szCs w:val="32"/>
          <w:highlight w:val="none"/>
          <w:shd w:val="clear" w:color="auto" w:fill="auto"/>
        </w:rPr>
      </w:pPr>
      <w:r>
        <w:rPr>
          <w:rStyle w:val="18"/>
          <w:rFonts w:hint="eastAsia" w:ascii="Times New Roman" w:hAnsi="Times New Roman" w:eastAsia="仿宋_GB2312" w:cs="仿宋_GB2312"/>
          <w:sz w:val="32"/>
          <w:szCs w:val="32"/>
          <w:highlight w:val="none"/>
          <w:shd w:val="clear" w:color="auto" w:fill="auto"/>
        </w:rPr>
        <w:t>2. 被征收人不享有本村集体收益分配权的，不论是否有本村户籍，均采取货币补偿方式。凡涉及非法获取土地、房产的，追究相关人员责任。</w:t>
      </w:r>
    </w:p>
    <w:p w14:paraId="1F087C4D">
      <w:pPr>
        <w:widowControl w:val="0"/>
        <w:spacing w:line="590" w:lineRule="exact"/>
        <w:ind w:firstLine="667" w:firstLineChars="200"/>
        <w:rPr>
          <w:rFonts w:hint="eastAsia" w:ascii="Times New Roman" w:hAnsi="Times New Roman" w:eastAsia="楷体_GB2312" w:cs="Times New Roman"/>
          <w:b/>
          <w:bCs/>
          <w:spacing w:val="6"/>
          <w:sz w:val="32"/>
          <w:szCs w:val="32"/>
          <w:highlight w:val="none"/>
          <w:shd w:val="clear" w:color="auto" w:fill="auto"/>
        </w:rPr>
      </w:pPr>
      <w:r>
        <w:rPr>
          <w:rFonts w:hint="eastAsia" w:ascii="Times New Roman" w:hAnsi="Times New Roman" w:eastAsia="楷体_GB2312" w:cs="Times New Roman"/>
          <w:b/>
          <w:bCs/>
          <w:spacing w:val="6"/>
          <w:sz w:val="32"/>
          <w:szCs w:val="32"/>
          <w:highlight w:val="none"/>
          <w:shd w:val="clear" w:color="auto" w:fill="auto"/>
        </w:rPr>
        <w:t>（三）有证房屋搬迁及临时安置</w:t>
      </w:r>
    </w:p>
    <w:p w14:paraId="239560D4">
      <w:pPr>
        <w:widowControl w:val="0"/>
        <w:spacing w:line="590" w:lineRule="exact"/>
        <w:ind w:firstLine="667" w:firstLineChars="200"/>
        <w:rPr>
          <w:rFonts w:hint="eastAsia" w:ascii="Times New Roman" w:hAnsi="Times New Roman" w:eastAsia="方正仿宋_GBK" w:cs="Times New Roman"/>
          <w:b/>
          <w:bCs/>
          <w:spacing w:val="6"/>
          <w:sz w:val="32"/>
          <w:szCs w:val="32"/>
          <w:highlight w:val="none"/>
          <w:shd w:val="clear" w:color="auto" w:fill="auto"/>
        </w:rPr>
      </w:pPr>
      <w:r>
        <w:rPr>
          <w:rFonts w:hint="eastAsia" w:ascii="Times New Roman" w:hAnsi="Times New Roman" w:eastAsia="方正仿宋_GBK" w:cs="Times New Roman"/>
          <w:b/>
          <w:bCs/>
          <w:spacing w:val="6"/>
          <w:sz w:val="32"/>
          <w:szCs w:val="32"/>
          <w:highlight w:val="none"/>
          <w:shd w:val="clear" w:color="auto" w:fill="auto"/>
        </w:rPr>
        <w:t>1. 搬迁费</w:t>
      </w:r>
    </w:p>
    <w:p w14:paraId="34B06A1A">
      <w:pPr>
        <w:spacing w:line="540" w:lineRule="exact"/>
        <w:ind w:firstLine="640" w:firstLineChars="200"/>
        <w:rPr>
          <w:rStyle w:val="18"/>
          <w:rFonts w:hint="eastAsia" w:ascii="Times New Roman" w:hAnsi="Times New Roman" w:eastAsia="仿宋_GB2312" w:cs="仿宋_GB2312"/>
          <w:sz w:val="32"/>
          <w:szCs w:val="32"/>
          <w:highlight w:val="none"/>
          <w:shd w:val="clear" w:color="auto" w:fill="auto"/>
        </w:rPr>
      </w:pPr>
      <w:r>
        <w:rPr>
          <w:rStyle w:val="18"/>
          <w:rFonts w:hint="eastAsia" w:ascii="Times New Roman" w:hAnsi="Times New Roman" w:eastAsia="仿宋_GB2312" w:cs="仿宋_GB2312"/>
          <w:sz w:val="32"/>
          <w:szCs w:val="32"/>
          <w:highlight w:val="none"/>
          <w:shd w:val="clear" w:color="auto" w:fill="auto"/>
        </w:rPr>
        <w:t>（1）选择产权调换的被征收人给予2次搬迁费，按被征收房屋产权认证的建筑面积15元/㎡·次支付搬迁费，不足800元的，按800元给付。</w:t>
      </w:r>
    </w:p>
    <w:p w14:paraId="6EE32D0D">
      <w:pPr>
        <w:spacing w:line="540" w:lineRule="exact"/>
        <w:ind w:firstLine="640" w:firstLineChars="200"/>
        <w:rPr>
          <w:rStyle w:val="18"/>
          <w:rFonts w:hint="eastAsia" w:ascii="Times New Roman" w:hAnsi="Times New Roman" w:eastAsia="仿宋_GB2312" w:cs="仿宋_GB2312"/>
          <w:sz w:val="32"/>
          <w:szCs w:val="32"/>
          <w:highlight w:val="none"/>
          <w:shd w:val="clear" w:color="auto" w:fill="auto"/>
        </w:rPr>
      </w:pPr>
      <w:r>
        <w:rPr>
          <w:rStyle w:val="18"/>
          <w:rFonts w:hint="eastAsia" w:ascii="Times New Roman" w:hAnsi="Times New Roman" w:eastAsia="仿宋_GB2312" w:cs="仿宋_GB2312"/>
          <w:sz w:val="32"/>
          <w:szCs w:val="32"/>
          <w:highlight w:val="none"/>
          <w:shd w:val="clear" w:color="auto" w:fill="auto"/>
        </w:rPr>
        <w:t>（2）选择货币补偿的被征收人给予1次搬迁费，按被征收房屋产权认证的建筑面积15元/㎡支付搬迁费，不足800元的，按800元给付。</w:t>
      </w:r>
    </w:p>
    <w:p w14:paraId="1C44421D">
      <w:pPr>
        <w:spacing w:line="540" w:lineRule="exact"/>
        <w:ind w:firstLine="640" w:firstLineChars="200"/>
        <w:rPr>
          <w:rStyle w:val="18"/>
          <w:rFonts w:hint="eastAsia" w:ascii="Times New Roman" w:hAnsi="Times New Roman" w:eastAsia="仿宋_GB2312" w:cs="仿宋_GB2312"/>
          <w:sz w:val="32"/>
          <w:szCs w:val="32"/>
          <w:highlight w:val="none"/>
          <w:shd w:val="clear" w:color="auto" w:fill="auto"/>
        </w:rPr>
      </w:pPr>
      <w:r>
        <w:rPr>
          <w:rStyle w:val="18"/>
          <w:rFonts w:hint="eastAsia" w:ascii="Times New Roman" w:hAnsi="Times New Roman" w:eastAsia="仿宋_GB2312" w:cs="仿宋_GB2312"/>
          <w:sz w:val="32"/>
          <w:szCs w:val="32"/>
          <w:highlight w:val="none"/>
          <w:shd w:val="clear" w:color="auto" w:fill="auto"/>
        </w:rPr>
        <w:t>（3）“住改非”房屋的搬迁费：置换产权部分给2次搬迁费，按被征收住宅产权认证的建筑面积15元/㎡·次支付搬迁费，不足800元的，按800元给付。其他部分（货物、设备拆装、运输）的按规定支付一次搬迁费，按实际搬迁的货物和设备拆装、运输的市场价格支付搬迁费。对无法按市场价格确定搬迁费的，征收人与被征收人又达不成协议的，通过评估确定搬迁费用，不足800元的，按800元给付。</w:t>
      </w:r>
    </w:p>
    <w:p w14:paraId="01A905B7">
      <w:pPr>
        <w:spacing w:line="540" w:lineRule="exact"/>
        <w:ind w:firstLine="640" w:firstLineChars="200"/>
        <w:rPr>
          <w:rStyle w:val="18"/>
          <w:rFonts w:hint="eastAsia" w:ascii="Times New Roman" w:hAnsi="Times New Roman" w:eastAsia="仿宋_GB2312" w:cs="仿宋_GB2312"/>
          <w:sz w:val="32"/>
          <w:szCs w:val="32"/>
          <w:highlight w:val="none"/>
          <w:shd w:val="clear" w:color="auto" w:fill="auto"/>
        </w:rPr>
      </w:pPr>
      <w:r>
        <w:rPr>
          <w:rStyle w:val="18"/>
          <w:rFonts w:hint="eastAsia" w:ascii="Times New Roman" w:hAnsi="Times New Roman" w:eastAsia="仿宋_GB2312" w:cs="仿宋_GB2312"/>
          <w:sz w:val="32"/>
          <w:szCs w:val="32"/>
          <w:highlight w:val="none"/>
          <w:shd w:val="clear" w:color="auto" w:fill="auto"/>
        </w:rPr>
        <w:t>（4）工厂和货仓按规定支付1次搬迁费，按实际搬迁的货物和设备拆装、运输的市场价格支付搬迁费。对无法按市场价格确定搬迁费的，征收人与被征收人又达不成协议的，通过评估确定搬迁费用。搬迁费总计不足1000元的，按1000元给付。</w:t>
      </w:r>
    </w:p>
    <w:p w14:paraId="4C4CF347">
      <w:pPr>
        <w:widowControl w:val="0"/>
        <w:spacing w:line="590" w:lineRule="exact"/>
        <w:ind w:firstLine="667" w:firstLineChars="200"/>
        <w:rPr>
          <w:rFonts w:hint="eastAsia" w:ascii="Times New Roman" w:hAnsi="Times New Roman" w:eastAsia="方正仿宋_GBK" w:cs="Times New Roman"/>
          <w:b/>
          <w:bCs/>
          <w:spacing w:val="6"/>
          <w:sz w:val="32"/>
          <w:szCs w:val="32"/>
          <w:highlight w:val="none"/>
          <w:shd w:val="clear" w:color="auto" w:fill="auto"/>
        </w:rPr>
      </w:pPr>
      <w:r>
        <w:rPr>
          <w:rFonts w:hint="eastAsia" w:ascii="Times New Roman" w:hAnsi="Times New Roman" w:eastAsia="方正仿宋_GBK" w:cs="Times New Roman"/>
          <w:b/>
          <w:bCs/>
          <w:spacing w:val="6"/>
          <w:sz w:val="32"/>
          <w:szCs w:val="32"/>
          <w:highlight w:val="none"/>
          <w:shd w:val="clear" w:color="auto" w:fill="auto"/>
        </w:rPr>
        <w:t>2. 临时安置期</w:t>
      </w:r>
    </w:p>
    <w:p w14:paraId="3F1DD4AB">
      <w:pPr>
        <w:spacing w:line="540" w:lineRule="exact"/>
        <w:ind w:firstLine="640" w:firstLineChars="200"/>
        <w:rPr>
          <w:rStyle w:val="18"/>
          <w:rFonts w:hint="eastAsia" w:ascii="Times New Roman" w:hAnsi="Times New Roman" w:eastAsia="仿宋_GB2312" w:cs="仿宋_GB2312"/>
          <w:sz w:val="32"/>
          <w:szCs w:val="32"/>
          <w:highlight w:val="none"/>
          <w:shd w:val="clear" w:color="auto" w:fill="auto"/>
        </w:rPr>
      </w:pPr>
      <w:r>
        <w:rPr>
          <w:rStyle w:val="18"/>
          <w:rFonts w:hint="eastAsia" w:ascii="Times New Roman" w:hAnsi="Times New Roman" w:eastAsia="仿宋_GB2312" w:cs="仿宋_GB2312"/>
          <w:sz w:val="32"/>
          <w:szCs w:val="32"/>
          <w:highlight w:val="none"/>
          <w:shd w:val="clear" w:color="auto" w:fill="auto"/>
        </w:rPr>
        <w:t>选择产权调换的被征收人需要过渡的，征收人应当向被征收人支付临时安置费或者提供周转用房。</w:t>
      </w:r>
    </w:p>
    <w:p w14:paraId="76747C4F">
      <w:pPr>
        <w:spacing w:line="540" w:lineRule="exact"/>
        <w:ind w:firstLine="640" w:firstLineChars="200"/>
        <w:rPr>
          <w:rStyle w:val="18"/>
          <w:rFonts w:hint="eastAsia" w:ascii="Times New Roman" w:hAnsi="Times New Roman" w:eastAsia="仿宋_GB2312" w:cs="仿宋_GB2312"/>
          <w:sz w:val="32"/>
          <w:szCs w:val="32"/>
          <w:highlight w:val="none"/>
          <w:shd w:val="clear" w:color="auto" w:fill="auto"/>
        </w:rPr>
      </w:pPr>
      <w:r>
        <w:rPr>
          <w:rStyle w:val="18"/>
          <w:rFonts w:hint="eastAsia" w:ascii="Times New Roman" w:hAnsi="Times New Roman" w:eastAsia="仿宋_GB2312" w:cs="仿宋_GB2312"/>
          <w:sz w:val="32"/>
          <w:szCs w:val="32"/>
          <w:highlight w:val="none"/>
          <w:shd w:val="clear" w:color="auto" w:fill="auto"/>
        </w:rPr>
        <w:t>选择产权调换的被征收人，临时安置期自征收补偿协议签订后完成搬迁并交出房屋钥匙之日起计算，至安置房交付之日止。临时安置期一般不超过24个月，协议有约定的从其约定。安置房交付之日起不再支付临时安置费和违约金等费用，不再提供周转用房。安置房达到交付使用条件后征收人通知被征收人收房即为完成交付（以登报或张贴通知时间为准）。</w:t>
      </w:r>
    </w:p>
    <w:p w14:paraId="6DD1DAE2">
      <w:pPr>
        <w:widowControl w:val="0"/>
        <w:spacing w:line="590" w:lineRule="exact"/>
        <w:ind w:firstLine="667" w:firstLineChars="200"/>
        <w:rPr>
          <w:rFonts w:hint="eastAsia" w:ascii="Times New Roman" w:hAnsi="Times New Roman" w:eastAsia="方正仿宋_GBK" w:cs="Times New Roman"/>
          <w:b/>
          <w:bCs/>
          <w:spacing w:val="6"/>
          <w:sz w:val="32"/>
          <w:szCs w:val="32"/>
          <w:highlight w:val="none"/>
          <w:shd w:val="clear" w:color="auto" w:fill="auto"/>
        </w:rPr>
      </w:pPr>
      <w:r>
        <w:rPr>
          <w:rFonts w:hint="eastAsia" w:ascii="Times New Roman" w:hAnsi="Times New Roman" w:eastAsia="方正仿宋_GBK" w:cs="Times New Roman"/>
          <w:b/>
          <w:bCs/>
          <w:spacing w:val="6"/>
          <w:sz w:val="32"/>
          <w:szCs w:val="32"/>
          <w:highlight w:val="none"/>
          <w:shd w:val="clear" w:color="auto" w:fill="auto"/>
        </w:rPr>
        <w:t>3. 临时安置费</w:t>
      </w:r>
    </w:p>
    <w:p w14:paraId="26C6F76E">
      <w:pPr>
        <w:spacing w:line="540" w:lineRule="exact"/>
        <w:ind w:firstLine="640" w:firstLineChars="200"/>
        <w:rPr>
          <w:rStyle w:val="18"/>
          <w:rFonts w:hint="eastAsia" w:ascii="Times New Roman" w:hAnsi="Times New Roman" w:eastAsia="仿宋_GB2312" w:cs="仿宋_GB2312"/>
          <w:sz w:val="32"/>
          <w:szCs w:val="32"/>
          <w:highlight w:val="none"/>
          <w:shd w:val="clear" w:color="auto" w:fill="auto"/>
        </w:rPr>
      </w:pPr>
      <w:r>
        <w:rPr>
          <w:rStyle w:val="18"/>
          <w:rFonts w:hint="eastAsia" w:ascii="Times New Roman" w:hAnsi="Times New Roman" w:eastAsia="仿宋_GB2312" w:cs="仿宋_GB2312"/>
          <w:sz w:val="32"/>
          <w:szCs w:val="32"/>
          <w:highlight w:val="none"/>
          <w:shd w:val="clear" w:color="auto" w:fill="auto"/>
        </w:rPr>
        <w:t>（1）选择产权调换且自行安排临时周转用房的，每月按被征收房屋评估价值（不含装修和附属设施等费用）的0.4%支付临时安置费，不足800元的，按800元给付。非被征收人责任延长临时安置期限的，自逾期之月起按150%支付临时安置费。</w:t>
      </w:r>
    </w:p>
    <w:p w14:paraId="3A0EFD05">
      <w:pPr>
        <w:spacing w:line="540" w:lineRule="exact"/>
        <w:ind w:firstLine="640" w:firstLineChars="200"/>
        <w:rPr>
          <w:rStyle w:val="18"/>
          <w:rFonts w:hint="eastAsia" w:ascii="Times New Roman" w:hAnsi="Times New Roman" w:eastAsia="仿宋_GB2312" w:cs="仿宋_GB2312"/>
          <w:sz w:val="32"/>
          <w:szCs w:val="32"/>
          <w:highlight w:val="none"/>
          <w:shd w:val="clear" w:color="auto" w:fill="auto"/>
        </w:rPr>
      </w:pPr>
      <w:r>
        <w:rPr>
          <w:rStyle w:val="18"/>
          <w:rFonts w:hint="eastAsia" w:ascii="Times New Roman" w:hAnsi="Times New Roman" w:eastAsia="仿宋_GB2312" w:cs="仿宋_GB2312"/>
          <w:sz w:val="32"/>
          <w:szCs w:val="32"/>
          <w:highlight w:val="none"/>
          <w:shd w:val="clear" w:color="auto" w:fill="auto"/>
        </w:rPr>
        <w:t>（2）选择产权调换且征收人已提供周转用房的，不支付临时安置费。但非被征收人责任延长临时安置期限的，自逾期之月起按50%支付临时安置费。</w:t>
      </w:r>
    </w:p>
    <w:p w14:paraId="6C0D7C49">
      <w:pPr>
        <w:spacing w:line="540" w:lineRule="exact"/>
        <w:ind w:firstLine="640" w:firstLineChars="200"/>
        <w:rPr>
          <w:rStyle w:val="18"/>
          <w:rFonts w:hint="eastAsia" w:ascii="Times New Roman" w:hAnsi="Times New Roman" w:eastAsia="仿宋_GB2312" w:cs="仿宋_GB2312"/>
          <w:sz w:val="32"/>
          <w:szCs w:val="32"/>
          <w:highlight w:val="none"/>
          <w:shd w:val="clear" w:color="auto" w:fill="auto"/>
        </w:rPr>
      </w:pPr>
      <w:r>
        <w:rPr>
          <w:rStyle w:val="18"/>
          <w:rFonts w:hint="eastAsia" w:ascii="Times New Roman" w:hAnsi="Times New Roman" w:eastAsia="仿宋_GB2312" w:cs="仿宋_GB2312"/>
          <w:sz w:val="32"/>
          <w:szCs w:val="32"/>
          <w:highlight w:val="none"/>
          <w:shd w:val="clear" w:color="auto" w:fill="auto"/>
        </w:rPr>
        <w:t>（3）选择货币补偿的，按产权调换的临时安置费计算标准，给予被征收人一次性3个月临时安置费。</w:t>
      </w:r>
    </w:p>
    <w:p w14:paraId="5C65E3B2">
      <w:pPr>
        <w:widowControl w:val="0"/>
        <w:spacing w:line="590" w:lineRule="exact"/>
        <w:ind w:firstLine="667" w:firstLineChars="200"/>
        <w:rPr>
          <w:rFonts w:hint="eastAsia" w:ascii="Times New Roman" w:hAnsi="Times New Roman" w:eastAsia="楷体_GB2312" w:cs="Times New Roman"/>
          <w:b/>
          <w:bCs/>
          <w:spacing w:val="6"/>
          <w:sz w:val="32"/>
          <w:szCs w:val="32"/>
          <w:highlight w:val="none"/>
          <w:shd w:val="clear" w:color="auto" w:fill="auto"/>
        </w:rPr>
      </w:pPr>
      <w:r>
        <w:rPr>
          <w:rFonts w:hint="eastAsia" w:ascii="Times New Roman" w:hAnsi="Times New Roman" w:eastAsia="楷体_GB2312" w:cs="Times New Roman"/>
          <w:b/>
          <w:bCs/>
          <w:spacing w:val="6"/>
          <w:sz w:val="32"/>
          <w:szCs w:val="32"/>
          <w:highlight w:val="none"/>
          <w:shd w:val="clear" w:color="auto" w:fill="auto"/>
        </w:rPr>
        <w:t>（四）有证房屋征收补助与奖励</w:t>
      </w:r>
    </w:p>
    <w:p w14:paraId="4BDD0226">
      <w:pPr>
        <w:widowControl w:val="0"/>
        <w:spacing w:line="590" w:lineRule="exact"/>
        <w:ind w:firstLine="667" w:firstLineChars="200"/>
        <w:rPr>
          <w:rFonts w:hint="eastAsia" w:ascii="Times New Roman" w:hAnsi="Times New Roman" w:eastAsia="方正仿宋_GBK" w:cs="Times New Roman"/>
          <w:b/>
          <w:bCs/>
          <w:spacing w:val="6"/>
          <w:sz w:val="32"/>
          <w:szCs w:val="32"/>
          <w:highlight w:val="none"/>
          <w:shd w:val="clear" w:color="auto" w:fill="auto"/>
        </w:rPr>
      </w:pPr>
      <w:r>
        <w:rPr>
          <w:rFonts w:hint="eastAsia" w:ascii="Times New Roman" w:hAnsi="Times New Roman" w:eastAsia="方正仿宋_GBK" w:cs="Times New Roman"/>
          <w:b/>
          <w:bCs/>
          <w:spacing w:val="6"/>
          <w:sz w:val="32"/>
          <w:szCs w:val="32"/>
          <w:highlight w:val="none"/>
          <w:shd w:val="clear" w:color="auto" w:fill="auto"/>
        </w:rPr>
        <w:t>1. 征收补助</w:t>
      </w:r>
    </w:p>
    <w:p w14:paraId="78A84784">
      <w:pPr>
        <w:spacing w:line="540" w:lineRule="exact"/>
        <w:ind w:firstLine="640" w:firstLineChars="200"/>
        <w:rPr>
          <w:rStyle w:val="18"/>
          <w:rFonts w:hint="eastAsia" w:ascii="Times New Roman" w:hAnsi="Times New Roman" w:eastAsia="仿宋_GB2312" w:cs="仿宋_GB2312"/>
          <w:sz w:val="32"/>
          <w:szCs w:val="32"/>
          <w:highlight w:val="none"/>
          <w:shd w:val="clear" w:color="auto" w:fill="auto"/>
        </w:rPr>
      </w:pPr>
      <w:r>
        <w:rPr>
          <w:rStyle w:val="18"/>
          <w:rFonts w:hint="eastAsia" w:ascii="Times New Roman" w:hAnsi="Times New Roman" w:eastAsia="仿宋_GB2312" w:cs="仿宋_GB2312"/>
          <w:sz w:val="32"/>
          <w:szCs w:val="32"/>
          <w:highlight w:val="none"/>
          <w:shd w:val="clear" w:color="auto" w:fill="auto"/>
        </w:rPr>
        <w:t>有证住宅、非住宅、“住改非”房屋的被征收人选择货币补偿积极配合拆迁工作的，给予被征收人被征收房屋评估价值（不含装修和附属设施费用）10%的货币补助。</w:t>
      </w:r>
    </w:p>
    <w:p w14:paraId="6ACC7961">
      <w:pPr>
        <w:widowControl w:val="0"/>
        <w:spacing w:line="590" w:lineRule="exact"/>
        <w:ind w:firstLine="667" w:firstLineChars="200"/>
        <w:rPr>
          <w:rFonts w:hint="eastAsia" w:ascii="Times New Roman" w:hAnsi="Times New Roman" w:eastAsia="方正仿宋_GBK" w:cs="Times New Roman"/>
          <w:b/>
          <w:bCs/>
          <w:spacing w:val="6"/>
          <w:sz w:val="32"/>
          <w:szCs w:val="32"/>
          <w:highlight w:val="none"/>
          <w:shd w:val="clear" w:color="auto" w:fill="auto"/>
        </w:rPr>
      </w:pPr>
      <w:r>
        <w:rPr>
          <w:rFonts w:hint="eastAsia" w:ascii="Times New Roman" w:hAnsi="Times New Roman" w:eastAsia="方正仿宋_GBK" w:cs="Times New Roman"/>
          <w:b/>
          <w:bCs/>
          <w:spacing w:val="6"/>
          <w:sz w:val="32"/>
          <w:szCs w:val="32"/>
          <w:highlight w:val="none"/>
          <w:shd w:val="clear" w:color="auto" w:fill="auto"/>
        </w:rPr>
        <w:t>2. 奖励</w:t>
      </w:r>
    </w:p>
    <w:p w14:paraId="415963C4">
      <w:pPr>
        <w:spacing w:line="540" w:lineRule="exact"/>
        <w:ind w:firstLine="640" w:firstLineChars="200"/>
        <w:rPr>
          <w:rStyle w:val="18"/>
          <w:rFonts w:hint="eastAsia" w:ascii="Times New Roman" w:hAnsi="Times New Roman" w:eastAsia="仿宋_GB2312" w:cs="仿宋_GB2312"/>
          <w:sz w:val="32"/>
          <w:szCs w:val="32"/>
          <w:highlight w:val="none"/>
          <w:shd w:val="clear" w:color="auto" w:fill="auto"/>
        </w:rPr>
      </w:pPr>
      <w:r>
        <w:rPr>
          <w:rStyle w:val="18"/>
          <w:rFonts w:hint="eastAsia" w:ascii="Times New Roman" w:hAnsi="Times New Roman" w:eastAsia="仿宋_GB2312" w:cs="仿宋_GB2312"/>
          <w:sz w:val="32"/>
          <w:szCs w:val="32"/>
          <w:highlight w:val="none"/>
          <w:shd w:val="clear" w:color="auto" w:fill="auto"/>
        </w:rPr>
        <w:t>（1）对有证住宅、非住宅、“住改非”房屋的被征收人实行的奖励：</w:t>
      </w:r>
    </w:p>
    <w:p w14:paraId="1D5534D7">
      <w:pPr>
        <w:spacing w:line="540" w:lineRule="exact"/>
        <w:ind w:firstLine="640" w:firstLineChars="200"/>
        <w:rPr>
          <w:rStyle w:val="18"/>
          <w:rFonts w:hint="eastAsia" w:ascii="Times New Roman" w:hAnsi="Times New Roman" w:eastAsia="仿宋_GB2312" w:cs="仿宋_GB2312"/>
          <w:sz w:val="32"/>
          <w:szCs w:val="32"/>
          <w:highlight w:val="none"/>
          <w:shd w:val="clear" w:color="auto" w:fill="auto"/>
        </w:rPr>
      </w:pPr>
      <w:r>
        <w:rPr>
          <w:rStyle w:val="18"/>
          <w:rFonts w:hint="eastAsia" w:ascii="Times New Roman" w:hAnsi="Times New Roman" w:eastAsia="仿宋_GB2312" w:cs="仿宋_GB2312"/>
          <w:sz w:val="32"/>
          <w:szCs w:val="32"/>
          <w:highlight w:val="none"/>
          <w:shd w:val="clear" w:color="auto" w:fill="auto"/>
        </w:rPr>
        <w:t>① 实行产权调换或者货币补偿的被征收人，在征收补偿方案确定的签约期限30日内签订补偿安置协议并主动完成搬迁的，给予被征收房屋评估价值（不含装修和附属设施费用）15%的搬迁奖励；在征收补偿方案确定的签约期限45日内签订补偿安置协议并主动完成搬迁的，给予被征收房屋评估价值（不含装修和附属设施费用）10%的搬迁奖励；在征收补偿方案确定的签约期限50日内签订补偿安置协议并主动完成搬迁的，给予被征收房屋评估价值（不含装修和附属设施费用）5%的搬迁奖励。超过上述规定签约期限的不予相应奖励。</w:t>
      </w:r>
    </w:p>
    <w:p w14:paraId="68D8DF64">
      <w:pPr>
        <w:spacing w:line="540" w:lineRule="exact"/>
        <w:ind w:firstLine="640" w:firstLineChars="200"/>
        <w:rPr>
          <w:rStyle w:val="18"/>
          <w:rFonts w:hint="eastAsia" w:ascii="Times New Roman" w:hAnsi="Times New Roman" w:eastAsia="仿宋_GB2312" w:cs="仿宋_GB2312"/>
          <w:sz w:val="32"/>
          <w:szCs w:val="32"/>
          <w:highlight w:val="none"/>
          <w:shd w:val="clear" w:color="auto" w:fill="auto"/>
        </w:rPr>
      </w:pPr>
      <w:r>
        <w:rPr>
          <w:rStyle w:val="18"/>
          <w:rFonts w:hint="eastAsia" w:ascii="Times New Roman" w:hAnsi="Times New Roman" w:eastAsia="仿宋_GB2312" w:cs="仿宋_GB2312"/>
          <w:sz w:val="32"/>
          <w:szCs w:val="32"/>
          <w:highlight w:val="none"/>
          <w:shd w:val="clear" w:color="auto" w:fill="auto"/>
        </w:rPr>
        <w:t>② 选择产权调换的，安置房交付后再给予3个月的临时安置费或周转用房作为装修过渡期，临时安置费每月按被征收房屋评估价值（不含装修和附属设施等费用）的0.4%支付，不足800元的，按800元给付。征收人提供周转用房的不支付临时安置费。</w:t>
      </w:r>
    </w:p>
    <w:p w14:paraId="62FEDD83">
      <w:pPr>
        <w:spacing w:line="540" w:lineRule="exact"/>
        <w:ind w:firstLine="640" w:firstLineChars="200"/>
        <w:rPr>
          <w:rStyle w:val="18"/>
          <w:rFonts w:hint="eastAsia" w:ascii="Times New Roman" w:hAnsi="Times New Roman" w:eastAsia="仿宋_GB2312" w:cs="仿宋_GB2312"/>
          <w:sz w:val="32"/>
          <w:szCs w:val="32"/>
          <w:highlight w:val="none"/>
          <w:shd w:val="clear" w:color="auto" w:fill="auto"/>
        </w:rPr>
      </w:pPr>
      <w:r>
        <w:rPr>
          <w:rStyle w:val="18"/>
          <w:rFonts w:hint="eastAsia" w:ascii="Times New Roman" w:hAnsi="Times New Roman" w:eastAsia="仿宋_GB2312" w:cs="仿宋_GB2312"/>
          <w:sz w:val="32"/>
          <w:szCs w:val="32"/>
          <w:highlight w:val="none"/>
          <w:shd w:val="clear" w:color="auto" w:fill="auto"/>
        </w:rPr>
        <w:t>（2）对独生子女户和已婚未育夫妇实行的奖励</w:t>
      </w:r>
    </w:p>
    <w:p w14:paraId="6684D0CA">
      <w:pPr>
        <w:spacing w:line="540" w:lineRule="exact"/>
        <w:ind w:firstLine="640" w:firstLineChars="200"/>
        <w:rPr>
          <w:rStyle w:val="18"/>
          <w:rFonts w:hint="eastAsia" w:ascii="Times New Roman" w:hAnsi="Times New Roman" w:eastAsia="仿宋_GB2312" w:cs="仿宋_GB2312"/>
          <w:sz w:val="32"/>
          <w:szCs w:val="32"/>
          <w:highlight w:val="none"/>
          <w:shd w:val="clear" w:color="auto" w:fill="auto"/>
        </w:rPr>
      </w:pPr>
      <w:r>
        <w:rPr>
          <w:rStyle w:val="18"/>
          <w:rFonts w:hint="eastAsia" w:ascii="Times New Roman" w:hAnsi="Times New Roman" w:eastAsia="仿宋_GB2312" w:cs="仿宋_GB2312"/>
          <w:sz w:val="32"/>
          <w:szCs w:val="32"/>
          <w:highlight w:val="none"/>
          <w:shd w:val="clear" w:color="auto" w:fill="auto"/>
        </w:rPr>
        <w:t>独生子女户且在2016年1月1日之前领取《独生子女父母光荣证》的和已婚未育夫妇（自本方案公布之日止）为本村常住农业人口且享有本村集体收益分配权的被征收人，可增加一个安置人口指标。</w:t>
      </w:r>
    </w:p>
    <w:p w14:paraId="104ACC4C">
      <w:pPr>
        <w:widowControl w:val="0"/>
        <w:spacing w:line="590" w:lineRule="exact"/>
        <w:ind w:firstLine="667" w:firstLineChars="200"/>
        <w:rPr>
          <w:rFonts w:hint="eastAsia" w:ascii="Times New Roman" w:hAnsi="Times New Roman" w:eastAsia="楷体_GB2312" w:cs="Times New Roman"/>
          <w:b/>
          <w:bCs/>
          <w:spacing w:val="6"/>
          <w:sz w:val="32"/>
          <w:szCs w:val="32"/>
          <w:highlight w:val="none"/>
          <w:shd w:val="clear" w:color="auto" w:fill="auto"/>
        </w:rPr>
      </w:pPr>
      <w:r>
        <w:rPr>
          <w:rFonts w:hint="eastAsia" w:ascii="Times New Roman" w:hAnsi="Times New Roman" w:eastAsia="楷体_GB2312" w:cs="Times New Roman"/>
          <w:b/>
          <w:bCs/>
          <w:spacing w:val="6"/>
          <w:sz w:val="32"/>
          <w:szCs w:val="32"/>
          <w:highlight w:val="none"/>
          <w:shd w:val="clear" w:color="auto" w:fill="auto"/>
        </w:rPr>
        <w:t>（五）不动产权证的办理</w:t>
      </w:r>
    </w:p>
    <w:p w14:paraId="208C3D34">
      <w:pPr>
        <w:spacing w:line="540" w:lineRule="exact"/>
        <w:ind w:firstLine="640" w:firstLineChars="200"/>
        <w:rPr>
          <w:rStyle w:val="18"/>
          <w:rFonts w:hint="eastAsia" w:ascii="Times New Roman" w:hAnsi="Times New Roman" w:eastAsia="仿宋_GB2312" w:cs="仿宋_GB2312"/>
          <w:sz w:val="32"/>
          <w:szCs w:val="32"/>
          <w:highlight w:val="none"/>
          <w:shd w:val="clear" w:color="auto" w:fill="auto"/>
        </w:rPr>
      </w:pPr>
      <w:r>
        <w:rPr>
          <w:rStyle w:val="18"/>
          <w:rFonts w:hint="eastAsia" w:ascii="Times New Roman" w:hAnsi="Times New Roman" w:eastAsia="仿宋_GB2312" w:cs="仿宋_GB2312"/>
          <w:sz w:val="32"/>
          <w:szCs w:val="32"/>
          <w:highlight w:val="none"/>
          <w:shd w:val="clear" w:color="auto" w:fill="auto"/>
        </w:rPr>
        <w:t>不动产权证由被征收人自行申请办理，项目业主负责协助，不动产权证办理费用由被征收人缴纳。被征收人必须按要求提供相关材料，若因被征收人的个人原因造成无法在协议约定的期限内完成不动产权属登记备案手续的，由被征收人自行承担相关法律责任，项目业主不承担任何违约责任。</w:t>
      </w:r>
    </w:p>
    <w:p w14:paraId="3F14B335">
      <w:pPr>
        <w:spacing w:line="540" w:lineRule="exact"/>
        <w:ind w:firstLine="640" w:firstLineChars="200"/>
        <w:rPr>
          <w:rStyle w:val="18"/>
          <w:rFonts w:hint="eastAsia" w:ascii="Times New Roman" w:hAnsi="Times New Roman" w:eastAsia="仿宋_GB2312" w:cs="仿宋_GB2312"/>
          <w:sz w:val="32"/>
          <w:szCs w:val="32"/>
          <w:highlight w:val="none"/>
          <w:shd w:val="clear" w:color="auto" w:fill="auto"/>
        </w:rPr>
      </w:pPr>
      <w:r>
        <w:rPr>
          <w:rStyle w:val="18"/>
          <w:rFonts w:hint="eastAsia" w:ascii="Times New Roman" w:hAnsi="Times New Roman" w:eastAsia="仿宋_GB2312" w:cs="仿宋_GB2312"/>
          <w:sz w:val="32"/>
          <w:szCs w:val="32"/>
          <w:highlight w:val="none"/>
          <w:shd w:val="clear" w:color="auto" w:fill="auto"/>
        </w:rPr>
        <w:t>办理安置房屋不动产权证依照相关规定应缴纳的税款，由征收人、被征收人各自负责缴纳。</w:t>
      </w:r>
    </w:p>
    <w:p w14:paraId="182BBE64">
      <w:pPr>
        <w:spacing w:line="540" w:lineRule="exact"/>
        <w:ind w:firstLine="640" w:firstLineChars="200"/>
        <w:rPr>
          <w:rStyle w:val="17"/>
          <w:rFonts w:ascii="Times New Roman" w:hAnsi="Times New Roman" w:eastAsia="黑体" w:cs="Times New Roman"/>
          <w:sz w:val="32"/>
          <w:szCs w:val="32"/>
          <w:highlight w:val="none"/>
          <w:shd w:val="clear" w:color="auto" w:fill="auto"/>
        </w:rPr>
      </w:pPr>
      <w:r>
        <w:rPr>
          <w:rStyle w:val="17"/>
          <w:rFonts w:ascii="Times New Roman" w:hAnsi="Times New Roman" w:eastAsia="黑体" w:cs="Times New Roman"/>
          <w:sz w:val="32"/>
          <w:szCs w:val="32"/>
          <w:highlight w:val="none"/>
          <w:shd w:val="clear" w:color="auto" w:fill="auto"/>
        </w:rPr>
        <w:t>七、无证主体房屋的征收补贴和奖励</w:t>
      </w:r>
    </w:p>
    <w:p w14:paraId="6133B667">
      <w:pPr>
        <w:widowControl w:val="0"/>
        <w:spacing w:line="584" w:lineRule="exact"/>
        <w:ind w:firstLine="667" w:firstLineChars="200"/>
        <w:rPr>
          <w:rFonts w:ascii="Times New Roman" w:hAnsi="Times New Roman" w:eastAsia="楷体_GB2312" w:cs="Times New Roman"/>
          <w:b/>
          <w:spacing w:val="6"/>
          <w:sz w:val="32"/>
          <w:szCs w:val="32"/>
          <w:highlight w:val="none"/>
          <w:shd w:val="clear" w:color="auto" w:fill="auto"/>
        </w:rPr>
      </w:pPr>
      <w:r>
        <w:rPr>
          <w:rFonts w:ascii="Times New Roman" w:hAnsi="Times New Roman" w:eastAsia="楷体_GB2312" w:cs="Times New Roman"/>
          <w:b/>
          <w:spacing w:val="6"/>
          <w:sz w:val="32"/>
          <w:szCs w:val="32"/>
          <w:highlight w:val="none"/>
          <w:shd w:val="clear" w:color="auto" w:fill="auto"/>
        </w:rPr>
        <w:t>（一）无证主体房屋的征收补贴</w:t>
      </w:r>
    </w:p>
    <w:p w14:paraId="17E9707A">
      <w:pPr>
        <w:spacing w:line="540" w:lineRule="exact"/>
        <w:ind w:firstLine="640" w:firstLineChars="200"/>
        <w:rPr>
          <w:rStyle w:val="18"/>
          <w:rFonts w:hint="eastAsia" w:ascii="Times New Roman" w:hAnsi="Times New Roman" w:eastAsia="仿宋_GB2312" w:cs="仿宋_GB2312"/>
          <w:sz w:val="32"/>
          <w:szCs w:val="32"/>
          <w:highlight w:val="none"/>
          <w:shd w:val="clear" w:color="auto" w:fill="auto"/>
        </w:rPr>
      </w:pPr>
      <w:r>
        <w:rPr>
          <w:rStyle w:val="18"/>
          <w:rFonts w:hint="eastAsia" w:ascii="Times New Roman" w:hAnsi="Times New Roman" w:eastAsia="仿宋_GB2312" w:cs="仿宋_GB2312"/>
          <w:sz w:val="32"/>
          <w:szCs w:val="32"/>
          <w:highlight w:val="none"/>
          <w:shd w:val="clear" w:color="auto" w:fill="auto"/>
        </w:rPr>
        <w:t>1.被征收人的房屋经核查属于无证建筑，但被征收人确属本村常住农业人口且享受本村集体收益分配权的，该户仅有一处住房，且积极配合征收工作，在规定的时间内签订相关协议并搬迁完毕交出房屋钥匙的，经公示核实无异议后，其无证房屋面积超过人均建筑面积40㎡的，按安置人口人均40㎡参照有证住宅的标准给予安置或补贴，其余部分按无证建筑处理；其无证房屋面积不足人均建筑面积40㎡的，按实际面积参照有证住宅的标准给予安置或补贴。</w:t>
      </w:r>
    </w:p>
    <w:p w14:paraId="718CB0BD">
      <w:pPr>
        <w:spacing w:line="540" w:lineRule="exact"/>
        <w:ind w:firstLine="640" w:firstLineChars="200"/>
        <w:rPr>
          <w:rStyle w:val="18"/>
          <w:rFonts w:hint="eastAsia" w:ascii="Times New Roman" w:hAnsi="Times New Roman" w:eastAsia="仿宋_GB2312" w:cs="仿宋_GB2312"/>
          <w:sz w:val="32"/>
          <w:szCs w:val="32"/>
          <w:highlight w:val="none"/>
          <w:shd w:val="clear" w:color="auto" w:fill="auto"/>
        </w:rPr>
      </w:pPr>
      <w:r>
        <w:rPr>
          <w:rStyle w:val="18"/>
          <w:rFonts w:hint="eastAsia" w:ascii="Times New Roman" w:hAnsi="Times New Roman" w:eastAsia="仿宋_GB2312" w:cs="仿宋_GB2312"/>
          <w:sz w:val="32"/>
          <w:szCs w:val="32"/>
          <w:highlight w:val="none"/>
          <w:shd w:val="clear" w:color="auto" w:fill="auto"/>
        </w:rPr>
        <w:t>上述选择产权调换安置的被征收人可按人均建筑面积60㎡选择安置房，但需对差额部分向征收人进行补差。每户安置房面积超过该户置换面积12㎡以内（含12㎡）的部分，按优惠价（安置房评估价的80%）进行补差，超过12㎡以上的部分按安置房评估价进行补差。若无证房屋原面积不足人均建筑面积40㎡的，其安置房补足人均建筑面积40㎡的差额部分按优惠价（安置房评估价的80%）进行补差；该户安置房面积超过人均建筑面积40㎡的面积在 12㎡内（含 12 ㎡）的部分由被征收人按优惠价（安置房评估价的80%）进行补差，超过的面积在12㎡以上的部分由被征收人按安置房评估价进行补差。</w:t>
      </w:r>
    </w:p>
    <w:p w14:paraId="3D653A3F">
      <w:pPr>
        <w:spacing w:line="540" w:lineRule="exact"/>
        <w:ind w:firstLine="640" w:firstLineChars="200"/>
        <w:rPr>
          <w:rStyle w:val="18"/>
          <w:rFonts w:hint="eastAsia" w:ascii="Times New Roman" w:hAnsi="Times New Roman" w:eastAsia="仿宋_GB2312" w:cs="仿宋_GB2312"/>
          <w:sz w:val="32"/>
          <w:szCs w:val="32"/>
          <w:highlight w:val="none"/>
          <w:shd w:val="clear" w:color="auto" w:fill="auto"/>
        </w:rPr>
      </w:pPr>
      <w:r>
        <w:rPr>
          <w:rStyle w:val="18"/>
          <w:rFonts w:hint="eastAsia" w:ascii="Times New Roman" w:hAnsi="Times New Roman" w:eastAsia="仿宋_GB2312" w:cs="仿宋_GB2312"/>
          <w:sz w:val="32"/>
          <w:szCs w:val="32"/>
          <w:highlight w:val="none"/>
          <w:shd w:val="clear" w:color="auto" w:fill="auto"/>
        </w:rPr>
        <w:t>2.被征收人的房屋经核查属于无证建筑，但被征收人为特困供养人员，由征收主体在安置小区内按人均建筑面积60㎡进行安置，在该户特困供养人员死亡后由征收主体收回。</w:t>
      </w:r>
    </w:p>
    <w:p w14:paraId="6F7858D4">
      <w:pPr>
        <w:spacing w:line="540" w:lineRule="exact"/>
        <w:ind w:firstLine="640" w:firstLineChars="200"/>
        <w:rPr>
          <w:rStyle w:val="18"/>
          <w:rFonts w:hint="eastAsia" w:ascii="Times New Roman" w:hAnsi="Times New Roman" w:eastAsia="仿宋_GB2312" w:cs="仿宋_GB2312"/>
          <w:sz w:val="32"/>
          <w:szCs w:val="32"/>
          <w:highlight w:val="none"/>
          <w:shd w:val="clear" w:color="auto" w:fill="auto"/>
        </w:rPr>
      </w:pPr>
      <w:r>
        <w:rPr>
          <w:rStyle w:val="18"/>
          <w:rFonts w:hint="eastAsia" w:ascii="Times New Roman" w:hAnsi="Times New Roman" w:eastAsia="仿宋_GB2312" w:cs="仿宋_GB2312"/>
          <w:sz w:val="32"/>
          <w:szCs w:val="32"/>
          <w:highlight w:val="none"/>
          <w:shd w:val="clear" w:color="auto" w:fill="auto"/>
        </w:rPr>
        <w:t>3.2006年12月25日“两法两条例”宣传整治活动之前建成的无证主体房屋，补贴标准如下：（1）被征收人在征收补偿方案公布后15天内签订协议的，砖混结构最高可给予450元/㎡的建筑材料补助，砖木房最高可给予250元/㎡的建筑材料补助；（2）被征收人在征收补偿方案公布后30天内签订助拆协议的，砖混结构最高可给予350元/㎡的建筑材料补助，砖木结构最高可给予150元/㎡的建筑材料补助；（3）被征收人在征收补偿方案公布后45天内签订助拆协议的，砖混结构最高可给予250元/㎡的建筑材料补助，砖木结构最高可给予50元/㎡的建筑材料补助。</w:t>
      </w:r>
    </w:p>
    <w:p w14:paraId="76F4A3F7">
      <w:pPr>
        <w:spacing w:line="540" w:lineRule="exact"/>
        <w:ind w:firstLine="640" w:firstLineChars="200"/>
        <w:rPr>
          <w:rStyle w:val="18"/>
          <w:rFonts w:hint="eastAsia" w:ascii="Times New Roman" w:hAnsi="Times New Roman" w:eastAsia="仿宋_GB2312" w:cs="仿宋_GB2312"/>
          <w:sz w:val="32"/>
          <w:szCs w:val="32"/>
          <w:highlight w:val="none"/>
          <w:shd w:val="clear" w:color="auto" w:fill="auto"/>
        </w:rPr>
      </w:pPr>
      <w:r>
        <w:rPr>
          <w:rStyle w:val="18"/>
          <w:rFonts w:hint="eastAsia" w:ascii="Times New Roman" w:hAnsi="Times New Roman" w:eastAsia="仿宋_GB2312" w:cs="仿宋_GB2312"/>
          <w:sz w:val="32"/>
          <w:szCs w:val="32"/>
          <w:highlight w:val="none"/>
          <w:shd w:val="clear" w:color="auto" w:fill="auto"/>
        </w:rPr>
        <w:t>以上情况，被征收人在签订助拆协议后10天内搬迁完毕交出房屋钥匙的，再给予200元/㎡的助拆费。逾期一律不给助拆费。</w:t>
      </w:r>
    </w:p>
    <w:p w14:paraId="22432AC0">
      <w:pPr>
        <w:spacing w:line="540" w:lineRule="exact"/>
        <w:ind w:firstLine="640" w:firstLineChars="200"/>
        <w:rPr>
          <w:rStyle w:val="18"/>
          <w:rFonts w:hint="eastAsia" w:ascii="Times New Roman" w:hAnsi="Times New Roman" w:eastAsia="仿宋_GB2312" w:cs="仿宋_GB2312"/>
          <w:sz w:val="32"/>
          <w:szCs w:val="32"/>
          <w:highlight w:val="none"/>
          <w:shd w:val="clear" w:color="auto" w:fill="auto"/>
        </w:rPr>
      </w:pPr>
      <w:r>
        <w:rPr>
          <w:rStyle w:val="18"/>
          <w:rFonts w:hint="eastAsia" w:ascii="Times New Roman" w:hAnsi="Times New Roman" w:eastAsia="仿宋_GB2312" w:cs="仿宋_GB2312"/>
          <w:sz w:val="32"/>
          <w:szCs w:val="32"/>
          <w:highlight w:val="none"/>
          <w:shd w:val="clear" w:color="auto" w:fill="auto"/>
        </w:rPr>
        <w:t>4. 2006年12月25日“两法两条例”宣传整治活动之后新建的无证主体房屋，不给予建筑材料补助费，被征收人在规定时间内签订协议并搬迁完毕交出房屋钥匙的，给予200元/㎡的助拆费。无证房屋所有人不配合工作的，依法拆除，不给予任何补助。</w:t>
      </w:r>
    </w:p>
    <w:p w14:paraId="05CBD082">
      <w:pPr>
        <w:spacing w:line="540" w:lineRule="exact"/>
        <w:ind w:firstLine="640" w:firstLineChars="200"/>
        <w:rPr>
          <w:rStyle w:val="18"/>
          <w:rFonts w:hint="eastAsia" w:ascii="Times New Roman" w:hAnsi="Times New Roman" w:eastAsia="仿宋_GB2312" w:cs="仿宋_GB2312"/>
          <w:sz w:val="32"/>
          <w:szCs w:val="32"/>
          <w:highlight w:val="none"/>
          <w:shd w:val="clear" w:color="auto" w:fill="auto"/>
        </w:rPr>
      </w:pPr>
      <w:r>
        <w:rPr>
          <w:rStyle w:val="18"/>
          <w:rFonts w:hint="eastAsia" w:ascii="Times New Roman" w:hAnsi="Times New Roman" w:eastAsia="仿宋_GB2312" w:cs="仿宋_GB2312"/>
          <w:sz w:val="32"/>
          <w:szCs w:val="32"/>
          <w:highlight w:val="none"/>
          <w:shd w:val="clear" w:color="auto" w:fill="auto"/>
        </w:rPr>
        <w:t>5.上述情况无证房屋装修部分不给予任何补偿。</w:t>
      </w:r>
    </w:p>
    <w:p w14:paraId="770ACD03">
      <w:pPr>
        <w:widowControl w:val="0"/>
        <w:spacing w:line="584" w:lineRule="exact"/>
        <w:ind w:firstLine="640"/>
        <w:rPr>
          <w:rFonts w:ascii="Times New Roman" w:hAnsi="Times New Roman" w:eastAsia="楷体_GB2312" w:cs="Times New Roman"/>
          <w:b/>
          <w:spacing w:val="6"/>
          <w:sz w:val="32"/>
          <w:szCs w:val="32"/>
          <w:highlight w:val="none"/>
          <w:shd w:val="clear" w:color="auto" w:fill="auto"/>
        </w:rPr>
      </w:pPr>
      <w:r>
        <w:rPr>
          <w:rFonts w:ascii="Times New Roman" w:hAnsi="Times New Roman" w:eastAsia="楷体_GB2312" w:cs="Times New Roman"/>
          <w:b/>
          <w:spacing w:val="6"/>
          <w:sz w:val="32"/>
          <w:szCs w:val="32"/>
          <w:highlight w:val="none"/>
          <w:shd w:val="clear" w:color="auto" w:fill="auto"/>
        </w:rPr>
        <w:t>（二）仅有一处住房，无证建筑按安置人口人均40㎡参照有证住宅标准给予安置的奖励</w:t>
      </w:r>
    </w:p>
    <w:p w14:paraId="7467D85C">
      <w:pPr>
        <w:spacing w:line="540" w:lineRule="exact"/>
        <w:ind w:firstLine="640" w:firstLineChars="200"/>
        <w:rPr>
          <w:rStyle w:val="18"/>
          <w:rFonts w:hint="eastAsia" w:ascii="Times New Roman" w:hAnsi="Times New Roman" w:eastAsia="仿宋_GB2312" w:cs="仿宋_GB2312"/>
          <w:sz w:val="32"/>
          <w:szCs w:val="32"/>
          <w:highlight w:val="none"/>
          <w:shd w:val="clear" w:color="auto" w:fill="auto"/>
        </w:rPr>
      </w:pPr>
      <w:r>
        <w:rPr>
          <w:rStyle w:val="18"/>
          <w:rFonts w:hint="eastAsia" w:ascii="Times New Roman" w:hAnsi="Times New Roman" w:eastAsia="仿宋_GB2312" w:cs="仿宋_GB2312"/>
          <w:sz w:val="32"/>
          <w:szCs w:val="32"/>
          <w:highlight w:val="none"/>
          <w:shd w:val="clear" w:color="auto" w:fill="auto"/>
        </w:rPr>
        <w:t>仅有一处住房，按安置人口人均40㎡参照有证住宅标准置换安置房的无证建筑的被征收人，积极配合征收工作，在规定的时间内签订协议并完成搬迁交出房屋钥匙的，按以下政策进行奖励，不再按有证房屋的临时安置费计算标准给予临时安置费：无证建筑所有权人在6人以内的（含6人）每户每月按1500元给予临时安置补贴，7-8人的每户每月按2000元给予临时安置补贴，9人以上的（含9人）每户每月按2500元给予临时安置补贴，补贴时间最多不超过24个月；若安置房在24个月内交付的，按实际过渡时间支付临时安置补贴。安置房交付后再给予3个月的装修过渡期，装修过渡期内按上述相应标准进行补贴。</w:t>
      </w:r>
    </w:p>
    <w:p w14:paraId="4EE42D65">
      <w:pPr>
        <w:spacing w:line="540" w:lineRule="exact"/>
        <w:ind w:firstLine="640" w:firstLineChars="200"/>
        <w:rPr>
          <w:rStyle w:val="18"/>
          <w:rFonts w:hint="eastAsia" w:ascii="Times New Roman" w:hAnsi="Times New Roman" w:eastAsia="仿宋_GB2312" w:cs="仿宋_GB2312"/>
          <w:sz w:val="32"/>
          <w:szCs w:val="32"/>
          <w:highlight w:val="none"/>
          <w:shd w:val="clear" w:color="auto" w:fill="auto"/>
        </w:rPr>
      </w:pPr>
      <w:r>
        <w:rPr>
          <w:rStyle w:val="18"/>
          <w:rFonts w:hint="eastAsia" w:ascii="Times New Roman" w:hAnsi="Times New Roman" w:eastAsia="仿宋_GB2312" w:cs="仿宋_GB2312"/>
          <w:sz w:val="32"/>
          <w:szCs w:val="32"/>
          <w:highlight w:val="none"/>
          <w:shd w:val="clear" w:color="auto" w:fill="auto"/>
        </w:rPr>
        <w:t>仅有一处住房，按安置人口人均40㎡参照有证住宅标准实行货币补偿方式的按上述标准给予一次性3个月的临时安置补贴，不再按有证房屋的临时安置费计算标准给予临时安置费。</w:t>
      </w:r>
    </w:p>
    <w:p w14:paraId="22AE4BCB">
      <w:pPr>
        <w:widowControl w:val="0"/>
        <w:spacing w:line="584" w:lineRule="exact"/>
        <w:ind w:firstLine="640" w:firstLineChars="200"/>
        <w:rPr>
          <w:rFonts w:ascii="Times New Roman" w:hAnsi="Times New Roman" w:eastAsia="黑体" w:cs="Times New Roman"/>
          <w:sz w:val="32"/>
          <w:szCs w:val="32"/>
          <w:highlight w:val="none"/>
          <w:shd w:val="clear" w:color="auto" w:fill="auto"/>
        </w:rPr>
      </w:pPr>
      <w:r>
        <w:rPr>
          <w:rFonts w:ascii="Times New Roman" w:hAnsi="Times New Roman" w:eastAsia="黑体" w:cs="Times New Roman"/>
          <w:sz w:val="32"/>
          <w:szCs w:val="32"/>
          <w:highlight w:val="none"/>
          <w:shd w:val="clear" w:color="auto" w:fill="auto"/>
        </w:rPr>
        <w:t>八、宅基地置换安置的安置房拆迁</w:t>
      </w:r>
    </w:p>
    <w:p w14:paraId="139E64E5">
      <w:pPr>
        <w:spacing w:line="540" w:lineRule="exact"/>
        <w:ind w:firstLine="640" w:firstLineChars="200"/>
        <w:rPr>
          <w:rStyle w:val="18"/>
          <w:rFonts w:hint="eastAsia" w:ascii="Times New Roman" w:hAnsi="Times New Roman" w:eastAsia="仿宋_GB2312" w:cs="仿宋_GB2312"/>
          <w:sz w:val="32"/>
          <w:szCs w:val="32"/>
          <w:highlight w:val="none"/>
          <w:shd w:val="clear" w:color="auto" w:fill="auto"/>
        </w:rPr>
      </w:pPr>
      <w:r>
        <w:rPr>
          <w:rStyle w:val="18"/>
          <w:rFonts w:hint="eastAsia" w:ascii="Times New Roman" w:hAnsi="Times New Roman" w:eastAsia="仿宋_GB2312" w:cs="仿宋_GB2312"/>
          <w:sz w:val="32"/>
          <w:szCs w:val="32"/>
          <w:highlight w:val="none"/>
          <w:shd w:val="clear" w:color="auto" w:fill="auto"/>
        </w:rPr>
        <w:t>因秀峰区项目建设拆迁且已按宅基地置换安置政策建设的房屋，在征收补偿方案公布后50天内签订协议的被征收人，按签订宅基地置换安置协议确定的安置面积视同“有证面积”，参照有证住宅征收补偿方式执行，其余的部分按无证房屋给予处理；若被征收人已享受了人均建筑面积60㎡产权调换安置的，按签订宅基地置换安置协议确定的安置面积视同“有证面积”采取货币补偿方式；若经核实原产权调换安置的房屋面积未达到人均建筑面积60㎡，补足人均建筑面积60㎡的差额面积。已交公共配套设施建设费用的，凭缴款凭证退回全款，并支付同期银行活期存款利率所产生的利息。</w:t>
      </w:r>
    </w:p>
    <w:p w14:paraId="3E9156DF">
      <w:pPr>
        <w:widowControl w:val="0"/>
        <w:spacing w:line="584" w:lineRule="exact"/>
        <w:ind w:firstLine="664" w:firstLineChars="200"/>
        <w:rPr>
          <w:rFonts w:ascii="Times New Roman" w:hAnsi="Times New Roman" w:eastAsia="仿宋_GB2312" w:cs="Times New Roman"/>
          <w:spacing w:val="6"/>
          <w:sz w:val="32"/>
          <w:szCs w:val="32"/>
          <w:highlight w:val="none"/>
          <w:shd w:val="clear" w:color="auto" w:fill="auto"/>
        </w:rPr>
      </w:pPr>
      <w:r>
        <w:rPr>
          <w:rFonts w:ascii="Times New Roman" w:hAnsi="Times New Roman" w:eastAsia="黑体" w:cs="Times New Roman"/>
          <w:spacing w:val="6"/>
          <w:sz w:val="32"/>
          <w:szCs w:val="32"/>
          <w:highlight w:val="none"/>
          <w:shd w:val="clear" w:color="auto" w:fill="auto"/>
        </w:rPr>
        <w:t>九、其他</w:t>
      </w:r>
    </w:p>
    <w:p w14:paraId="68BE6CE5">
      <w:pPr>
        <w:spacing w:line="540" w:lineRule="exact"/>
        <w:ind w:firstLine="640" w:firstLineChars="200"/>
        <w:rPr>
          <w:rStyle w:val="18"/>
          <w:rFonts w:hint="eastAsia" w:ascii="Times New Roman" w:hAnsi="Times New Roman" w:eastAsia="仿宋_GB2312" w:cs="仿宋_GB2312"/>
          <w:sz w:val="32"/>
          <w:szCs w:val="32"/>
          <w:highlight w:val="none"/>
          <w:shd w:val="clear" w:color="auto" w:fill="auto"/>
        </w:rPr>
      </w:pPr>
      <w:r>
        <w:rPr>
          <w:rStyle w:val="18"/>
          <w:rFonts w:hint="eastAsia" w:ascii="Times New Roman" w:hAnsi="Times New Roman" w:eastAsia="仿宋_GB2312" w:cs="仿宋_GB2312"/>
          <w:sz w:val="32"/>
          <w:szCs w:val="32"/>
          <w:highlight w:val="none"/>
          <w:shd w:val="clear" w:color="auto" w:fill="auto"/>
        </w:rPr>
        <w:t>（一）本方案中“仅有一处住房”是指家庭户口簿所有成员名下无第二处房屋，但该户购买的商品房不计算在内。</w:t>
      </w:r>
    </w:p>
    <w:p w14:paraId="6C647CC2">
      <w:pPr>
        <w:spacing w:line="540" w:lineRule="exact"/>
        <w:ind w:firstLine="640" w:firstLineChars="200"/>
        <w:rPr>
          <w:rStyle w:val="18"/>
          <w:rFonts w:hint="eastAsia" w:ascii="Times New Roman" w:hAnsi="Times New Roman" w:eastAsia="仿宋_GB2312" w:cs="仿宋_GB2312"/>
          <w:sz w:val="32"/>
          <w:szCs w:val="32"/>
          <w:highlight w:val="none"/>
          <w:shd w:val="clear" w:color="auto" w:fill="auto"/>
        </w:rPr>
      </w:pPr>
      <w:r>
        <w:rPr>
          <w:rStyle w:val="18"/>
          <w:rFonts w:hint="eastAsia" w:ascii="Times New Roman" w:hAnsi="Times New Roman" w:eastAsia="仿宋_GB2312" w:cs="仿宋_GB2312"/>
          <w:sz w:val="32"/>
          <w:szCs w:val="32"/>
          <w:highlight w:val="none"/>
          <w:shd w:val="clear" w:color="auto" w:fill="auto"/>
        </w:rPr>
        <w:t>（二）本方案中被征收人补给征收人安置房超面积的优惠价、评估价均不包含土地出让金。</w:t>
      </w:r>
    </w:p>
    <w:p w14:paraId="66130A12">
      <w:pPr>
        <w:spacing w:line="540" w:lineRule="exact"/>
        <w:ind w:firstLine="640" w:firstLineChars="200"/>
        <w:rPr>
          <w:rStyle w:val="18"/>
          <w:rFonts w:hint="eastAsia" w:ascii="Times New Roman" w:hAnsi="Times New Roman" w:eastAsia="仿宋_GB2312" w:cs="仿宋_GB2312"/>
          <w:sz w:val="32"/>
          <w:szCs w:val="32"/>
          <w:highlight w:val="none"/>
          <w:shd w:val="clear" w:color="auto" w:fill="auto"/>
        </w:rPr>
      </w:pPr>
      <w:r>
        <w:rPr>
          <w:rStyle w:val="18"/>
          <w:rFonts w:hint="eastAsia" w:ascii="Times New Roman" w:hAnsi="Times New Roman" w:eastAsia="仿宋_GB2312" w:cs="仿宋_GB2312"/>
          <w:sz w:val="32"/>
          <w:szCs w:val="32"/>
          <w:highlight w:val="none"/>
          <w:shd w:val="clear" w:color="auto" w:fill="auto"/>
        </w:rPr>
        <w:t>（三）有证被征收房屋内的电话、信息网络、有线电视网、空调和独立供电、独立供水设施等迁移的，按征收决定当年迁移费用支付各项迁移费；实行货币补偿或由于搬迁后不再使用的，按征收决定当年的安装费用支付安装费。（具体标准见附件）</w:t>
      </w:r>
    </w:p>
    <w:p w14:paraId="03764E74">
      <w:pPr>
        <w:spacing w:line="540" w:lineRule="exact"/>
        <w:ind w:firstLine="640" w:firstLineChars="200"/>
        <w:rPr>
          <w:rStyle w:val="18"/>
          <w:rFonts w:hint="eastAsia" w:ascii="Times New Roman" w:hAnsi="Times New Roman" w:eastAsia="仿宋_GB2312" w:cs="仿宋_GB2312"/>
          <w:sz w:val="32"/>
          <w:szCs w:val="32"/>
          <w:highlight w:val="none"/>
          <w:shd w:val="clear" w:color="auto" w:fill="auto"/>
        </w:rPr>
      </w:pPr>
      <w:r>
        <w:rPr>
          <w:rStyle w:val="18"/>
          <w:rFonts w:hint="eastAsia" w:ascii="Times New Roman" w:hAnsi="Times New Roman" w:eastAsia="仿宋_GB2312" w:cs="仿宋_GB2312"/>
          <w:sz w:val="32"/>
          <w:szCs w:val="32"/>
          <w:highlight w:val="none"/>
          <w:shd w:val="clear" w:color="auto" w:fill="auto"/>
        </w:rPr>
        <w:t>（四）已经给予补偿的房屋不得私自进行拆除、取走或破坏房屋构件。否则，将按照当时市场评估价赔偿。</w:t>
      </w:r>
    </w:p>
    <w:p w14:paraId="6CAC598E">
      <w:pPr>
        <w:widowControl w:val="0"/>
        <w:spacing w:line="560" w:lineRule="exact"/>
        <w:ind w:firstLine="664" w:firstLineChars="200"/>
        <w:rPr>
          <w:rFonts w:ascii="Times New Roman" w:hAnsi="Times New Roman" w:cs="Times New Roman"/>
          <w:spacing w:val="6"/>
          <w:sz w:val="32"/>
          <w:szCs w:val="32"/>
          <w:highlight w:val="none"/>
          <w:shd w:val="clear" w:color="auto" w:fill="auto"/>
        </w:rPr>
      </w:pPr>
      <w:r>
        <w:rPr>
          <w:rFonts w:ascii="Times New Roman" w:hAnsi="Times New Roman" w:eastAsia="黑体" w:cs="Times New Roman"/>
          <w:bCs/>
          <w:spacing w:val="6"/>
          <w:sz w:val="32"/>
          <w:szCs w:val="32"/>
          <w:highlight w:val="none"/>
          <w:shd w:val="clear" w:color="auto" w:fill="auto"/>
        </w:rPr>
        <w:t>十、</w:t>
      </w:r>
      <w:r>
        <w:rPr>
          <w:rFonts w:ascii="Times New Roman" w:hAnsi="Times New Roman" w:eastAsia="黑体" w:cs="Times New Roman"/>
          <w:spacing w:val="6"/>
          <w:sz w:val="32"/>
          <w:szCs w:val="32"/>
          <w:highlight w:val="none"/>
          <w:shd w:val="clear" w:color="auto" w:fill="auto"/>
        </w:rPr>
        <w:t>本方案未尽事宜参照桂林市国有土地上房屋征收与补偿相关规定执行。</w:t>
      </w:r>
    </w:p>
    <w:p w14:paraId="2AF49D3D">
      <w:pPr>
        <w:widowControl w:val="0"/>
        <w:spacing w:line="560" w:lineRule="exact"/>
        <w:ind w:firstLine="664" w:firstLineChars="200"/>
        <w:rPr>
          <w:rFonts w:ascii="Times New Roman" w:hAnsi="Times New Roman" w:eastAsia="方正仿宋_GBK" w:cs="Times New Roman"/>
          <w:spacing w:val="6"/>
          <w:sz w:val="32"/>
          <w:szCs w:val="32"/>
          <w:highlight w:val="none"/>
          <w:shd w:val="clear" w:color="auto" w:fill="auto"/>
        </w:rPr>
      </w:pPr>
      <w:r>
        <w:rPr>
          <w:rFonts w:ascii="Times New Roman" w:hAnsi="Times New Roman" w:eastAsia="黑体" w:cs="Times New Roman"/>
          <w:bCs/>
          <w:spacing w:val="6"/>
          <w:sz w:val="32"/>
          <w:szCs w:val="32"/>
          <w:highlight w:val="none"/>
          <w:shd w:val="clear" w:color="auto" w:fill="auto"/>
        </w:rPr>
        <w:t>十一、</w:t>
      </w:r>
      <w:r>
        <w:rPr>
          <w:rFonts w:ascii="Times New Roman" w:hAnsi="Times New Roman" w:eastAsia="黑体" w:cs="Times New Roman"/>
          <w:spacing w:val="6"/>
          <w:sz w:val="32"/>
          <w:szCs w:val="32"/>
          <w:highlight w:val="none"/>
          <w:shd w:val="clear" w:color="auto" w:fill="auto"/>
        </w:rPr>
        <w:t>本方案由桂林市秀峰区琴潭片区城中村改造项目指挥部负责解释。</w:t>
      </w:r>
    </w:p>
    <w:p w14:paraId="0541025C">
      <w:pPr>
        <w:widowControl w:val="0"/>
        <w:spacing w:line="584" w:lineRule="exact"/>
        <w:rPr>
          <w:rFonts w:ascii="Times New Roman" w:hAnsi="Times New Roman" w:eastAsia="仿宋_GB2312" w:cs="Times New Roman"/>
          <w:spacing w:val="6"/>
          <w:sz w:val="32"/>
          <w:szCs w:val="32"/>
          <w:highlight w:val="none"/>
          <w:shd w:val="clear" w:color="auto" w:fill="auto"/>
        </w:rPr>
      </w:pPr>
    </w:p>
    <w:p w14:paraId="2A0424B1">
      <w:pPr>
        <w:widowControl w:val="0"/>
        <w:spacing w:line="584" w:lineRule="exact"/>
        <w:ind w:firstLine="664" w:firstLineChars="200"/>
        <w:rPr>
          <w:rStyle w:val="17"/>
          <w:rFonts w:ascii="Times New Roman" w:hAnsi="Times New Roman" w:eastAsia="仿宋_GB2312" w:cs="Times New Roman"/>
          <w:spacing w:val="6"/>
          <w:sz w:val="32"/>
          <w:szCs w:val="32"/>
          <w:highlight w:val="none"/>
          <w:shd w:val="clear" w:color="auto" w:fill="auto"/>
        </w:rPr>
      </w:pPr>
      <w:r>
        <w:rPr>
          <w:rStyle w:val="17"/>
          <w:rFonts w:ascii="Times New Roman" w:hAnsi="Times New Roman" w:eastAsia="方正仿宋_GBK" w:cs="Times New Roman"/>
          <w:spacing w:val="6"/>
          <w:sz w:val="32"/>
          <w:szCs w:val="32"/>
          <w:highlight w:val="none"/>
          <w:shd w:val="clear" w:color="auto" w:fill="auto"/>
        </w:rPr>
        <w:t>附件：被征收房屋内设施迁移安装补助标准</w:t>
      </w:r>
    </w:p>
    <w:p w14:paraId="366EF208">
      <w:pPr>
        <w:widowControl w:val="0"/>
        <w:spacing w:line="584" w:lineRule="exact"/>
        <w:rPr>
          <w:rStyle w:val="17"/>
          <w:rFonts w:ascii="Times New Roman" w:hAnsi="Times New Roman" w:eastAsia="仿宋_GB2312" w:cs="Times New Roman"/>
          <w:spacing w:val="6"/>
          <w:sz w:val="32"/>
          <w:szCs w:val="32"/>
          <w:highlight w:val="none"/>
          <w:shd w:val="clear" w:color="auto" w:fill="auto"/>
        </w:rPr>
      </w:pPr>
    </w:p>
    <w:p w14:paraId="583417DA">
      <w:pPr>
        <w:widowControl w:val="0"/>
        <w:ind w:firstLine="2288" w:firstLineChars="715"/>
        <w:rPr>
          <w:rFonts w:ascii="Times New Roman" w:hAnsi="Times New Roman" w:eastAsia="仿宋_GB2312" w:cs="Times New Roman"/>
          <w:sz w:val="32"/>
          <w:szCs w:val="32"/>
          <w:highlight w:val="none"/>
          <w:shd w:val="clear" w:color="auto" w:fill="auto"/>
        </w:rPr>
      </w:pPr>
      <w:r>
        <w:rPr>
          <w:rFonts w:ascii="Times New Roman" w:hAnsi="Times New Roman" w:eastAsia="仿宋_GB2312" w:cs="Times New Roman"/>
          <w:sz w:val="32"/>
          <w:szCs w:val="32"/>
          <w:highlight w:val="none"/>
          <w:shd w:val="clear" w:color="auto" w:fill="auto"/>
        </w:rPr>
        <w:t>桂林市秀峰区琴潭片区城中村改造项目指挥部</w:t>
      </w:r>
    </w:p>
    <w:p w14:paraId="6183DD69">
      <w:pPr>
        <w:widowControl w:val="0"/>
        <w:ind w:firstLine="688"/>
        <w:rPr>
          <w:rFonts w:ascii="Times New Roman" w:hAnsi="Times New Roman" w:eastAsia="仿宋_GB2312" w:cs="Times New Roman"/>
          <w:sz w:val="32"/>
          <w:szCs w:val="32"/>
          <w:highlight w:val="none"/>
          <w:shd w:val="clear" w:color="auto" w:fill="auto"/>
        </w:rPr>
      </w:pPr>
      <w:r>
        <w:rPr>
          <w:rFonts w:ascii="Times New Roman" w:hAnsi="Times New Roman" w:eastAsia="仿宋_GB2312" w:cs="Times New Roman"/>
          <w:sz w:val="32"/>
          <w:szCs w:val="32"/>
          <w:highlight w:val="none"/>
          <w:shd w:val="clear" w:color="auto" w:fill="auto"/>
        </w:rPr>
        <w:t xml:space="preserve">                   </w:t>
      </w:r>
      <w:r>
        <w:rPr>
          <w:rFonts w:hint="eastAsia" w:ascii="Times New Roman" w:hAnsi="Times New Roman" w:eastAsia="仿宋_GB2312" w:cs="Times New Roman"/>
          <w:sz w:val="32"/>
          <w:szCs w:val="32"/>
          <w:highlight w:val="none"/>
          <w:shd w:val="clear" w:color="auto" w:fill="auto"/>
        </w:rPr>
        <w:t xml:space="preserve">   </w:t>
      </w:r>
      <w:r>
        <w:rPr>
          <w:rFonts w:ascii="Times New Roman" w:hAnsi="Times New Roman" w:eastAsia="仿宋_GB2312" w:cs="Times New Roman"/>
          <w:sz w:val="32"/>
          <w:szCs w:val="32"/>
          <w:highlight w:val="none"/>
          <w:shd w:val="clear" w:color="auto" w:fill="auto"/>
        </w:rPr>
        <w:t xml:space="preserve"> </w:t>
      </w:r>
      <w:r>
        <w:rPr>
          <w:rFonts w:ascii="Times New Roman" w:hAnsi="Times New Roman" w:eastAsia="仿宋_GB2312" w:cs="Times New Roman"/>
          <w:sz w:val="32"/>
          <w:szCs w:val="32"/>
          <w:highlight w:val="none"/>
          <w:shd w:val="clear" w:color="auto" w:fill="auto"/>
        </w:rPr>
        <w:t>2024年8月21日</w:t>
      </w:r>
    </w:p>
    <w:tbl>
      <w:tblPr>
        <w:tblStyle w:val="12"/>
        <w:tblpPr w:leftFromText="180" w:rightFromText="180" w:vertAnchor="text" w:horzAnchor="page" w:tblpX="1589" w:tblpY="-11915"/>
        <w:tblOverlap w:val="never"/>
        <w:tblW w:w="8888" w:type="dxa"/>
        <w:tblInd w:w="0" w:type="dxa"/>
        <w:tblLayout w:type="fixed"/>
        <w:tblCellMar>
          <w:top w:w="0" w:type="dxa"/>
          <w:left w:w="0" w:type="dxa"/>
          <w:bottom w:w="0" w:type="dxa"/>
          <w:right w:w="0" w:type="dxa"/>
        </w:tblCellMar>
      </w:tblPr>
      <w:tblGrid>
        <w:gridCol w:w="1309"/>
        <w:gridCol w:w="2757"/>
        <w:gridCol w:w="6"/>
        <w:gridCol w:w="4816"/>
      </w:tblGrid>
      <w:tr w14:paraId="768821BF">
        <w:tblPrEx>
          <w:tblCellMar>
            <w:top w:w="0" w:type="dxa"/>
            <w:left w:w="0" w:type="dxa"/>
            <w:bottom w:w="0" w:type="dxa"/>
            <w:right w:w="0" w:type="dxa"/>
          </w:tblCellMar>
        </w:tblPrEx>
        <w:trPr>
          <w:trHeight w:val="1246" w:hRule="atLeast"/>
        </w:trPr>
        <w:tc>
          <w:tcPr>
            <w:tcW w:w="8888" w:type="dxa"/>
            <w:gridSpan w:val="4"/>
            <w:tcBorders>
              <w:top w:val="nil"/>
              <w:left w:val="nil"/>
              <w:bottom w:val="nil"/>
              <w:right w:val="nil"/>
            </w:tcBorders>
            <w:tcMar>
              <w:top w:w="15" w:type="dxa"/>
              <w:left w:w="15" w:type="dxa"/>
              <w:right w:w="15" w:type="dxa"/>
            </w:tcMar>
            <w:vAlign w:val="center"/>
          </w:tcPr>
          <w:p w14:paraId="7F6CF1F1">
            <w:pPr>
              <w:textAlignment w:val="center"/>
              <w:rPr>
                <w:rFonts w:hint="eastAsia" w:ascii="黑体" w:hAnsi="黑体" w:eastAsia="黑体" w:cs="黑体"/>
                <w:kern w:val="0"/>
                <w:sz w:val="32"/>
                <w:szCs w:val="32"/>
                <w:highlight w:val="none"/>
                <w:shd w:val="clear" w:color="auto" w:fill="auto"/>
              </w:rPr>
            </w:pPr>
          </w:p>
          <w:p w14:paraId="6F203C4F">
            <w:pPr>
              <w:textAlignment w:val="center"/>
              <w:rPr>
                <w:rFonts w:hint="eastAsia" w:ascii="黑体" w:hAnsi="黑体" w:eastAsia="黑体" w:cs="黑体"/>
                <w:kern w:val="0"/>
                <w:sz w:val="32"/>
                <w:szCs w:val="32"/>
                <w:highlight w:val="none"/>
                <w:shd w:val="clear" w:color="auto" w:fill="auto"/>
              </w:rPr>
            </w:pPr>
          </w:p>
          <w:p w14:paraId="2596BBDC">
            <w:pPr>
              <w:textAlignment w:val="center"/>
              <w:rPr>
                <w:rFonts w:hint="eastAsia" w:ascii="黑体" w:hAnsi="黑体" w:eastAsia="黑体" w:cs="黑体"/>
                <w:kern w:val="0"/>
                <w:sz w:val="32"/>
                <w:szCs w:val="32"/>
                <w:highlight w:val="none"/>
                <w:shd w:val="clear" w:color="auto" w:fill="auto"/>
              </w:rPr>
            </w:pPr>
          </w:p>
          <w:p w14:paraId="3D6E8A0E">
            <w:pPr>
              <w:textAlignment w:val="center"/>
              <w:rPr>
                <w:rFonts w:hint="eastAsia" w:ascii="黑体" w:hAnsi="黑体" w:eastAsia="黑体" w:cs="黑体"/>
                <w:b/>
                <w:kern w:val="0"/>
                <w:sz w:val="36"/>
                <w:szCs w:val="36"/>
                <w:highlight w:val="none"/>
                <w:shd w:val="clear" w:color="auto" w:fill="auto"/>
              </w:rPr>
            </w:pPr>
            <w:r>
              <w:rPr>
                <w:rFonts w:hint="eastAsia" w:ascii="黑体" w:hAnsi="黑体" w:eastAsia="黑体" w:cs="黑体"/>
                <w:kern w:val="0"/>
                <w:sz w:val="32"/>
                <w:szCs w:val="32"/>
                <w:highlight w:val="none"/>
                <w:shd w:val="clear" w:color="auto" w:fill="auto"/>
              </w:rPr>
              <w:t>附件：</w:t>
            </w:r>
          </w:p>
          <w:p w14:paraId="79E38A90">
            <w:pPr>
              <w:jc w:val="center"/>
              <w:textAlignment w:val="center"/>
              <w:rPr>
                <w:rFonts w:ascii="Times New Roman" w:hAnsi="Times New Roman" w:cs="Times New Roman"/>
                <w:b/>
                <w:sz w:val="36"/>
                <w:szCs w:val="36"/>
                <w:highlight w:val="none"/>
                <w:shd w:val="clear" w:color="auto" w:fill="auto"/>
              </w:rPr>
            </w:pPr>
            <w:r>
              <w:rPr>
                <w:rFonts w:hint="eastAsia" w:ascii="方正小标宋简体" w:hAnsi="方正小标宋简体" w:eastAsia="方正小标宋简体" w:cs="方正小标宋简体"/>
                <w:b w:val="0"/>
                <w:bCs/>
                <w:kern w:val="0"/>
                <w:sz w:val="36"/>
                <w:szCs w:val="36"/>
                <w:highlight w:val="none"/>
                <w:shd w:val="clear" w:color="auto" w:fill="auto"/>
              </w:rPr>
              <w:t>被征收房屋内设施迁移安装补助标准</w:t>
            </w:r>
          </w:p>
        </w:tc>
      </w:tr>
      <w:tr w14:paraId="10ADAFB0">
        <w:tblPrEx>
          <w:tblCellMar>
            <w:top w:w="0" w:type="dxa"/>
            <w:left w:w="0" w:type="dxa"/>
            <w:bottom w:w="0" w:type="dxa"/>
            <w:right w:w="0" w:type="dxa"/>
          </w:tblCellMar>
        </w:tblPrEx>
        <w:trPr>
          <w:trHeight w:val="296" w:hRule="atLeast"/>
        </w:trPr>
        <w:tc>
          <w:tcPr>
            <w:tcW w:w="1309" w:type="dxa"/>
            <w:tcBorders>
              <w:top w:val="nil"/>
              <w:left w:val="nil"/>
              <w:bottom w:val="nil"/>
              <w:right w:val="nil"/>
            </w:tcBorders>
            <w:tcMar>
              <w:top w:w="15" w:type="dxa"/>
              <w:left w:w="15" w:type="dxa"/>
              <w:right w:w="15" w:type="dxa"/>
            </w:tcMar>
            <w:vAlign w:val="center"/>
          </w:tcPr>
          <w:p w14:paraId="1D4294D0">
            <w:pPr>
              <w:rPr>
                <w:rFonts w:ascii="Times New Roman" w:hAnsi="Times New Roman" w:cs="Times New Roman"/>
                <w:sz w:val="24"/>
                <w:highlight w:val="none"/>
                <w:shd w:val="clear" w:color="auto" w:fill="auto"/>
              </w:rPr>
            </w:pPr>
          </w:p>
        </w:tc>
        <w:tc>
          <w:tcPr>
            <w:tcW w:w="2763" w:type="dxa"/>
            <w:gridSpan w:val="2"/>
            <w:tcBorders>
              <w:top w:val="nil"/>
              <w:left w:val="nil"/>
              <w:bottom w:val="nil"/>
              <w:right w:val="nil"/>
            </w:tcBorders>
            <w:tcMar>
              <w:top w:w="15" w:type="dxa"/>
              <w:left w:w="15" w:type="dxa"/>
              <w:right w:w="15" w:type="dxa"/>
            </w:tcMar>
            <w:vAlign w:val="center"/>
          </w:tcPr>
          <w:p w14:paraId="363A24D7">
            <w:pPr>
              <w:rPr>
                <w:rFonts w:ascii="Times New Roman" w:hAnsi="Times New Roman" w:cs="Times New Roman"/>
                <w:sz w:val="24"/>
                <w:highlight w:val="none"/>
                <w:shd w:val="clear" w:color="auto" w:fill="auto"/>
              </w:rPr>
            </w:pPr>
          </w:p>
        </w:tc>
        <w:tc>
          <w:tcPr>
            <w:tcW w:w="4816" w:type="dxa"/>
            <w:tcBorders>
              <w:top w:val="nil"/>
              <w:left w:val="nil"/>
              <w:bottom w:val="nil"/>
              <w:right w:val="nil"/>
            </w:tcBorders>
            <w:tcMar>
              <w:top w:w="15" w:type="dxa"/>
              <w:left w:w="15" w:type="dxa"/>
              <w:right w:w="15" w:type="dxa"/>
            </w:tcMar>
            <w:vAlign w:val="center"/>
          </w:tcPr>
          <w:p w14:paraId="06B1B285">
            <w:pPr>
              <w:rPr>
                <w:rFonts w:ascii="Times New Roman" w:hAnsi="Times New Roman" w:cs="Times New Roman"/>
                <w:sz w:val="24"/>
                <w:highlight w:val="none"/>
                <w:shd w:val="clear" w:color="auto" w:fill="auto"/>
              </w:rPr>
            </w:pPr>
          </w:p>
        </w:tc>
      </w:tr>
      <w:tr w14:paraId="21A1F137">
        <w:tblPrEx>
          <w:tblCellMar>
            <w:top w:w="0" w:type="dxa"/>
            <w:left w:w="0" w:type="dxa"/>
            <w:bottom w:w="0" w:type="dxa"/>
            <w:right w:w="0" w:type="dxa"/>
          </w:tblCellMar>
        </w:tblPrEx>
        <w:trPr>
          <w:trHeight w:val="658" w:hRule="atLeast"/>
        </w:trPr>
        <w:tc>
          <w:tcPr>
            <w:tcW w:w="13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7882CD">
            <w:pPr>
              <w:jc w:val="center"/>
              <w:textAlignment w:val="center"/>
              <w:rPr>
                <w:rFonts w:ascii="Times New Roman" w:hAnsi="Times New Roman" w:cs="Times New Roman"/>
                <w:b/>
                <w:bCs/>
                <w:sz w:val="24"/>
                <w:highlight w:val="none"/>
                <w:shd w:val="clear" w:color="auto" w:fill="auto"/>
              </w:rPr>
            </w:pPr>
            <w:r>
              <w:rPr>
                <w:rFonts w:ascii="Times New Roman" w:hAnsi="Times New Roman" w:cs="Times New Roman"/>
                <w:b/>
                <w:bCs/>
                <w:kern w:val="0"/>
                <w:sz w:val="24"/>
                <w:highlight w:val="none"/>
                <w:shd w:val="clear" w:color="auto" w:fill="auto"/>
              </w:rPr>
              <w:t>项目</w:t>
            </w:r>
          </w:p>
        </w:tc>
        <w:tc>
          <w:tcPr>
            <w:tcW w:w="276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18924F">
            <w:pPr>
              <w:jc w:val="center"/>
              <w:textAlignment w:val="center"/>
              <w:rPr>
                <w:rFonts w:ascii="Times New Roman" w:hAnsi="Times New Roman" w:cs="Times New Roman"/>
                <w:b/>
                <w:bCs/>
                <w:sz w:val="24"/>
                <w:highlight w:val="none"/>
                <w:shd w:val="clear" w:color="auto" w:fill="auto"/>
              </w:rPr>
            </w:pPr>
            <w:r>
              <w:rPr>
                <w:rFonts w:ascii="Times New Roman" w:hAnsi="Times New Roman" w:cs="Times New Roman"/>
                <w:b/>
                <w:bCs/>
                <w:kern w:val="0"/>
                <w:sz w:val="24"/>
                <w:highlight w:val="none"/>
                <w:shd w:val="clear" w:color="auto" w:fill="auto"/>
              </w:rPr>
              <w:t>安装费用</w:t>
            </w:r>
          </w:p>
        </w:tc>
        <w:tc>
          <w:tcPr>
            <w:tcW w:w="48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1BB514">
            <w:pPr>
              <w:jc w:val="center"/>
              <w:textAlignment w:val="center"/>
              <w:rPr>
                <w:rFonts w:ascii="Times New Roman" w:hAnsi="Times New Roman" w:cs="Times New Roman"/>
                <w:b/>
                <w:bCs/>
                <w:sz w:val="24"/>
                <w:highlight w:val="none"/>
                <w:shd w:val="clear" w:color="auto" w:fill="auto"/>
              </w:rPr>
            </w:pPr>
            <w:r>
              <w:rPr>
                <w:rFonts w:ascii="Times New Roman" w:hAnsi="Times New Roman" w:cs="Times New Roman"/>
                <w:b/>
                <w:bCs/>
                <w:kern w:val="0"/>
                <w:sz w:val="24"/>
                <w:highlight w:val="none"/>
                <w:shd w:val="clear" w:color="auto" w:fill="auto"/>
              </w:rPr>
              <w:t>迁移费用</w:t>
            </w:r>
          </w:p>
        </w:tc>
      </w:tr>
      <w:tr w14:paraId="10D354A6">
        <w:tblPrEx>
          <w:tblCellMar>
            <w:top w:w="0" w:type="dxa"/>
            <w:left w:w="0" w:type="dxa"/>
            <w:bottom w:w="0" w:type="dxa"/>
            <w:right w:w="0" w:type="dxa"/>
          </w:tblCellMar>
        </w:tblPrEx>
        <w:trPr>
          <w:trHeight w:val="524" w:hRule="atLeast"/>
        </w:trPr>
        <w:tc>
          <w:tcPr>
            <w:tcW w:w="13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1A3703">
            <w:pPr>
              <w:jc w:val="center"/>
              <w:textAlignment w:val="center"/>
              <w:rPr>
                <w:rFonts w:ascii="Times New Roman" w:hAnsi="Times New Roman" w:cs="Times New Roman"/>
                <w:sz w:val="24"/>
                <w:highlight w:val="none"/>
                <w:shd w:val="clear" w:color="auto" w:fill="auto"/>
              </w:rPr>
            </w:pPr>
            <w:r>
              <w:rPr>
                <w:rFonts w:ascii="Times New Roman" w:hAnsi="Times New Roman" w:cs="Times New Roman"/>
                <w:kern w:val="0"/>
                <w:sz w:val="24"/>
                <w:highlight w:val="none"/>
                <w:shd w:val="clear" w:color="auto" w:fill="auto"/>
              </w:rPr>
              <w:t>有线电视</w:t>
            </w:r>
          </w:p>
        </w:tc>
        <w:tc>
          <w:tcPr>
            <w:tcW w:w="276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A10049">
            <w:pPr>
              <w:jc w:val="center"/>
              <w:textAlignment w:val="center"/>
              <w:rPr>
                <w:rFonts w:ascii="Times New Roman" w:hAnsi="Times New Roman" w:cs="Times New Roman"/>
                <w:sz w:val="24"/>
                <w:highlight w:val="none"/>
                <w:shd w:val="clear" w:color="auto" w:fill="auto"/>
              </w:rPr>
            </w:pPr>
            <w:r>
              <w:rPr>
                <w:rFonts w:ascii="Times New Roman" w:hAnsi="Times New Roman" w:cs="Times New Roman"/>
                <w:kern w:val="0"/>
                <w:sz w:val="24"/>
                <w:highlight w:val="none"/>
                <w:shd w:val="clear" w:color="auto" w:fill="auto"/>
              </w:rPr>
              <w:t>336元/户</w:t>
            </w:r>
          </w:p>
        </w:tc>
        <w:tc>
          <w:tcPr>
            <w:tcW w:w="48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2FA721">
            <w:pPr>
              <w:jc w:val="center"/>
              <w:textAlignment w:val="center"/>
              <w:rPr>
                <w:rFonts w:ascii="Times New Roman" w:hAnsi="Times New Roman" w:cs="Times New Roman"/>
                <w:sz w:val="24"/>
                <w:highlight w:val="none"/>
                <w:shd w:val="clear" w:color="auto" w:fill="auto"/>
              </w:rPr>
            </w:pPr>
            <w:r>
              <w:rPr>
                <w:rFonts w:ascii="Times New Roman" w:hAnsi="Times New Roman" w:cs="Times New Roman"/>
                <w:kern w:val="0"/>
                <w:sz w:val="24"/>
                <w:highlight w:val="none"/>
                <w:shd w:val="clear" w:color="auto" w:fill="auto"/>
              </w:rPr>
              <w:t>80元/次，含过渡期共迁移2次</w:t>
            </w:r>
          </w:p>
        </w:tc>
      </w:tr>
      <w:tr w14:paraId="1263D6C4">
        <w:tblPrEx>
          <w:tblCellMar>
            <w:top w:w="0" w:type="dxa"/>
            <w:left w:w="0" w:type="dxa"/>
            <w:bottom w:w="0" w:type="dxa"/>
            <w:right w:w="0" w:type="dxa"/>
          </w:tblCellMar>
        </w:tblPrEx>
        <w:trPr>
          <w:trHeight w:val="548" w:hRule="atLeast"/>
        </w:trPr>
        <w:tc>
          <w:tcPr>
            <w:tcW w:w="13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F0C72E">
            <w:pPr>
              <w:jc w:val="center"/>
              <w:textAlignment w:val="center"/>
              <w:rPr>
                <w:rFonts w:ascii="Times New Roman" w:hAnsi="Times New Roman" w:cs="Times New Roman"/>
                <w:sz w:val="24"/>
                <w:highlight w:val="none"/>
                <w:shd w:val="clear" w:color="auto" w:fill="auto"/>
              </w:rPr>
            </w:pPr>
            <w:r>
              <w:rPr>
                <w:rFonts w:ascii="Times New Roman" w:hAnsi="Times New Roman" w:cs="Times New Roman"/>
                <w:kern w:val="0"/>
                <w:sz w:val="24"/>
                <w:highlight w:val="none"/>
                <w:shd w:val="clear" w:color="auto" w:fill="auto"/>
              </w:rPr>
              <w:t>电话</w:t>
            </w:r>
          </w:p>
        </w:tc>
        <w:tc>
          <w:tcPr>
            <w:tcW w:w="276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6036EF">
            <w:pPr>
              <w:jc w:val="center"/>
              <w:textAlignment w:val="center"/>
              <w:rPr>
                <w:rFonts w:ascii="Times New Roman" w:hAnsi="Times New Roman" w:cs="Times New Roman"/>
                <w:sz w:val="24"/>
                <w:highlight w:val="none"/>
                <w:shd w:val="clear" w:color="auto" w:fill="auto"/>
              </w:rPr>
            </w:pPr>
            <w:r>
              <w:rPr>
                <w:rFonts w:ascii="Times New Roman" w:hAnsi="Times New Roman" w:cs="Times New Roman"/>
                <w:kern w:val="0"/>
                <w:sz w:val="24"/>
                <w:highlight w:val="none"/>
                <w:shd w:val="clear" w:color="auto" w:fill="auto"/>
              </w:rPr>
              <w:t>260元/部</w:t>
            </w:r>
          </w:p>
        </w:tc>
        <w:tc>
          <w:tcPr>
            <w:tcW w:w="48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CF5802">
            <w:pPr>
              <w:jc w:val="center"/>
              <w:textAlignment w:val="center"/>
              <w:rPr>
                <w:rFonts w:ascii="Times New Roman" w:hAnsi="Times New Roman" w:cs="Times New Roman"/>
                <w:sz w:val="24"/>
                <w:highlight w:val="none"/>
                <w:shd w:val="clear" w:color="auto" w:fill="auto"/>
              </w:rPr>
            </w:pPr>
            <w:r>
              <w:rPr>
                <w:rFonts w:ascii="Times New Roman" w:hAnsi="Times New Roman" w:cs="Times New Roman"/>
                <w:kern w:val="0"/>
                <w:sz w:val="24"/>
                <w:highlight w:val="none"/>
                <w:shd w:val="clear" w:color="auto" w:fill="auto"/>
              </w:rPr>
              <w:t>100元/次，含过渡期共迁移2次</w:t>
            </w:r>
          </w:p>
        </w:tc>
      </w:tr>
      <w:tr w14:paraId="259845B8">
        <w:tblPrEx>
          <w:tblCellMar>
            <w:top w:w="0" w:type="dxa"/>
            <w:left w:w="0" w:type="dxa"/>
            <w:bottom w:w="0" w:type="dxa"/>
            <w:right w:w="0" w:type="dxa"/>
          </w:tblCellMar>
        </w:tblPrEx>
        <w:trPr>
          <w:trHeight w:val="545" w:hRule="atLeast"/>
        </w:trPr>
        <w:tc>
          <w:tcPr>
            <w:tcW w:w="13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9BEF96">
            <w:pPr>
              <w:jc w:val="center"/>
              <w:textAlignment w:val="center"/>
              <w:rPr>
                <w:rFonts w:ascii="Times New Roman" w:hAnsi="Times New Roman" w:cs="Times New Roman"/>
                <w:sz w:val="24"/>
                <w:highlight w:val="none"/>
                <w:shd w:val="clear" w:color="auto" w:fill="auto"/>
              </w:rPr>
            </w:pPr>
            <w:r>
              <w:rPr>
                <w:rFonts w:ascii="Times New Roman" w:hAnsi="Times New Roman" w:cs="Times New Roman"/>
                <w:kern w:val="0"/>
                <w:sz w:val="24"/>
                <w:highlight w:val="none"/>
                <w:shd w:val="clear" w:color="auto" w:fill="auto"/>
              </w:rPr>
              <w:t>宽带</w:t>
            </w:r>
          </w:p>
        </w:tc>
        <w:tc>
          <w:tcPr>
            <w:tcW w:w="276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6EDCEA">
            <w:pPr>
              <w:jc w:val="center"/>
              <w:textAlignment w:val="center"/>
              <w:rPr>
                <w:rFonts w:ascii="Times New Roman" w:hAnsi="Times New Roman" w:cs="Times New Roman"/>
                <w:sz w:val="24"/>
                <w:highlight w:val="none"/>
                <w:shd w:val="clear" w:color="auto" w:fill="auto"/>
              </w:rPr>
            </w:pPr>
            <w:r>
              <w:rPr>
                <w:rFonts w:ascii="Times New Roman" w:hAnsi="Times New Roman" w:cs="Times New Roman"/>
                <w:kern w:val="0"/>
                <w:sz w:val="24"/>
                <w:highlight w:val="none"/>
                <w:shd w:val="clear" w:color="auto" w:fill="auto"/>
              </w:rPr>
              <w:t>300元/户</w:t>
            </w:r>
          </w:p>
        </w:tc>
        <w:tc>
          <w:tcPr>
            <w:tcW w:w="48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0DF0F6">
            <w:pPr>
              <w:jc w:val="center"/>
              <w:textAlignment w:val="center"/>
              <w:rPr>
                <w:rFonts w:ascii="Times New Roman" w:hAnsi="Times New Roman" w:cs="Times New Roman"/>
                <w:sz w:val="24"/>
                <w:highlight w:val="none"/>
                <w:shd w:val="clear" w:color="auto" w:fill="auto"/>
              </w:rPr>
            </w:pPr>
            <w:r>
              <w:rPr>
                <w:rFonts w:ascii="Times New Roman" w:hAnsi="Times New Roman" w:cs="Times New Roman"/>
                <w:kern w:val="0"/>
                <w:sz w:val="24"/>
                <w:highlight w:val="none"/>
                <w:shd w:val="clear" w:color="auto" w:fill="auto"/>
              </w:rPr>
              <w:t>100元/次，含过渡期共迁移2次</w:t>
            </w:r>
          </w:p>
        </w:tc>
      </w:tr>
      <w:tr w14:paraId="36E3800C">
        <w:tblPrEx>
          <w:tblCellMar>
            <w:top w:w="0" w:type="dxa"/>
            <w:left w:w="0" w:type="dxa"/>
            <w:bottom w:w="0" w:type="dxa"/>
            <w:right w:w="0" w:type="dxa"/>
          </w:tblCellMar>
        </w:tblPrEx>
        <w:trPr>
          <w:trHeight w:val="846" w:hRule="atLeast"/>
        </w:trPr>
        <w:tc>
          <w:tcPr>
            <w:tcW w:w="1309"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14:paraId="702B4C77">
            <w:pPr>
              <w:jc w:val="center"/>
              <w:textAlignment w:val="center"/>
              <w:rPr>
                <w:rFonts w:ascii="Times New Roman" w:hAnsi="Times New Roman" w:cs="Times New Roman"/>
                <w:sz w:val="24"/>
                <w:highlight w:val="none"/>
                <w:shd w:val="clear" w:color="auto" w:fill="auto"/>
              </w:rPr>
            </w:pPr>
            <w:r>
              <w:rPr>
                <w:rFonts w:ascii="Times New Roman" w:hAnsi="Times New Roman" w:cs="Times New Roman"/>
                <w:kern w:val="0"/>
                <w:sz w:val="24"/>
                <w:highlight w:val="none"/>
                <w:shd w:val="clear" w:color="auto" w:fill="auto"/>
              </w:rPr>
              <w:t>空调</w:t>
            </w:r>
          </w:p>
        </w:tc>
        <w:tc>
          <w:tcPr>
            <w:tcW w:w="275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20B54A4F">
            <w:pPr>
              <w:snapToGrid w:val="0"/>
              <w:jc w:val="center"/>
              <w:textAlignment w:val="center"/>
              <w:rPr>
                <w:rFonts w:ascii="Times New Roman" w:hAnsi="Times New Roman" w:cs="Times New Roman"/>
                <w:sz w:val="24"/>
                <w:highlight w:val="none"/>
                <w:shd w:val="clear" w:color="auto" w:fill="auto"/>
              </w:rPr>
            </w:pPr>
          </w:p>
          <w:p w14:paraId="1D046DE3">
            <w:pPr>
              <w:jc w:val="center"/>
              <w:textAlignment w:val="center"/>
              <w:rPr>
                <w:rFonts w:ascii="Times New Roman" w:hAnsi="Times New Roman" w:cs="Times New Roman"/>
                <w:sz w:val="24"/>
                <w:highlight w:val="none"/>
                <w:shd w:val="clear" w:color="auto" w:fill="auto"/>
              </w:rPr>
            </w:pPr>
          </w:p>
        </w:tc>
        <w:tc>
          <w:tcPr>
            <w:tcW w:w="4822"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09AD28F6">
            <w:pPr>
              <w:jc w:val="center"/>
              <w:textAlignment w:val="center"/>
              <w:rPr>
                <w:rFonts w:ascii="Times New Roman" w:hAnsi="Times New Roman" w:cs="Times New Roman"/>
                <w:kern w:val="0"/>
                <w:sz w:val="24"/>
                <w:highlight w:val="none"/>
                <w:shd w:val="clear" w:color="auto" w:fill="auto"/>
              </w:rPr>
            </w:pPr>
            <w:r>
              <w:rPr>
                <w:rFonts w:ascii="Times New Roman" w:hAnsi="Times New Roman" w:cs="Times New Roman"/>
                <w:kern w:val="0"/>
                <w:sz w:val="24"/>
                <w:highlight w:val="none"/>
                <w:shd w:val="clear" w:color="auto" w:fill="auto"/>
              </w:rPr>
              <w:t>柜机300元/台·次，选择产权置换的含过渡期共迁移2次</w:t>
            </w:r>
          </w:p>
        </w:tc>
      </w:tr>
      <w:tr w14:paraId="365E1F8D">
        <w:tblPrEx>
          <w:tblCellMar>
            <w:top w:w="0" w:type="dxa"/>
            <w:left w:w="0" w:type="dxa"/>
            <w:bottom w:w="0" w:type="dxa"/>
            <w:right w:w="0" w:type="dxa"/>
          </w:tblCellMar>
        </w:tblPrEx>
        <w:trPr>
          <w:trHeight w:val="907" w:hRule="atLeast"/>
        </w:trPr>
        <w:tc>
          <w:tcPr>
            <w:tcW w:w="1309"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14:paraId="1D8BA301">
            <w:pPr>
              <w:rPr>
                <w:rFonts w:ascii="Times New Roman" w:hAnsi="Times New Roman"/>
                <w:highlight w:val="none"/>
                <w:shd w:val="clear" w:color="auto" w:fill="auto"/>
              </w:rPr>
            </w:pPr>
          </w:p>
        </w:tc>
        <w:tc>
          <w:tcPr>
            <w:tcW w:w="275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5CBE6460">
            <w:pPr>
              <w:snapToGrid w:val="0"/>
              <w:jc w:val="center"/>
              <w:textAlignment w:val="center"/>
              <w:rPr>
                <w:rFonts w:ascii="Times New Roman" w:hAnsi="Times New Roman" w:cs="Times New Roman"/>
                <w:sz w:val="24"/>
                <w:highlight w:val="none"/>
                <w:shd w:val="clear" w:color="auto" w:fill="auto"/>
              </w:rPr>
            </w:pPr>
          </w:p>
          <w:p w14:paraId="1329A8AE">
            <w:pPr>
              <w:jc w:val="center"/>
              <w:textAlignment w:val="center"/>
              <w:rPr>
                <w:rFonts w:ascii="Times New Roman" w:hAnsi="Times New Roman" w:cs="Times New Roman"/>
                <w:sz w:val="24"/>
                <w:highlight w:val="none"/>
                <w:shd w:val="clear" w:color="auto" w:fill="auto"/>
              </w:rPr>
            </w:pPr>
          </w:p>
        </w:tc>
        <w:tc>
          <w:tcPr>
            <w:tcW w:w="4822"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7BA716C4">
            <w:pPr>
              <w:jc w:val="center"/>
              <w:textAlignment w:val="center"/>
              <w:rPr>
                <w:rFonts w:ascii="Times New Roman" w:hAnsi="Times New Roman" w:cs="Times New Roman"/>
                <w:kern w:val="0"/>
                <w:sz w:val="24"/>
                <w:highlight w:val="none"/>
                <w:shd w:val="clear" w:color="auto" w:fill="auto"/>
              </w:rPr>
            </w:pPr>
            <w:r>
              <w:rPr>
                <w:rFonts w:ascii="Times New Roman" w:hAnsi="Times New Roman" w:cs="Times New Roman"/>
                <w:kern w:val="0"/>
                <w:sz w:val="24"/>
                <w:highlight w:val="none"/>
                <w:shd w:val="clear" w:color="auto" w:fill="auto"/>
              </w:rPr>
              <w:t>分体机200元/台·次，选择产权置换的含过渡期共迁移2次</w:t>
            </w:r>
          </w:p>
        </w:tc>
      </w:tr>
      <w:tr w14:paraId="13A040E8">
        <w:tblPrEx>
          <w:tblCellMar>
            <w:top w:w="0" w:type="dxa"/>
            <w:left w:w="0" w:type="dxa"/>
            <w:bottom w:w="0" w:type="dxa"/>
            <w:right w:w="0" w:type="dxa"/>
          </w:tblCellMar>
        </w:tblPrEx>
        <w:trPr>
          <w:trHeight w:val="845" w:hRule="atLeast"/>
        </w:trPr>
        <w:tc>
          <w:tcPr>
            <w:tcW w:w="1309"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14:paraId="6C012F1C">
            <w:pPr>
              <w:rPr>
                <w:rFonts w:ascii="Times New Roman" w:hAnsi="Times New Roman"/>
                <w:highlight w:val="none"/>
                <w:shd w:val="clear" w:color="auto" w:fill="auto"/>
              </w:rPr>
            </w:pPr>
          </w:p>
        </w:tc>
        <w:tc>
          <w:tcPr>
            <w:tcW w:w="275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46F66690">
            <w:pPr>
              <w:snapToGrid w:val="0"/>
              <w:jc w:val="center"/>
              <w:textAlignment w:val="center"/>
              <w:rPr>
                <w:rFonts w:ascii="Times New Roman" w:hAnsi="Times New Roman" w:cs="Times New Roman"/>
                <w:sz w:val="24"/>
                <w:highlight w:val="none"/>
                <w:shd w:val="clear" w:color="auto" w:fill="auto"/>
              </w:rPr>
            </w:pPr>
          </w:p>
          <w:p w14:paraId="0DB0F83B">
            <w:pPr>
              <w:jc w:val="center"/>
              <w:textAlignment w:val="center"/>
              <w:rPr>
                <w:rFonts w:ascii="Times New Roman" w:hAnsi="Times New Roman" w:cs="Times New Roman"/>
                <w:sz w:val="24"/>
                <w:highlight w:val="none"/>
                <w:shd w:val="clear" w:color="auto" w:fill="auto"/>
              </w:rPr>
            </w:pPr>
          </w:p>
        </w:tc>
        <w:tc>
          <w:tcPr>
            <w:tcW w:w="4822"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4788F1DA">
            <w:pPr>
              <w:jc w:val="center"/>
              <w:textAlignment w:val="center"/>
              <w:rPr>
                <w:rFonts w:ascii="Times New Roman" w:hAnsi="Times New Roman" w:cs="Times New Roman"/>
                <w:kern w:val="0"/>
                <w:sz w:val="24"/>
                <w:highlight w:val="none"/>
                <w:shd w:val="clear" w:color="auto" w:fill="auto"/>
              </w:rPr>
            </w:pPr>
            <w:r>
              <w:rPr>
                <w:rFonts w:ascii="Times New Roman" w:hAnsi="Times New Roman" w:cs="Times New Roman"/>
                <w:kern w:val="0"/>
                <w:sz w:val="24"/>
                <w:highlight w:val="none"/>
                <w:shd w:val="clear" w:color="auto" w:fill="auto"/>
              </w:rPr>
              <w:t>窗机150元/台·次，选择产权置换的含过渡期共迁移2次</w:t>
            </w:r>
          </w:p>
        </w:tc>
      </w:tr>
      <w:tr w14:paraId="718E44D9">
        <w:tblPrEx>
          <w:tblCellMar>
            <w:top w:w="0" w:type="dxa"/>
            <w:left w:w="0" w:type="dxa"/>
            <w:bottom w:w="0" w:type="dxa"/>
            <w:right w:w="0" w:type="dxa"/>
          </w:tblCellMar>
        </w:tblPrEx>
        <w:trPr>
          <w:trHeight w:val="564" w:hRule="atLeast"/>
        </w:trPr>
        <w:tc>
          <w:tcPr>
            <w:tcW w:w="130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A11341">
            <w:pPr>
              <w:jc w:val="center"/>
              <w:textAlignment w:val="center"/>
              <w:rPr>
                <w:rFonts w:ascii="Times New Roman" w:hAnsi="Times New Roman" w:cs="Times New Roman"/>
                <w:sz w:val="24"/>
                <w:highlight w:val="none"/>
                <w:shd w:val="clear" w:color="auto" w:fill="auto"/>
              </w:rPr>
            </w:pPr>
            <w:r>
              <w:rPr>
                <w:rFonts w:ascii="Times New Roman" w:hAnsi="Times New Roman" w:cs="Times New Roman"/>
                <w:kern w:val="0"/>
                <w:sz w:val="24"/>
                <w:highlight w:val="none"/>
                <w:shd w:val="clear" w:color="auto" w:fill="auto"/>
              </w:rPr>
              <w:t>水表</w:t>
            </w:r>
          </w:p>
        </w:tc>
        <w:tc>
          <w:tcPr>
            <w:tcW w:w="276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D61F52">
            <w:pPr>
              <w:jc w:val="center"/>
              <w:textAlignment w:val="center"/>
              <w:rPr>
                <w:rFonts w:ascii="Times New Roman" w:hAnsi="Times New Roman" w:cs="Times New Roman"/>
                <w:sz w:val="24"/>
                <w:highlight w:val="none"/>
                <w:shd w:val="clear" w:color="auto" w:fill="auto"/>
              </w:rPr>
            </w:pPr>
            <w:r>
              <w:rPr>
                <w:rFonts w:ascii="Times New Roman" w:hAnsi="Times New Roman" w:cs="Times New Roman"/>
                <w:kern w:val="0"/>
                <w:sz w:val="24"/>
                <w:highlight w:val="none"/>
                <w:shd w:val="clear" w:color="auto" w:fill="auto"/>
              </w:rPr>
              <w:t>总表750元/块</w:t>
            </w:r>
          </w:p>
        </w:tc>
        <w:tc>
          <w:tcPr>
            <w:tcW w:w="481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A55409">
            <w:pPr>
              <w:jc w:val="center"/>
              <w:textAlignment w:val="center"/>
              <w:rPr>
                <w:rFonts w:ascii="Times New Roman" w:hAnsi="Times New Roman" w:cs="Times New Roman"/>
                <w:sz w:val="24"/>
                <w:highlight w:val="none"/>
                <w:shd w:val="clear" w:color="auto" w:fill="auto"/>
              </w:rPr>
            </w:pPr>
            <w:r>
              <w:rPr>
                <w:rFonts w:ascii="Times New Roman" w:hAnsi="Times New Roman" w:cs="Times New Roman"/>
                <w:kern w:val="0"/>
                <w:sz w:val="24"/>
                <w:highlight w:val="none"/>
                <w:shd w:val="clear" w:color="auto" w:fill="auto"/>
              </w:rPr>
              <w:t>选择产权置换的不予补偿，可互换。</w:t>
            </w:r>
          </w:p>
        </w:tc>
      </w:tr>
      <w:tr w14:paraId="72E2145B">
        <w:tblPrEx>
          <w:tblCellMar>
            <w:top w:w="0" w:type="dxa"/>
            <w:left w:w="0" w:type="dxa"/>
            <w:bottom w:w="0" w:type="dxa"/>
            <w:right w:w="0" w:type="dxa"/>
          </w:tblCellMar>
        </w:tblPrEx>
        <w:trPr>
          <w:trHeight w:val="545" w:hRule="atLeast"/>
        </w:trPr>
        <w:tc>
          <w:tcPr>
            <w:tcW w:w="13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11ACE8">
            <w:pPr>
              <w:rPr>
                <w:rFonts w:ascii="Times New Roman" w:hAnsi="Times New Roman"/>
                <w:highlight w:val="none"/>
                <w:shd w:val="clear" w:color="auto" w:fill="auto"/>
              </w:rPr>
            </w:pPr>
          </w:p>
        </w:tc>
        <w:tc>
          <w:tcPr>
            <w:tcW w:w="276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170044">
            <w:pPr>
              <w:jc w:val="center"/>
              <w:textAlignment w:val="center"/>
              <w:rPr>
                <w:rFonts w:ascii="Times New Roman" w:hAnsi="Times New Roman" w:cs="Times New Roman"/>
                <w:sz w:val="24"/>
                <w:highlight w:val="none"/>
                <w:shd w:val="clear" w:color="auto" w:fill="auto"/>
              </w:rPr>
            </w:pPr>
            <w:r>
              <w:rPr>
                <w:rFonts w:ascii="Times New Roman" w:hAnsi="Times New Roman" w:cs="Times New Roman"/>
                <w:kern w:val="0"/>
                <w:sz w:val="24"/>
                <w:highlight w:val="none"/>
                <w:shd w:val="clear" w:color="auto" w:fill="auto"/>
              </w:rPr>
              <w:t>分表40元/块</w:t>
            </w:r>
          </w:p>
        </w:tc>
        <w:tc>
          <w:tcPr>
            <w:tcW w:w="48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291379">
            <w:pPr>
              <w:rPr>
                <w:rFonts w:ascii="Times New Roman" w:hAnsi="Times New Roman"/>
                <w:highlight w:val="none"/>
                <w:shd w:val="clear" w:color="auto" w:fill="auto"/>
              </w:rPr>
            </w:pPr>
          </w:p>
        </w:tc>
      </w:tr>
      <w:tr w14:paraId="77C62DD5">
        <w:tblPrEx>
          <w:tblCellMar>
            <w:top w:w="0" w:type="dxa"/>
            <w:left w:w="0" w:type="dxa"/>
            <w:bottom w:w="0" w:type="dxa"/>
            <w:right w:w="0" w:type="dxa"/>
          </w:tblCellMar>
        </w:tblPrEx>
        <w:trPr>
          <w:trHeight w:val="539" w:hRule="atLeast"/>
        </w:trPr>
        <w:tc>
          <w:tcPr>
            <w:tcW w:w="130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254D70">
            <w:pPr>
              <w:jc w:val="center"/>
              <w:textAlignment w:val="center"/>
              <w:rPr>
                <w:rFonts w:ascii="Times New Roman" w:hAnsi="Times New Roman" w:cs="Times New Roman"/>
                <w:sz w:val="28"/>
                <w:szCs w:val="28"/>
                <w:highlight w:val="none"/>
                <w:shd w:val="clear" w:color="auto" w:fill="auto"/>
              </w:rPr>
            </w:pPr>
            <w:r>
              <w:rPr>
                <w:rFonts w:ascii="Times New Roman" w:hAnsi="Times New Roman" w:cs="Times New Roman"/>
                <w:kern w:val="0"/>
                <w:sz w:val="24"/>
                <w:highlight w:val="none"/>
                <w:shd w:val="clear" w:color="auto" w:fill="auto"/>
              </w:rPr>
              <w:t>电表</w:t>
            </w:r>
          </w:p>
        </w:tc>
        <w:tc>
          <w:tcPr>
            <w:tcW w:w="276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B3D489">
            <w:pPr>
              <w:jc w:val="center"/>
              <w:textAlignment w:val="center"/>
              <w:rPr>
                <w:rFonts w:ascii="Times New Roman" w:hAnsi="Times New Roman" w:cs="Times New Roman"/>
                <w:sz w:val="24"/>
                <w:highlight w:val="none"/>
                <w:shd w:val="clear" w:color="auto" w:fill="auto"/>
              </w:rPr>
            </w:pPr>
            <w:r>
              <w:rPr>
                <w:rFonts w:ascii="Times New Roman" w:hAnsi="Times New Roman" w:cs="Times New Roman"/>
                <w:kern w:val="0"/>
                <w:sz w:val="24"/>
                <w:highlight w:val="none"/>
                <w:shd w:val="clear" w:color="auto" w:fill="auto"/>
              </w:rPr>
              <w:t>总表1070元/块</w:t>
            </w:r>
          </w:p>
        </w:tc>
        <w:tc>
          <w:tcPr>
            <w:tcW w:w="48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0D5CD2">
            <w:pPr>
              <w:rPr>
                <w:rFonts w:ascii="Times New Roman" w:hAnsi="Times New Roman"/>
                <w:highlight w:val="none"/>
                <w:shd w:val="clear" w:color="auto" w:fill="auto"/>
              </w:rPr>
            </w:pPr>
          </w:p>
        </w:tc>
      </w:tr>
      <w:tr w14:paraId="2C8F67E7">
        <w:tblPrEx>
          <w:tblCellMar>
            <w:top w:w="0" w:type="dxa"/>
            <w:left w:w="0" w:type="dxa"/>
            <w:bottom w:w="0" w:type="dxa"/>
            <w:right w:w="0" w:type="dxa"/>
          </w:tblCellMar>
        </w:tblPrEx>
        <w:trPr>
          <w:trHeight w:val="533" w:hRule="atLeast"/>
        </w:trPr>
        <w:tc>
          <w:tcPr>
            <w:tcW w:w="13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9EDABC">
            <w:pPr>
              <w:rPr>
                <w:rFonts w:ascii="Times New Roman" w:hAnsi="Times New Roman"/>
                <w:highlight w:val="none"/>
                <w:shd w:val="clear" w:color="auto" w:fill="auto"/>
              </w:rPr>
            </w:pPr>
          </w:p>
        </w:tc>
        <w:tc>
          <w:tcPr>
            <w:tcW w:w="276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5C6899">
            <w:pPr>
              <w:jc w:val="center"/>
              <w:textAlignment w:val="center"/>
              <w:rPr>
                <w:rFonts w:ascii="Times New Roman" w:hAnsi="Times New Roman" w:cs="Times New Roman"/>
                <w:sz w:val="24"/>
                <w:highlight w:val="none"/>
                <w:shd w:val="clear" w:color="auto" w:fill="auto"/>
              </w:rPr>
            </w:pPr>
            <w:r>
              <w:rPr>
                <w:rFonts w:ascii="Times New Roman" w:hAnsi="Times New Roman" w:cs="Times New Roman"/>
                <w:kern w:val="0"/>
                <w:sz w:val="24"/>
                <w:highlight w:val="none"/>
                <w:shd w:val="clear" w:color="auto" w:fill="auto"/>
              </w:rPr>
              <w:t>分表40元/块</w:t>
            </w:r>
          </w:p>
        </w:tc>
        <w:tc>
          <w:tcPr>
            <w:tcW w:w="48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5855B6">
            <w:pPr>
              <w:rPr>
                <w:rFonts w:ascii="Times New Roman" w:hAnsi="Times New Roman"/>
                <w:highlight w:val="none"/>
                <w:shd w:val="clear" w:color="auto" w:fill="auto"/>
              </w:rPr>
            </w:pPr>
          </w:p>
        </w:tc>
      </w:tr>
      <w:tr w14:paraId="3A2CCF03">
        <w:tblPrEx>
          <w:tblCellMar>
            <w:top w:w="0" w:type="dxa"/>
            <w:left w:w="0" w:type="dxa"/>
            <w:bottom w:w="0" w:type="dxa"/>
            <w:right w:w="0" w:type="dxa"/>
          </w:tblCellMar>
        </w:tblPrEx>
        <w:trPr>
          <w:trHeight w:val="533" w:hRule="atLeast"/>
        </w:trPr>
        <w:tc>
          <w:tcPr>
            <w:tcW w:w="13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F63FE2">
            <w:pPr>
              <w:jc w:val="center"/>
              <w:rPr>
                <w:rFonts w:ascii="Times New Roman" w:hAnsi="Times New Roman"/>
                <w:highlight w:val="none"/>
                <w:shd w:val="clear" w:color="auto" w:fill="auto"/>
              </w:rPr>
            </w:pPr>
            <w:r>
              <w:rPr>
                <w:rFonts w:ascii="Times New Roman" w:hAnsi="Times New Roman" w:cs="Times New Roman"/>
                <w:kern w:val="0"/>
                <w:sz w:val="24"/>
                <w:highlight w:val="none"/>
                <w:shd w:val="clear" w:color="auto" w:fill="auto"/>
              </w:rPr>
              <w:t>三相电表</w:t>
            </w:r>
          </w:p>
        </w:tc>
        <w:tc>
          <w:tcPr>
            <w:tcW w:w="276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99A24A">
            <w:pPr>
              <w:jc w:val="center"/>
              <w:textAlignment w:val="center"/>
              <w:rPr>
                <w:rFonts w:ascii="Times New Roman" w:hAnsi="Times New Roman" w:cs="Times New Roman"/>
                <w:kern w:val="0"/>
                <w:sz w:val="24"/>
                <w:highlight w:val="none"/>
                <w:shd w:val="clear" w:color="auto" w:fill="auto"/>
              </w:rPr>
            </w:pPr>
            <w:r>
              <w:rPr>
                <w:rFonts w:ascii="Times New Roman" w:hAnsi="Times New Roman" w:cs="Times New Roman"/>
                <w:kern w:val="0"/>
                <w:sz w:val="24"/>
                <w:highlight w:val="none"/>
                <w:shd w:val="clear" w:color="auto" w:fill="auto"/>
              </w:rPr>
              <w:t>6000元/块</w:t>
            </w:r>
          </w:p>
        </w:tc>
        <w:tc>
          <w:tcPr>
            <w:tcW w:w="48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DD4864">
            <w:pPr>
              <w:rPr>
                <w:rFonts w:ascii="Times New Roman" w:hAnsi="Times New Roman"/>
                <w:highlight w:val="none"/>
                <w:shd w:val="clear" w:color="auto" w:fill="auto"/>
              </w:rPr>
            </w:pPr>
          </w:p>
        </w:tc>
      </w:tr>
      <w:tr w14:paraId="3D12485F">
        <w:tblPrEx>
          <w:tblCellMar>
            <w:top w:w="0" w:type="dxa"/>
            <w:left w:w="0" w:type="dxa"/>
            <w:bottom w:w="0" w:type="dxa"/>
            <w:right w:w="0" w:type="dxa"/>
          </w:tblCellMar>
        </w:tblPrEx>
        <w:trPr>
          <w:trHeight w:val="533" w:hRule="atLeast"/>
        </w:trPr>
        <w:tc>
          <w:tcPr>
            <w:tcW w:w="1309"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18888316">
            <w:pPr>
              <w:jc w:val="center"/>
              <w:rPr>
                <w:rFonts w:ascii="Times New Roman" w:hAnsi="Times New Roman"/>
                <w:highlight w:val="none"/>
                <w:shd w:val="clear" w:color="auto" w:fill="auto"/>
              </w:rPr>
            </w:pPr>
            <w:r>
              <w:rPr>
                <w:rFonts w:ascii="Times New Roman" w:hAnsi="Times New Roman" w:cs="Times New Roman"/>
                <w:kern w:val="0"/>
                <w:sz w:val="24"/>
                <w:highlight w:val="none"/>
                <w:shd w:val="clear" w:color="auto" w:fill="auto"/>
              </w:rPr>
              <w:t>下水管</w:t>
            </w:r>
          </w:p>
        </w:tc>
        <w:tc>
          <w:tcPr>
            <w:tcW w:w="276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87430D">
            <w:pPr>
              <w:jc w:val="center"/>
              <w:textAlignment w:val="center"/>
              <w:rPr>
                <w:rFonts w:ascii="Times New Roman" w:hAnsi="Times New Roman" w:cs="Times New Roman"/>
                <w:kern w:val="0"/>
                <w:sz w:val="24"/>
                <w:highlight w:val="none"/>
                <w:shd w:val="clear" w:color="auto" w:fill="auto"/>
              </w:rPr>
            </w:pPr>
            <w:r>
              <w:rPr>
                <w:rFonts w:ascii="Times New Roman" w:hAnsi="Times New Roman" w:cs="Times New Roman"/>
                <w:kern w:val="0"/>
                <w:sz w:val="24"/>
                <w:highlight w:val="none"/>
                <w:shd w:val="clear" w:color="auto" w:fill="auto"/>
              </w:rPr>
              <w:t>20元/</w:t>
            </w:r>
            <w:r>
              <w:rPr>
                <w:rFonts w:hint="eastAsia" w:ascii="Times New Roman" w:hAnsi="Times New Roman" w:cs="Times New Roman"/>
                <w:kern w:val="0"/>
                <w:sz w:val="24"/>
                <w:highlight w:val="none"/>
                <w:shd w:val="clear" w:color="auto" w:fill="auto"/>
              </w:rPr>
              <w:t>米（</w:t>
            </w:r>
            <w:r>
              <w:rPr>
                <w:rFonts w:ascii="Times New Roman" w:hAnsi="Times New Roman" w:cs="Times New Roman"/>
                <w:kern w:val="0"/>
                <w:sz w:val="24"/>
                <w:highlight w:val="none"/>
                <w:shd w:val="clear" w:color="auto" w:fill="auto"/>
              </w:rPr>
              <w:t>直径20cm</w:t>
            </w:r>
            <w:r>
              <w:rPr>
                <w:rFonts w:hint="eastAsia" w:ascii="Times New Roman" w:hAnsi="Times New Roman" w:cs="Times New Roman"/>
                <w:kern w:val="0"/>
                <w:sz w:val="24"/>
                <w:highlight w:val="none"/>
                <w:shd w:val="clear" w:color="auto" w:fill="auto"/>
              </w:rPr>
              <w:t>）</w:t>
            </w:r>
          </w:p>
        </w:tc>
        <w:tc>
          <w:tcPr>
            <w:tcW w:w="48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D87FFF">
            <w:pPr>
              <w:jc w:val="center"/>
              <w:rPr>
                <w:rFonts w:ascii="Times New Roman" w:hAnsi="Times New Roman"/>
                <w:highlight w:val="none"/>
                <w:shd w:val="clear" w:color="auto" w:fill="auto"/>
              </w:rPr>
            </w:pPr>
          </w:p>
        </w:tc>
      </w:tr>
      <w:tr w14:paraId="7F4B793A">
        <w:tblPrEx>
          <w:tblCellMar>
            <w:top w:w="0" w:type="dxa"/>
            <w:left w:w="0" w:type="dxa"/>
            <w:bottom w:w="0" w:type="dxa"/>
            <w:right w:w="0" w:type="dxa"/>
          </w:tblCellMar>
        </w:tblPrEx>
        <w:trPr>
          <w:trHeight w:val="533" w:hRule="atLeast"/>
        </w:trPr>
        <w:tc>
          <w:tcPr>
            <w:tcW w:w="1309" w:type="dxa"/>
            <w:vMerge w:val="continue"/>
            <w:tcBorders>
              <w:left w:val="single" w:color="000000" w:sz="4" w:space="0"/>
              <w:right w:val="single" w:color="000000" w:sz="4" w:space="0"/>
            </w:tcBorders>
            <w:tcMar>
              <w:top w:w="15" w:type="dxa"/>
              <w:left w:w="15" w:type="dxa"/>
              <w:right w:w="15" w:type="dxa"/>
            </w:tcMar>
            <w:vAlign w:val="center"/>
          </w:tcPr>
          <w:p w14:paraId="0FB66CB6">
            <w:pPr>
              <w:rPr>
                <w:rFonts w:ascii="Times New Roman" w:hAnsi="Times New Roman"/>
                <w:highlight w:val="none"/>
                <w:shd w:val="clear" w:color="auto" w:fill="auto"/>
              </w:rPr>
            </w:pPr>
          </w:p>
        </w:tc>
        <w:tc>
          <w:tcPr>
            <w:tcW w:w="276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281529">
            <w:pPr>
              <w:jc w:val="center"/>
              <w:textAlignment w:val="center"/>
              <w:rPr>
                <w:rFonts w:ascii="Times New Roman" w:hAnsi="Times New Roman" w:cs="Times New Roman"/>
                <w:kern w:val="0"/>
                <w:sz w:val="24"/>
                <w:highlight w:val="none"/>
                <w:shd w:val="clear" w:color="auto" w:fill="auto"/>
              </w:rPr>
            </w:pPr>
            <w:r>
              <w:rPr>
                <w:rFonts w:ascii="Times New Roman" w:hAnsi="Times New Roman" w:cs="Times New Roman"/>
                <w:kern w:val="0"/>
                <w:sz w:val="24"/>
                <w:highlight w:val="none"/>
                <w:shd w:val="clear" w:color="auto" w:fill="auto"/>
              </w:rPr>
              <w:t>60元/</w:t>
            </w:r>
            <w:r>
              <w:rPr>
                <w:rFonts w:hint="eastAsia" w:ascii="Times New Roman" w:hAnsi="Times New Roman" w:cs="Times New Roman"/>
                <w:kern w:val="0"/>
                <w:sz w:val="24"/>
                <w:highlight w:val="none"/>
                <w:shd w:val="clear" w:color="auto" w:fill="auto"/>
              </w:rPr>
              <w:t>米（</w:t>
            </w:r>
            <w:r>
              <w:rPr>
                <w:rFonts w:ascii="Times New Roman" w:hAnsi="Times New Roman" w:cs="Times New Roman"/>
                <w:kern w:val="0"/>
                <w:sz w:val="24"/>
                <w:highlight w:val="none"/>
                <w:shd w:val="clear" w:color="auto" w:fill="auto"/>
              </w:rPr>
              <w:t>直径50cm</w:t>
            </w:r>
            <w:r>
              <w:rPr>
                <w:rFonts w:hint="eastAsia" w:ascii="Times New Roman" w:hAnsi="Times New Roman" w:cs="Times New Roman"/>
                <w:kern w:val="0"/>
                <w:sz w:val="24"/>
                <w:highlight w:val="none"/>
                <w:shd w:val="clear" w:color="auto" w:fill="auto"/>
              </w:rPr>
              <w:t>）</w:t>
            </w:r>
          </w:p>
        </w:tc>
        <w:tc>
          <w:tcPr>
            <w:tcW w:w="48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45B6C4">
            <w:pPr>
              <w:jc w:val="center"/>
              <w:rPr>
                <w:rFonts w:ascii="Times New Roman" w:hAnsi="Times New Roman"/>
                <w:highlight w:val="none"/>
                <w:shd w:val="clear" w:color="auto" w:fill="auto"/>
              </w:rPr>
            </w:pPr>
          </w:p>
        </w:tc>
      </w:tr>
      <w:tr w14:paraId="633EFDB6">
        <w:tblPrEx>
          <w:tblCellMar>
            <w:top w:w="0" w:type="dxa"/>
            <w:left w:w="0" w:type="dxa"/>
            <w:bottom w:w="0" w:type="dxa"/>
            <w:right w:w="0" w:type="dxa"/>
          </w:tblCellMar>
        </w:tblPrEx>
        <w:trPr>
          <w:trHeight w:val="533" w:hRule="atLeast"/>
        </w:trPr>
        <w:tc>
          <w:tcPr>
            <w:tcW w:w="1309"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20F2FCA7">
            <w:pPr>
              <w:rPr>
                <w:rFonts w:ascii="Times New Roman" w:hAnsi="Times New Roman"/>
                <w:highlight w:val="none"/>
                <w:shd w:val="clear" w:color="auto" w:fill="auto"/>
              </w:rPr>
            </w:pPr>
          </w:p>
        </w:tc>
        <w:tc>
          <w:tcPr>
            <w:tcW w:w="276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265CFF">
            <w:pPr>
              <w:jc w:val="center"/>
              <w:textAlignment w:val="center"/>
              <w:rPr>
                <w:rFonts w:ascii="Times New Roman" w:hAnsi="Times New Roman" w:cs="Times New Roman"/>
                <w:kern w:val="0"/>
                <w:sz w:val="24"/>
                <w:highlight w:val="none"/>
                <w:shd w:val="clear" w:color="auto" w:fill="auto"/>
              </w:rPr>
            </w:pPr>
            <w:r>
              <w:rPr>
                <w:rFonts w:ascii="Times New Roman" w:hAnsi="Times New Roman" w:cs="Times New Roman"/>
                <w:kern w:val="0"/>
                <w:sz w:val="24"/>
                <w:highlight w:val="none"/>
                <w:shd w:val="clear" w:color="auto" w:fill="auto"/>
              </w:rPr>
              <w:t>80元/</w:t>
            </w:r>
            <w:r>
              <w:rPr>
                <w:rFonts w:hint="eastAsia" w:ascii="Times New Roman" w:hAnsi="Times New Roman" w:cs="Times New Roman"/>
                <w:kern w:val="0"/>
                <w:sz w:val="24"/>
                <w:highlight w:val="none"/>
                <w:shd w:val="clear" w:color="auto" w:fill="auto"/>
              </w:rPr>
              <w:t>米（</w:t>
            </w:r>
            <w:r>
              <w:rPr>
                <w:rFonts w:ascii="Times New Roman" w:hAnsi="Times New Roman" w:cs="Times New Roman"/>
                <w:kern w:val="0"/>
                <w:sz w:val="24"/>
                <w:highlight w:val="none"/>
                <w:shd w:val="clear" w:color="auto" w:fill="auto"/>
              </w:rPr>
              <w:t>直径80cm</w:t>
            </w:r>
            <w:r>
              <w:rPr>
                <w:rFonts w:hint="eastAsia" w:ascii="Times New Roman" w:hAnsi="Times New Roman" w:cs="Times New Roman"/>
                <w:kern w:val="0"/>
                <w:sz w:val="24"/>
                <w:highlight w:val="none"/>
                <w:shd w:val="clear" w:color="auto" w:fill="auto"/>
              </w:rPr>
              <w:t>）</w:t>
            </w:r>
          </w:p>
        </w:tc>
        <w:tc>
          <w:tcPr>
            <w:tcW w:w="48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ADCE45">
            <w:pPr>
              <w:jc w:val="center"/>
              <w:rPr>
                <w:rFonts w:ascii="Times New Roman" w:hAnsi="Times New Roman"/>
                <w:highlight w:val="none"/>
                <w:shd w:val="clear" w:color="auto" w:fill="auto"/>
              </w:rPr>
            </w:pPr>
          </w:p>
        </w:tc>
      </w:tr>
    </w:tbl>
    <w:p w14:paraId="4AF86AFF">
      <w:pPr>
        <w:widowControl w:val="0"/>
        <w:ind w:firstLine="688"/>
        <w:rPr>
          <w:rFonts w:ascii="Times New Roman" w:hAnsi="Times New Roman" w:eastAsia="仿宋_GB2312" w:cs="Times New Roman"/>
          <w:sz w:val="32"/>
          <w:szCs w:val="32"/>
          <w:highlight w:val="none"/>
          <w:shd w:val="clear" w:color="auto" w:fill="auto"/>
        </w:rPr>
      </w:pPr>
    </w:p>
    <w:sectPr>
      <w:footerReference r:id="rId5" w:type="first"/>
      <w:footerReference r:id="rId3" w:type="default"/>
      <w:footerReference r:id="rId4" w:type="even"/>
      <w:pgSz w:w="11906" w:h="16838"/>
      <w:pgMar w:top="2098" w:right="1304" w:bottom="1304" w:left="1587" w:header="851" w:footer="992" w:gutter="0"/>
      <w:pgNumType w:fmt="decimal"/>
      <w:cols w:space="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方正小标宋_GBK">
    <w:panose1 w:val="02000000000000000000"/>
    <w:charset w:val="86"/>
    <w:family w:val="script"/>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魏碑_GBK">
    <w:panose1 w:val="02000000000000000000"/>
    <w:charset w:val="86"/>
    <w:family w:val="auto"/>
    <w:pitch w:val="default"/>
    <w:sig w:usb0="A00002BF" w:usb1="39CF7CFA" w:usb2="00082016" w:usb3="00000000" w:csb0="00040001" w:csb1="00000000"/>
  </w:font>
  <w:font w:name="方正小标宋简体">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国标黑体">
    <w:panose1 w:val="02000500000000000000"/>
    <w:charset w:val="86"/>
    <w:family w:val="auto"/>
    <w:pitch w:val="default"/>
    <w:sig w:usb0="00000001" w:usb1="08000000" w:usb2="00000000" w:usb3="00000000" w:csb0="00060007" w:csb1="00000000"/>
  </w:font>
  <w:font w:name="国标小标宋">
    <w:panose1 w:val="02000500000000000000"/>
    <w:charset w:val="86"/>
    <w:family w:val="auto"/>
    <w:pitch w:val="default"/>
    <w:sig w:usb0="00000001" w:usb1="08000000" w:usb2="00000000" w:usb3="00000000" w:csb0="00060007" w:csb1="00000000"/>
  </w:font>
  <w:font w:name="等线 Light">
    <w:panose1 w:val="02010600030101010101"/>
    <w:charset w:val="86"/>
    <w:family w:val="auto"/>
    <w:pitch w:val="default"/>
    <w:sig w:usb0="A00002BF" w:usb1="38CF7CFA" w:usb2="00000016" w:usb3="00000000" w:csb0="0004000F" w:csb1="00000000"/>
  </w:font>
  <w:font w:name="Bahnschrift SemiLight SemiCondensed">
    <w:panose1 w:val="020B0502040204020203"/>
    <w:charset w:val="00"/>
    <w:family w:val="auto"/>
    <w:pitch w:val="default"/>
    <w:sig w:usb0="A00002C7" w:usb1="00000002" w:usb2="00000000" w:usb3="00000000" w:csb0="2000019F" w:csb1="00000000"/>
  </w:font>
  <w:font w:name="Bahnschrift SemiCondensed">
    <w:panose1 w:val="020B0502040204020203"/>
    <w:charset w:val="00"/>
    <w:family w:val="auto"/>
    <w:pitch w:val="default"/>
    <w:sig w:usb0="A00002C7" w:usb1="00000002" w:usb2="00000000" w:usb3="00000000" w:csb0="2000019F" w:csb1="00000000"/>
  </w:font>
  <w:font w:name="叶根友毛笔行书2.0版">
    <w:panose1 w:val="02010601030101010101"/>
    <w:charset w:val="86"/>
    <w:family w:val="auto"/>
    <w:pitch w:val="default"/>
    <w:sig w:usb0="00000001" w:usb1="080E0000" w:usb2="00000000" w:usb3="00000000" w:csb0="00040000" w:csb1="00000000"/>
  </w:font>
  <w:font w:name="Candara">
    <w:panose1 w:val="020E0502030303020204"/>
    <w:charset w:val="00"/>
    <w:family w:val="auto"/>
    <w:pitch w:val="default"/>
    <w:sig w:usb0="A00002EF" w:usb1="4000A44B" w:usb2="00000000" w:usb3="00000000" w:csb0="2000019F" w:csb1="00000000"/>
  </w:font>
  <w:font w:name="Cascadia Code SemiLight">
    <w:panose1 w:val="020B0609020000020004"/>
    <w:charset w:val="00"/>
    <w:family w:val="auto"/>
    <w:pitch w:val="default"/>
    <w:sig w:usb0="A1002AFF" w:usb1="C200F9FB" w:usb2="00040020" w:usb3="00000000" w:csb0="600001FF" w:csb1="FFFF0000"/>
  </w:font>
  <w:font w:name="Cascadia Mono">
    <w:panose1 w:val="020B0609020000020004"/>
    <w:charset w:val="00"/>
    <w:family w:val="auto"/>
    <w:pitch w:val="default"/>
    <w:sig w:usb0="A1002AFF" w:usb1="C200F9FB" w:usb2="00040020" w:usb3="00000000" w:csb0="600001FF" w:csb1="FFFF0000"/>
  </w:font>
  <w:font w:name="Yu Gothic UI Semibold">
    <w:panose1 w:val="020B0700000000000000"/>
    <w:charset w:val="80"/>
    <w:family w:val="auto"/>
    <w:pitch w:val="default"/>
    <w:sig w:usb0="E00002FF" w:usb1="2AC7FDFF" w:usb2="00000016" w:usb3="00000000" w:csb0="2002009F" w:csb1="00000000"/>
  </w:font>
  <w:font w:name="Yu Gothic UI Semilight">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E48A3">
    <w:pPr>
      <w:pStyle w:val="6"/>
    </w:pPr>
    <w:r>
      <w:rPr>
        <w:sz w:val="18"/>
      </w:rPr>
      <mc:AlternateContent>
        <mc:Choice Requires="wps">
          <w:drawing>
            <wp:anchor distT="0" distB="0" distL="114300" distR="114300" simplePos="0" relativeHeight="251659264" behindDoc="0" locked="0" layoutInCell="1" allowOverlap="1">
              <wp:simplePos x="0" y="0"/>
              <wp:positionH relativeFrom="margin">
                <wp:posOffset>4778375</wp:posOffset>
              </wp:positionH>
              <wp:positionV relativeFrom="paragraph">
                <wp:posOffset>-57150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0D36B75">
                          <w:pPr>
                            <w:pStyle w:val="6"/>
                            <w:wordWrap w:val="0"/>
                            <w:jc w:val="right"/>
                            <w:rPr>
                              <w:rFonts w:hint="default" w:ascii="宋体" w:hAnsi="宋体" w:eastAsia="宋体" w:cs="宋体"/>
                              <w:sz w:val="28"/>
                              <w:szCs w:val="28"/>
                              <w:lang w:val="en-US" w:eastAsia="zh-CN"/>
                            </w:rPr>
                          </w:pPr>
                          <w:r>
                            <w:rPr>
                              <w:rFonts w:hint="default" w:ascii="宋体" w:hAnsi="宋体" w:cs="宋体"/>
                              <w:sz w:val="28"/>
                              <w:szCs w:val="28"/>
                              <w:lang w:val="en-US" w:eastAsia="zh-CN"/>
                            </w:rPr>
                            <w:t xml:space="preserve">— </w:t>
                          </w:r>
                          <w:r>
                            <w:rPr>
                              <w:rFonts w:hint="default" w:ascii="宋体" w:hAnsi="宋体" w:cs="宋体"/>
                              <w:sz w:val="28"/>
                              <w:szCs w:val="28"/>
                              <w:lang w:val="en-US" w:eastAsia="zh-CN"/>
                            </w:rPr>
                            <w:fldChar w:fldCharType="begin"/>
                          </w:r>
                          <w:r>
                            <w:rPr>
                              <w:rFonts w:hint="default" w:ascii="宋体" w:hAnsi="宋体" w:cs="宋体"/>
                              <w:sz w:val="28"/>
                              <w:szCs w:val="28"/>
                              <w:lang w:val="en-US" w:eastAsia="zh-CN"/>
                            </w:rPr>
                            <w:instrText xml:space="preserve"> PAGE  \* MERGEFORMAT </w:instrText>
                          </w:r>
                          <w:r>
                            <w:rPr>
                              <w:rFonts w:hint="default" w:ascii="宋体" w:hAnsi="宋体" w:cs="宋体"/>
                              <w:sz w:val="28"/>
                              <w:szCs w:val="28"/>
                              <w:lang w:val="en-US" w:eastAsia="zh-CN"/>
                            </w:rPr>
                            <w:fldChar w:fldCharType="separate"/>
                          </w:r>
                          <w:r>
                            <w:rPr>
                              <w:rFonts w:hint="default" w:ascii="宋体" w:hAnsi="宋体" w:cs="宋体"/>
                              <w:sz w:val="28"/>
                              <w:szCs w:val="28"/>
                              <w:lang w:val="en-US" w:eastAsia="zh-CN"/>
                            </w:rPr>
                            <w:t>1</w:t>
                          </w:r>
                          <w:r>
                            <w:rPr>
                              <w:rFonts w:hint="default" w:ascii="宋体" w:hAnsi="宋体" w:cs="宋体"/>
                              <w:sz w:val="28"/>
                              <w:szCs w:val="28"/>
                              <w:lang w:val="en-US" w:eastAsia="zh-CN"/>
                            </w:rPr>
                            <w:fldChar w:fldCharType="end"/>
                          </w:r>
                          <w:r>
                            <w:rPr>
                              <w:rFonts w:hint="default" w:ascii="宋体" w:hAnsi="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4.5pt;height:144pt;width:144pt;mso-position-horizontal-relative:margin;mso-wrap-style:none;z-index:251659264;mso-width-relative:page;mso-height-relative:page;" filled="f" stroked="f" coordsize="21600,21600" o:gfxdata="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">
              <v:fill on="f" focussize="0,0"/>
              <v:stroke on="f" weight="0.5pt"/>
              <v:imagedata o:title=""/>
              <o:lock v:ext="edit" aspectratio="f"/>
              <v:textbox inset="0mm,0mm,0mm,0mm" style="mso-fit-shape-to-text:t;">
                <w:txbxContent>
                  <w:p w14:paraId="70D36B75">
                    <w:pPr>
                      <w:pStyle w:val="6"/>
                      <w:wordWrap w:val="0"/>
                      <w:jc w:val="right"/>
                      <w:rPr>
                        <w:rFonts w:hint="default" w:ascii="宋体" w:hAnsi="宋体" w:eastAsia="宋体" w:cs="宋体"/>
                        <w:sz w:val="28"/>
                        <w:szCs w:val="28"/>
                        <w:lang w:val="en-US" w:eastAsia="zh-CN"/>
                      </w:rPr>
                    </w:pPr>
                    <w:r>
                      <w:rPr>
                        <w:rFonts w:hint="default" w:ascii="宋体" w:hAnsi="宋体" w:cs="宋体"/>
                        <w:sz w:val="28"/>
                        <w:szCs w:val="28"/>
                        <w:lang w:val="en-US" w:eastAsia="zh-CN"/>
                      </w:rPr>
                      <w:t xml:space="preserve">— </w:t>
                    </w:r>
                    <w:r>
                      <w:rPr>
                        <w:rFonts w:hint="default" w:ascii="宋体" w:hAnsi="宋体" w:cs="宋体"/>
                        <w:sz w:val="28"/>
                        <w:szCs w:val="28"/>
                        <w:lang w:val="en-US" w:eastAsia="zh-CN"/>
                      </w:rPr>
                      <w:fldChar w:fldCharType="begin"/>
                    </w:r>
                    <w:r>
                      <w:rPr>
                        <w:rFonts w:hint="default" w:ascii="宋体" w:hAnsi="宋体" w:cs="宋体"/>
                        <w:sz w:val="28"/>
                        <w:szCs w:val="28"/>
                        <w:lang w:val="en-US" w:eastAsia="zh-CN"/>
                      </w:rPr>
                      <w:instrText xml:space="preserve"> PAGE  \* MERGEFORMAT </w:instrText>
                    </w:r>
                    <w:r>
                      <w:rPr>
                        <w:rFonts w:hint="default" w:ascii="宋体" w:hAnsi="宋体" w:cs="宋体"/>
                        <w:sz w:val="28"/>
                        <w:szCs w:val="28"/>
                        <w:lang w:val="en-US" w:eastAsia="zh-CN"/>
                      </w:rPr>
                      <w:fldChar w:fldCharType="separate"/>
                    </w:r>
                    <w:r>
                      <w:rPr>
                        <w:rFonts w:hint="default" w:ascii="宋体" w:hAnsi="宋体" w:cs="宋体"/>
                        <w:sz w:val="28"/>
                        <w:szCs w:val="28"/>
                        <w:lang w:val="en-US" w:eastAsia="zh-CN"/>
                      </w:rPr>
                      <w:t>1</w:t>
                    </w:r>
                    <w:r>
                      <w:rPr>
                        <w:rFonts w:hint="default" w:ascii="宋体" w:hAnsi="宋体" w:cs="宋体"/>
                        <w:sz w:val="28"/>
                        <w:szCs w:val="28"/>
                        <w:lang w:val="en-US" w:eastAsia="zh-CN"/>
                      </w:rPr>
                      <w:fldChar w:fldCharType="end"/>
                    </w:r>
                    <w:r>
                      <w:rPr>
                        <w:rFonts w:hint="default" w:ascii="宋体" w:hAnsi="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4EF37">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28575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09D7393">
                          <w:pPr>
                            <w:pStyle w:val="6"/>
                            <w:ind w:firstLine="280" w:firstLine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25pt;height:144pt;width:144pt;mso-position-horizontal:outside;mso-position-horizontal-relative:margin;mso-wrap-style:none;z-index:251660288;mso-width-relative:page;mso-height-relative:page;" filled="f" stroked="f" coordsize="21600,21600" o:gfxdata="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FjANlfTAAAABgEAAA8AAAAAAAAAAQAgAAAAIgAAAGRycy9kb3ducmV2LnhtbFBLAQIU&#10;ABQAAAAIAIdO4kBfyKa93AIAACQGAAAOAAAAAAAAAAEAIAAAACIBAABkcnMvZTJvRG9jLnhtbFBL&#10;BQYAAAAABgAGAFkBAABwBgAAAAA=&#10;">
              <v:fill on="f" focussize="0,0"/>
              <v:stroke on="f" weight="0.5pt"/>
              <v:imagedata o:title=""/>
              <o:lock v:ext="edit" aspectratio="f"/>
              <v:textbox inset="0mm,0mm,0mm,0mm" style="mso-fit-shape-to-text:t;">
                <w:txbxContent>
                  <w:p w14:paraId="609D7393">
                    <w:pPr>
                      <w:pStyle w:val="6"/>
                      <w:ind w:firstLine="280" w:firstLine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9B882">
    <w:pPr>
      <w:pStyle w:val="6"/>
      <w:framePr w:wrap="around" w:vAnchor="text" w:hAnchor="margin" w:xAlign="center" w:y="1"/>
    </w:pPr>
    <w:r>
      <w:rPr>
        <w:rStyle w:val="14"/>
      </w:rPr>
      <w:fldChar w:fldCharType="begin"/>
    </w:r>
    <w:r>
      <w:rPr>
        <w:rStyle w:val="14"/>
      </w:rPr>
      <w:instrText xml:space="preserve">Page</w:instrText>
    </w:r>
    <w:r>
      <w:rPr>
        <w:rStyle w:val="14"/>
      </w:rPr>
      <w:fldChar w:fldCharType="separate"/>
    </w:r>
    <w:r>
      <w:rPr>
        <w:rStyle w:val="14"/>
      </w:rPr>
      <w:t>1</w:t>
    </w:r>
    <w:r>
      <w:rPr>
        <w:rStyle w:val="14"/>
      </w:rPr>
      <w:fldChar w:fldCharType="end"/>
    </w:r>
  </w:p>
  <w:p w14:paraId="002841AD">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YzMxYzYzNGE1MzE3OGU1Mzg0NmY3ZGRiZTEzZjdkM2MifQ=="/>
  </w:docVars>
  <w:rsids>
    <w:rsidRoot w:val="00587E50"/>
    <w:rsid w:val="003E290D"/>
    <w:rsid w:val="00587E50"/>
    <w:rsid w:val="005B0DC0"/>
    <w:rsid w:val="00794C37"/>
    <w:rsid w:val="00895AD3"/>
    <w:rsid w:val="00E51E14"/>
    <w:rsid w:val="12CD73C6"/>
    <w:rsid w:val="13FF7A53"/>
    <w:rsid w:val="141352AC"/>
    <w:rsid w:val="170A508C"/>
    <w:rsid w:val="17410382"/>
    <w:rsid w:val="18EE62E8"/>
    <w:rsid w:val="285C6DCA"/>
    <w:rsid w:val="2936586D"/>
    <w:rsid w:val="2E3D144C"/>
    <w:rsid w:val="2F230642"/>
    <w:rsid w:val="479223B1"/>
    <w:rsid w:val="4CEE73E2"/>
    <w:rsid w:val="4F111E0D"/>
    <w:rsid w:val="546D5D37"/>
    <w:rsid w:val="57521214"/>
    <w:rsid w:val="5B863B83"/>
    <w:rsid w:val="5BF907F8"/>
    <w:rsid w:val="70B86135"/>
    <w:rsid w:val="78CD4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nhideWhenUsed="0" w:uiPriority="0" w:semiHidden="0"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Calibri" w:hAnsi="Calibri" w:eastAsia="宋体" w:cs="Arial"/>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9"/>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semiHidden/>
    <w:unhideWhenUsed/>
    <w:qFormat/>
    <w:uiPriority w:val="9"/>
    <w:pPr>
      <w:keepNext/>
      <w:keepLines/>
      <w:spacing w:before="260" w:after="260" w:line="415" w:lineRule="auto"/>
      <w:outlineLvl w:val="2"/>
    </w:pPr>
    <w:rPr>
      <w:b/>
      <w:bCs/>
      <w:sz w:val="32"/>
      <w:szCs w:val="32"/>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footnote text"/>
    <w:basedOn w:val="1"/>
    <w:qFormat/>
    <w:uiPriority w:val="0"/>
    <w:pPr>
      <w:snapToGrid w:val="0"/>
      <w:jc w:val="left"/>
    </w:pPr>
    <w:rPr>
      <w:sz w:val="18"/>
      <w:szCs w:val="18"/>
    </w:rPr>
  </w:style>
  <w:style w:type="paragraph" w:styleId="9">
    <w:name w:val="index 7"/>
    <w:basedOn w:val="1"/>
    <w:next w:val="1"/>
    <w:autoRedefine/>
    <w:qFormat/>
    <w:uiPriority w:val="0"/>
    <w:pPr>
      <w:ind w:left="2520"/>
    </w:pPr>
  </w:style>
  <w:style w:type="paragraph" w:styleId="10">
    <w:name w:val="Normal (Web)"/>
    <w:basedOn w:val="1"/>
    <w:uiPriority w:val="0"/>
    <w:pPr>
      <w:spacing w:before="100" w:beforeAutospacing="1" w:after="100" w:afterAutospacing="1" w:line="450" w:lineRule="atLeast"/>
    </w:pPr>
  </w:style>
  <w:style w:type="paragraph" w:styleId="11">
    <w:name w:val="annotation subject"/>
    <w:basedOn w:val="5"/>
    <w:next w:val="5"/>
    <w:qFormat/>
    <w:uiPriority w:val="0"/>
    <w:rPr>
      <w:b/>
      <w:bCs/>
    </w:rPr>
  </w:style>
  <w:style w:type="character" w:styleId="14">
    <w:name w:val="page number"/>
    <w:basedOn w:val="13"/>
    <w:qFormat/>
    <w:uiPriority w:val="0"/>
  </w:style>
  <w:style w:type="character" w:styleId="15">
    <w:name w:val="annotation reference"/>
    <w:basedOn w:val="13"/>
    <w:qFormat/>
    <w:uiPriority w:val="0"/>
    <w:rPr>
      <w:sz w:val="21"/>
      <w:szCs w:val="21"/>
    </w:rPr>
  </w:style>
  <w:style w:type="character" w:styleId="16">
    <w:name w:val="footnote reference"/>
    <w:basedOn w:val="13"/>
    <w:qFormat/>
    <w:uiPriority w:val="0"/>
    <w:rPr>
      <w:vertAlign w:val="superscript"/>
    </w:rPr>
  </w:style>
  <w:style w:type="character" w:customStyle="1" w:styleId="17">
    <w:name w:val="NormalCharacter"/>
    <w:uiPriority w:val="0"/>
  </w:style>
  <w:style w:type="character" w:customStyle="1" w:styleId="18">
    <w:name w:val="10"/>
    <w:basedOn w:val="13"/>
    <w:qFormat/>
    <w:uiPriority w:val="0"/>
    <w:rPr>
      <w:rFonts w:ascii="Times New Roman" w:hAnsi="Times New Roman" w:cs="Times New Roman"/>
    </w:rPr>
  </w:style>
  <w:style w:type="paragraph" w:customStyle="1" w:styleId="19">
    <w:name w:val="列出段落"/>
    <w:basedOn w:val="1"/>
    <w:qFormat/>
    <w:uiPriority w:val="0"/>
    <w:pPr>
      <w:widowControl w:val="0"/>
      <w:ind w:firstLine="200" w:firstLineChars="200"/>
    </w:pPr>
    <w:rPr>
      <w:rFonts w:ascii="Times New Roman" w:hAnsi="Times New Roman" w:cs="Times New Roman"/>
    </w:rPr>
  </w:style>
  <w:style w:type="paragraph" w:customStyle="1" w:styleId="20">
    <w:name w:val="列表段落1"/>
    <w:basedOn w:val="1"/>
    <w:qFormat/>
    <w:uiPriority w:val="0"/>
    <w:pPr>
      <w:widowControl w:val="0"/>
      <w:ind w:firstLine="20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A0B1ED-160F-4B01-A0F7-3E613192DFB8}">
  <ds:schemaRefs/>
</ds:datastoreItem>
</file>

<file path=docProps/app.xml><?xml version="1.0" encoding="utf-8"?>
<Properties xmlns="http://schemas.openxmlformats.org/officeDocument/2006/extended-properties" xmlns:vt="http://schemas.openxmlformats.org/officeDocument/2006/docPropsVTypes">
  <Template>Normal</Template>
  <Pages>12</Pages>
  <Words>6096</Words>
  <Characters>6333</Characters>
  <Lines>46</Lines>
  <Paragraphs>13</Paragraphs>
  <TotalTime>7</TotalTime>
  <ScaleCrop>false</ScaleCrop>
  <LinksUpToDate>false</LinksUpToDate>
  <CharactersWithSpaces>6391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kitty</cp:lastModifiedBy>
  <cp:lastPrinted>2024-08-21T00:58:00Z</cp:lastPrinted>
  <dcterms:modified xsi:type="dcterms:W3CDTF">2024-08-21T09:39:09Z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FE501B38D91A45C294DAB160533E3222_12</vt:lpwstr>
  </property>
</Properties>
</file>