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b/>
          <w:bCs/>
          <w:sz w:val="52"/>
          <w:szCs w:val="52"/>
        </w:rPr>
      </w:pPr>
    </w:p>
    <w:p>
      <w:pPr>
        <w:pStyle w:val="5"/>
      </w:pPr>
    </w:p>
    <w:p>
      <w:pPr>
        <w:adjustRightInd w:val="0"/>
        <w:snapToGrid w:val="0"/>
        <w:spacing w:line="600" w:lineRule="exact"/>
        <w:jc w:val="center"/>
        <w:rPr>
          <w:b/>
          <w:bCs/>
          <w:sz w:val="52"/>
          <w:szCs w:val="52"/>
        </w:rPr>
      </w:pPr>
    </w:p>
    <w:p>
      <w:pPr>
        <w:widowControl w:val="0"/>
        <w:adjustRightInd w:val="0"/>
        <w:snapToGrid w:val="0"/>
        <w:spacing w:line="360" w:lineRule="auto"/>
        <w:jc w:val="center"/>
        <w:rPr>
          <w:rFonts w:ascii="Times New Roman" w:hAnsi="Times New Roman" w:eastAsia="方正小标宋_GBK" w:cs="Times New Roman"/>
          <w:b w:val="0"/>
          <w:bCs/>
          <w:snapToGrid w:val="0"/>
          <w:color w:val="000000"/>
          <w:spacing w:val="0"/>
          <w:sz w:val="44"/>
          <w:szCs w:val="44"/>
        </w:rPr>
      </w:pPr>
      <w:r>
        <w:rPr>
          <w:rFonts w:hint="default" w:ascii="Times New Roman" w:hAnsi="Times New Roman" w:eastAsia="方正小标宋_GBK" w:cs="Times New Roman"/>
          <w:b w:val="0"/>
          <w:bCs/>
          <w:snapToGrid w:val="0"/>
          <w:color w:val="000000"/>
          <w:spacing w:val="0"/>
          <w:sz w:val="44"/>
          <w:szCs w:val="44"/>
        </w:rPr>
        <w:t>桂林市现代物流业发展“十四五”规划</w:t>
      </w:r>
    </w:p>
    <w:p>
      <w:pPr>
        <w:adjustRightInd w:val="0"/>
        <w:snapToGrid w:val="0"/>
        <w:spacing w:line="600" w:lineRule="exact"/>
        <w:jc w:val="center"/>
        <w:rPr>
          <w:b/>
          <w:bCs/>
          <w:sz w:val="52"/>
          <w:szCs w:val="52"/>
        </w:rPr>
      </w:pPr>
    </w:p>
    <w:p>
      <w:pPr>
        <w:adjustRightInd w:val="0"/>
        <w:snapToGrid w:val="0"/>
        <w:spacing w:line="600" w:lineRule="exact"/>
        <w:jc w:val="center"/>
        <w:rPr>
          <w:b/>
          <w:bCs/>
          <w:sz w:val="52"/>
          <w:szCs w:val="52"/>
        </w:rPr>
      </w:pPr>
    </w:p>
    <w:p>
      <w:pPr>
        <w:adjustRightInd w:val="0"/>
        <w:snapToGrid w:val="0"/>
        <w:spacing w:line="600" w:lineRule="exact"/>
        <w:jc w:val="center"/>
        <w:rPr>
          <w:b/>
          <w:bCs/>
          <w:sz w:val="52"/>
          <w:szCs w:val="52"/>
        </w:rPr>
      </w:pPr>
    </w:p>
    <w:p>
      <w:pPr>
        <w:adjustRightInd w:val="0"/>
        <w:snapToGrid w:val="0"/>
        <w:spacing w:line="600" w:lineRule="exact"/>
        <w:jc w:val="center"/>
        <w:rPr>
          <w:b/>
          <w:bCs/>
          <w:sz w:val="52"/>
          <w:szCs w:val="52"/>
        </w:rPr>
      </w:pPr>
    </w:p>
    <w:p>
      <w:pPr>
        <w:pStyle w:val="5"/>
        <w:rPr>
          <w:sz w:val="52"/>
          <w:szCs w:val="52"/>
        </w:rPr>
      </w:pPr>
    </w:p>
    <w:p>
      <w:pPr>
        <w:rPr>
          <w:b/>
          <w:bCs/>
          <w:sz w:val="52"/>
          <w:szCs w:val="52"/>
        </w:rPr>
      </w:pPr>
    </w:p>
    <w:p>
      <w:pPr>
        <w:pStyle w:val="5"/>
      </w:pPr>
    </w:p>
    <w:p>
      <w:pPr>
        <w:adjustRightInd w:val="0"/>
        <w:snapToGrid w:val="0"/>
        <w:spacing w:line="600" w:lineRule="exact"/>
        <w:jc w:val="center"/>
        <w:rPr>
          <w:b/>
          <w:bCs/>
          <w:sz w:val="44"/>
          <w:szCs w:val="44"/>
        </w:rPr>
      </w:pPr>
    </w:p>
    <w:p>
      <w:pPr>
        <w:adjustRightInd w:val="0"/>
        <w:snapToGrid w:val="0"/>
        <w:spacing w:line="600" w:lineRule="exact"/>
        <w:jc w:val="center"/>
        <w:rPr>
          <w:b/>
          <w:bCs/>
          <w:sz w:val="44"/>
          <w:szCs w:val="44"/>
        </w:rPr>
      </w:pPr>
    </w:p>
    <w:p>
      <w:pPr>
        <w:adjustRightInd w:val="0"/>
        <w:snapToGrid w:val="0"/>
        <w:spacing w:line="600" w:lineRule="exact"/>
        <w:jc w:val="center"/>
        <w:rPr>
          <w:rFonts w:ascii="Times New Roman" w:hAnsi="Times New Roman" w:eastAsia="楷体_GB2312" w:cs="Times New Roman"/>
          <w:b w:val="0"/>
          <w:bCs w:val="0"/>
          <w:snapToGrid w:val="0"/>
          <w:color w:val="000000"/>
          <w:sz w:val="32"/>
          <w:szCs w:val="36"/>
        </w:rPr>
      </w:pPr>
      <w:r>
        <w:rPr>
          <w:rFonts w:hint="default" w:ascii="Times New Roman" w:hAnsi="Times New Roman" w:eastAsia="楷体_GB2312" w:cs="Times New Roman"/>
          <w:b w:val="0"/>
          <w:bCs w:val="0"/>
          <w:snapToGrid w:val="0"/>
          <w:color w:val="000000"/>
          <w:sz w:val="32"/>
          <w:szCs w:val="36"/>
        </w:rPr>
        <w:t>2022年</w:t>
      </w:r>
      <w:r>
        <w:rPr>
          <w:rFonts w:hint="eastAsia" w:ascii="Times New Roman" w:hAnsi="Times New Roman" w:eastAsia="楷体_GB2312" w:cs="Times New Roman"/>
          <w:b w:val="0"/>
          <w:bCs w:val="0"/>
          <w:snapToGrid w:val="0"/>
          <w:color w:val="000000"/>
          <w:sz w:val="32"/>
          <w:szCs w:val="36"/>
          <w:lang w:val="en-US" w:eastAsia="zh-CN"/>
        </w:rPr>
        <w:t>8</w:t>
      </w:r>
      <w:r>
        <w:rPr>
          <w:rFonts w:hint="default" w:ascii="Times New Roman" w:hAnsi="Times New Roman" w:eastAsia="楷体_GB2312" w:cs="Times New Roman"/>
          <w:b w:val="0"/>
          <w:bCs w:val="0"/>
          <w:snapToGrid w:val="0"/>
          <w:color w:val="000000"/>
          <w:sz w:val="32"/>
          <w:szCs w:val="36"/>
        </w:rPr>
        <w:t>月</w:t>
      </w:r>
    </w:p>
    <w:p>
      <w:pPr>
        <w:adjustRightInd w:val="0"/>
        <w:snapToGrid w:val="0"/>
        <w:spacing w:line="600" w:lineRule="exact"/>
        <w:jc w:val="center"/>
        <w:rPr>
          <w:rFonts w:ascii="Times New Roman" w:hAnsi="Times New Roman" w:eastAsia="楷体_GB2312" w:cs="Times New Roman"/>
          <w:b w:val="0"/>
          <w:bCs w:val="0"/>
          <w:snapToGrid w:val="0"/>
          <w:color w:val="000000"/>
          <w:sz w:val="32"/>
          <w:szCs w:val="36"/>
        </w:rPr>
        <w:sectPr>
          <w:headerReference r:id="rId5" w:type="first"/>
          <w:headerReference r:id="rId3" w:type="default"/>
          <w:headerReference r:id="rId4" w:type="even"/>
          <w:footerReference r:id="rId6" w:type="even"/>
          <w:pgSz w:w="11906" w:h="16838"/>
          <w:pgMar w:top="1440" w:right="1800" w:bottom="1440" w:left="1800" w:header="851" w:footer="992" w:gutter="0"/>
          <w:pgNumType w:start="1"/>
          <w:cols w:space="425" w:num="1"/>
          <w:titlePg/>
          <w:docGrid w:type="lines" w:linePitch="326" w:charSpace="0"/>
        </w:sectPr>
      </w:pPr>
    </w:p>
    <w:p>
      <w:pPr>
        <w:pStyle w:val="27"/>
        <w:autoSpaceDE w:val="0"/>
        <w:autoSpaceDN w:val="0"/>
        <w:adjustRightInd w:val="0"/>
        <w:snapToGrid w:val="0"/>
        <w:spacing w:line="500" w:lineRule="exact"/>
        <w:ind w:firstLine="240"/>
        <w:jc w:val="center"/>
        <w:rPr>
          <w:rFonts w:hint="eastAsia" w:ascii="黑体" w:hAnsi="黑体" w:eastAsia="黑体" w:cs="黑体"/>
          <w:b/>
          <w:bCs/>
          <w:sz w:val="32"/>
          <w:szCs w:val="32"/>
        </w:rPr>
      </w:pPr>
      <w:sdt>
        <w:sdtPr>
          <w:rPr>
            <w:rFonts w:hint="eastAsia" w:ascii="方正仿宋_GB2312" w:hAnsi="方正仿宋_GB2312" w:eastAsia="方正仿宋_GB2312" w:cs="方正仿宋_GB2312"/>
            <w:i/>
            <w:iCs/>
            <w:color w:val="000000"/>
            <w:sz w:val="24"/>
            <w:szCs w:val="24"/>
          </w:rPr>
          <w:id w:val="101151191"/>
        </w:sdtPr>
        <w:sdtEndPr>
          <w:rPr>
            <w:rFonts w:hint="eastAsia" w:ascii="黑体" w:hAnsi="黑体" w:eastAsia="黑体" w:cs="黑体"/>
            <w:b/>
            <w:bCs/>
            <w:i w:val="0"/>
            <w:iCs w:val="0"/>
            <w:color w:val="000000"/>
            <w:sz w:val="32"/>
            <w:szCs w:val="32"/>
          </w:rPr>
        </w:sdtEndPr>
        <w:sdtContent/>
      </w:sdt>
      <w:r>
        <w:rPr>
          <w:rFonts w:hint="eastAsia" w:ascii="黑体" w:hAnsi="黑体" w:eastAsia="黑体" w:cs="黑体"/>
          <w:b/>
          <w:bCs/>
          <w:sz w:val="32"/>
          <w:szCs w:val="32"/>
        </w:rPr>
        <w:t>目  录</w:t>
      </w:r>
    </w:p>
    <w:p>
      <w:pPr>
        <w:rPr>
          <w:rFonts w:hint="eastAsia"/>
        </w:rPr>
      </w:pPr>
    </w:p>
    <w:p>
      <w:pPr>
        <w:pStyle w:val="19"/>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黑体" w:hAnsi="黑体" w:eastAsia="黑体" w:cs="黑体"/>
          <w:i w:val="0"/>
          <w:iCs w:val="0"/>
          <w:sz w:val="30"/>
          <w:szCs w:val="30"/>
        </w:rPr>
      </w:pPr>
      <w:r>
        <w:rPr>
          <w:rFonts w:hint="eastAsia" w:ascii="仿宋_GB2312" w:hAnsi="仿宋_GB2312" w:eastAsia="仿宋_GB2312" w:cs="仿宋_GB2312"/>
          <w:b w:val="0"/>
          <w:bCs w:val="0"/>
          <w:i w:val="0"/>
          <w:iCs w:val="0"/>
          <w:color w:val="000000"/>
          <w:sz w:val="28"/>
          <w:szCs w:val="28"/>
        </w:rPr>
        <w:fldChar w:fldCharType="begin"/>
      </w:r>
      <w:r>
        <w:rPr>
          <w:rFonts w:hint="eastAsia" w:ascii="仿宋_GB2312" w:hAnsi="仿宋_GB2312" w:eastAsia="仿宋_GB2312" w:cs="仿宋_GB2312"/>
          <w:b w:val="0"/>
          <w:bCs w:val="0"/>
          <w:i w:val="0"/>
          <w:iCs w:val="0"/>
          <w:color w:val="000000"/>
          <w:sz w:val="28"/>
          <w:szCs w:val="28"/>
        </w:rPr>
        <w:instrText xml:space="preserve"> TOC \o "1-4" \h \z \u </w:instrText>
      </w:r>
      <w:r>
        <w:rPr>
          <w:rFonts w:hint="eastAsia" w:ascii="仿宋_GB2312" w:hAnsi="仿宋_GB2312" w:eastAsia="仿宋_GB2312" w:cs="仿宋_GB2312"/>
          <w:b w:val="0"/>
          <w:bCs w:val="0"/>
          <w:i w:val="0"/>
          <w:iCs w:val="0"/>
          <w:color w:val="000000"/>
          <w:sz w:val="28"/>
          <w:szCs w:val="28"/>
        </w:rPr>
        <w:fldChar w:fldCharType="separate"/>
      </w:r>
      <w:r>
        <w:rPr>
          <w:rFonts w:hint="eastAsia" w:ascii="黑体" w:hAnsi="黑体" w:eastAsia="黑体" w:cs="黑体"/>
          <w:bCs w:val="0"/>
          <w:i w:val="0"/>
          <w:iCs w:val="0"/>
          <w:color w:val="000000"/>
          <w:sz w:val="30"/>
          <w:szCs w:val="30"/>
        </w:rPr>
        <w:fldChar w:fldCharType="begin"/>
      </w:r>
      <w:r>
        <w:rPr>
          <w:rFonts w:hint="eastAsia" w:ascii="黑体" w:hAnsi="黑体" w:eastAsia="黑体" w:cs="黑体"/>
          <w:bCs w:val="0"/>
          <w:i w:val="0"/>
          <w:iCs w:val="0"/>
          <w:sz w:val="30"/>
          <w:szCs w:val="30"/>
        </w:rPr>
        <w:instrText xml:space="preserve"> HYPERLINK \l _Toc12388 </w:instrText>
      </w:r>
      <w:r>
        <w:rPr>
          <w:rFonts w:hint="eastAsia" w:ascii="黑体" w:hAnsi="黑体" w:eastAsia="黑体" w:cs="黑体"/>
          <w:bCs w:val="0"/>
          <w:i w:val="0"/>
          <w:iCs w:val="0"/>
          <w:sz w:val="30"/>
          <w:szCs w:val="30"/>
        </w:rPr>
        <w:fldChar w:fldCharType="separate"/>
      </w:r>
      <w:r>
        <w:rPr>
          <w:rFonts w:hint="eastAsia" w:ascii="黑体" w:hAnsi="黑体" w:eastAsia="黑体" w:cs="黑体"/>
          <w:bCs w:val="0"/>
          <w:i w:val="0"/>
          <w:iCs w:val="0"/>
          <w:sz w:val="30"/>
          <w:szCs w:val="30"/>
        </w:rPr>
        <w:t>一、发展基础与环境</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黑体" w:hAnsi="黑体" w:eastAsia="黑体" w:cs="黑体"/>
          <w:i w:val="0"/>
          <w:iCs w:val="0"/>
          <w:sz w:val="30"/>
          <w:szCs w:val="30"/>
        </w:rPr>
        <w:fldChar w:fldCharType="begin"/>
      </w:r>
      <w:r>
        <w:rPr>
          <w:rFonts w:hint="eastAsia" w:ascii="黑体" w:hAnsi="黑体" w:eastAsia="黑体" w:cs="黑体"/>
          <w:i w:val="0"/>
          <w:iCs w:val="0"/>
          <w:sz w:val="30"/>
          <w:szCs w:val="30"/>
        </w:rPr>
        <w:instrText xml:space="preserve"> PAGEREF _Toc12388 </w:instrText>
      </w:r>
      <w:r>
        <w:rPr>
          <w:rFonts w:hint="eastAsia" w:ascii="黑体" w:hAnsi="黑体" w:eastAsia="黑体" w:cs="黑体"/>
          <w:i w:val="0"/>
          <w:iCs w:val="0"/>
          <w:sz w:val="30"/>
          <w:szCs w:val="30"/>
        </w:rPr>
        <w:fldChar w:fldCharType="separate"/>
      </w:r>
      <w:r>
        <w:rPr>
          <w:rFonts w:hint="eastAsia" w:ascii="黑体" w:hAnsi="黑体" w:eastAsia="黑体" w:cs="黑体"/>
          <w:i w:val="0"/>
          <w:iCs w:val="0"/>
          <w:sz w:val="30"/>
          <w:szCs w:val="30"/>
        </w:rPr>
        <w:t>1</w:t>
      </w:r>
      <w:r>
        <w:rPr>
          <w:rFonts w:hint="eastAsia" w:ascii="黑体" w:hAnsi="黑体" w:eastAsia="黑体" w:cs="黑体"/>
          <w:i w:val="0"/>
          <w:iCs w:val="0"/>
          <w:sz w:val="30"/>
          <w:szCs w:val="30"/>
        </w:rPr>
        <w:fldChar w:fldCharType="end"/>
      </w:r>
      <w:r>
        <w:rPr>
          <w:rFonts w:hint="eastAsia" w:ascii="黑体" w:hAnsi="黑体" w:eastAsia="黑体" w:cs="黑体"/>
          <w:bCs w:val="0"/>
          <w:i w:val="0"/>
          <w:iCs w:val="0"/>
          <w:color w:val="000000"/>
          <w:sz w:val="30"/>
          <w:szCs w:val="30"/>
        </w:rPr>
        <w:fldChar w:fldCharType="end"/>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_Toc31882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（一）发展基础</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sz w:val="30"/>
          <w:szCs w:val="30"/>
        </w:rPr>
        <w:fldChar w:fldCharType="begin"/>
      </w:r>
      <w:r>
        <w:rPr>
          <w:rFonts w:hint="eastAsia" w:ascii="仿宋_GB2312" w:hAnsi="仿宋_GB2312" w:eastAsia="仿宋_GB2312" w:cs="仿宋_GB2312"/>
          <w:b w:val="0"/>
          <w:bCs/>
          <w:i w:val="0"/>
          <w:iCs w:val="0"/>
          <w:sz w:val="30"/>
          <w:szCs w:val="30"/>
        </w:rPr>
        <w:instrText xml:space="preserve"> PAGEREF _Toc31882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1</w:t>
      </w:r>
      <w:r>
        <w:rPr>
          <w:rFonts w:hint="eastAsia" w:ascii="仿宋_GB2312" w:hAnsi="仿宋_GB2312" w:eastAsia="仿宋_GB2312" w:cs="仿宋_GB2312"/>
          <w:b w:val="0"/>
          <w:bCs/>
          <w:i w:val="0"/>
          <w:iCs w:val="0"/>
          <w:sz w:val="30"/>
          <w:szCs w:val="30"/>
        </w:rPr>
        <w:fldChar w:fldCharType="end"/>
      </w:r>
      <w:r>
        <w:rPr>
          <w:rFonts w:hint="eastAsia" w:ascii="仿宋_GB2312" w:hAnsi="仿宋_GB2312" w:eastAsia="仿宋_GB2312" w:cs="仿宋_GB2312"/>
          <w:b w:val="0"/>
          <w:bCs/>
          <w:i w:val="0"/>
          <w:iCs w:val="0"/>
          <w:color w:val="000000"/>
          <w:sz w:val="30"/>
          <w:szCs w:val="30"/>
        </w:rPr>
        <w:fldChar w:fldCharType="end"/>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_Toc15815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（二）存在问题</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i w:val="0"/>
          <w:iCs w:val="0"/>
          <w:sz w:val="30"/>
          <w:szCs w:val="30"/>
        </w:rPr>
        <w:fldChar w:fldCharType="begin"/>
      </w:r>
      <w:r>
        <w:rPr>
          <w:rFonts w:hint="eastAsia" w:ascii="仿宋_GB2312" w:hAnsi="仿宋_GB2312" w:eastAsia="仿宋_GB2312" w:cs="仿宋_GB2312"/>
          <w:b w:val="0"/>
          <w:i w:val="0"/>
          <w:iCs w:val="0"/>
          <w:sz w:val="30"/>
          <w:szCs w:val="30"/>
        </w:rPr>
        <w:instrText xml:space="preserve"> PAGEREF _Toc15815 </w:instrText>
      </w:r>
      <w:r>
        <w:rPr>
          <w:rFonts w:hint="eastAsia" w:ascii="仿宋_GB2312" w:hAnsi="仿宋_GB2312" w:eastAsia="仿宋_GB2312" w:cs="仿宋_GB2312"/>
          <w:b w:val="0"/>
          <w:i w:val="0"/>
          <w:iCs w:val="0"/>
          <w:sz w:val="30"/>
          <w:szCs w:val="30"/>
        </w:rPr>
        <w:fldChar w:fldCharType="separate"/>
      </w:r>
      <w:r>
        <w:rPr>
          <w:rFonts w:hint="eastAsia" w:ascii="仿宋_GB2312" w:hAnsi="仿宋_GB2312" w:eastAsia="仿宋_GB2312" w:cs="仿宋_GB2312"/>
          <w:b w:val="0"/>
          <w:i w:val="0"/>
          <w:iCs w:val="0"/>
          <w:sz w:val="30"/>
          <w:szCs w:val="30"/>
        </w:rPr>
        <w:t>4</w:t>
      </w:r>
      <w:r>
        <w:rPr>
          <w:rFonts w:hint="eastAsia" w:ascii="仿宋_GB2312" w:hAnsi="仿宋_GB2312" w:eastAsia="仿宋_GB2312" w:cs="仿宋_GB2312"/>
          <w:b w:val="0"/>
          <w:i w:val="0"/>
          <w:iCs w:val="0"/>
          <w:sz w:val="30"/>
          <w:szCs w:val="30"/>
        </w:rPr>
        <w:fldChar w:fldCharType="end"/>
      </w:r>
      <w:r>
        <w:rPr>
          <w:rFonts w:hint="eastAsia" w:ascii="仿宋_GB2312" w:hAnsi="仿宋_GB2312" w:eastAsia="仿宋_GB2312" w:cs="仿宋_GB2312"/>
          <w:b w:val="0"/>
          <w:bCs/>
          <w:i w:val="0"/>
          <w:iCs w:val="0"/>
          <w:color w:val="000000"/>
          <w:sz w:val="30"/>
          <w:szCs w:val="30"/>
        </w:rPr>
        <w:fldChar w:fldCharType="end"/>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_Toc32051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（三）发展环境</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i w:val="0"/>
          <w:iCs w:val="0"/>
          <w:sz w:val="30"/>
          <w:szCs w:val="30"/>
        </w:rPr>
        <w:fldChar w:fldCharType="begin"/>
      </w:r>
      <w:r>
        <w:rPr>
          <w:rFonts w:hint="eastAsia" w:ascii="仿宋_GB2312" w:hAnsi="仿宋_GB2312" w:eastAsia="仿宋_GB2312" w:cs="仿宋_GB2312"/>
          <w:b w:val="0"/>
          <w:i w:val="0"/>
          <w:iCs w:val="0"/>
          <w:sz w:val="30"/>
          <w:szCs w:val="30"/>
        </w:rPr>
        <w:instrText xml:space="preserve"> PAGEREF _Toc32051 </w:instrText>
      </w:r>
      <w:r>
        <w:rPr>
          <w:rFonts w:hint="eastAsia" w:ascii="仿宋_GB2312" w:hAnsi="仿宋_GB2312" w:eastAsia="仿宋_GB2312" w:cs="仿宋_GB2312"/>
          <w:b w:val="0"/>
          <w:i w:val="0"/>
          <w:iCs w:val="0"/>
          <w:sz w:val="30"/>
          <w:szCs w:val="30"/>
        </w:rPr>
        <w:fldChar w:fldCharType="separate"/>
      </w:r>
      <w:r>
        <w:rPr>
          <w:rFonts w:hint="eastAsia" w:ascii="仿宋_GB2312" w:hAnsi="仿宋_GB2312" w:eastAsia="仿宋_GB2312" w:cs="仿宋_GB2312"/>
          <w:b w:val="0"/>
          <w:i w:val="0"/>
          <w:iCs w:val="0"/>
          <w:sz w:val="30"/>
          <w:szCs w:val="30"/>
        </w:rPr>
        <w:t>4</w:t>
      </w:r>
      <w:r>
        <w:rPr>
          <w:rFonts w:hint="eastAsia" w:ascii="仿宋_GB2312" w:hAnsi="仿宋_GB2312" w:eastAsia="仿宋_GB2312" w:cs="仿宋_GB2312"/>
          <w:b w:val="0"/>
          <w:i w:val="0"/>
          <w:iCs w:val="0"/>
          <w:sz w:val="30"/>
          <w:szCs w:val="30"/>
        </w:rPr>
        <w:fldChar w:fldCharType="end"/>
      </w:r>
      <w:r>
        <w:rPr>
          <w:rFonts w:hint="eastAsia" w:ascii="仿宋_GB2312" w:hAnsi="仿宋_GB2312" w:eastAsia="仿宋_GB2312" w:cs="仿宋_GB2312"/>
          <w:b w:val="0"/>
          <w:bCs/>
          <w:i w:val="0"/>
          <w:iCs w:val="0"/>
          <w:color w:val="000000"/>
          <w:sz w:val="30"/>
          <w:szCs w:val="30"/>
        </w:rPr>
        <w:fldChar w:fldCharType="end"/>
      </w:r>
    </w:p>
    <w:p>
      <w:pPr>
        <w:pStyle w:val="19"/>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_Toc6393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二、总体要求</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黑体" w:hAnsi="黑体" w:eastAsia="黑体" w:cs="黑体"/>
          <w:i w:val="0"/>
          <w:iCs w:val="0"/>
          <w:sz w:val="30"/>
          <w:szCs w:val="30"/>
        </w:rPr>
        <w:fldChar w:fldCharType="begin"/>
      </w:r>
      <w:r>
        <w:rPr>
          <w:rFonts w:hint="eastAsia" w:ascii="黑体" w:hAnsi="黑体" w:eastAsia="黑体" w:cs="黑体"/>
          <w:i w:val="0"/>
          <w:iCs w:val="0"/>
          <w:sz w:val="30"/>
          <w:szCs w:val="30"/>
        </w:rPr>
        <w:instrText xml:space="preserve"> PAGEREF _Toc6393 </w:instrText>
      </w:r>
      <w:r>
        <w:rPr>
          <w:rFonts w:hint="eastAsia" w:ascii="黑体" w:hAnsi="黑体" w:eastAsia="黑体" w:cs="黑体"/>
          <w:i w:val="0"/>
          <w:iCs w:val="0"/>
          <w:sz w:val="30"/>
          <w:szCs w:val="30"/>
        </w:rPr>
        <w:fldChar w:fldCharType="separate"/>
      </w:r>
      <w:r>
        <w:rPr>
          <w:rFonts w:hint="eastAsia" w:ascii="黑体" w:hAnsi="黑体" w:eastAsia="黑体" w:cs="黑体"/>
          <w:i w:val="0"/>
          <w:iCs w:val="0"/>
          <w:sz w:val="30"/>
          <w:szCs w:val="30"/>
        </w:rPr>
        <w:t>6</w:t>
      </w:r>
      <w:r>
        <w:rPr>
          <w:rFonts w:hint="eastAsia" w:ascii="黑体" w:hAnsi="黑体" w:eastAsia="黑体" w:cs="黑体"/>
          <w:i w:val="0"/>
          <w:iCs w:val="0"/>
          <w:sz w:val="30"/>
          <w:szCs w:val="30"/>
        </w:rPr>
        <w:fldChar w:fldCharType="end"/>
      </w:r>
      <w:r>
        <w:rPr>
          <w:rFonts w:hint="eastAsia" w:ascii="仿宋_GB2312" w:hAnsi="仿宋_GB2312" w:eastAsia="仿宋_GB2312" w:cs="仿宋_GB2312"/>
          <w:bCs w:val="0"/>
          <w:i w:val="0"/>
          <w:iCs w:val="0"/>
          <w:color w:val="000000"/>
          <w:sz w:val="30"/>
          <w:szCs w:val="30"/>
        </w:rPr>
        <w:fldChar w:fldCharType="end"/>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_Toc19769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（一）指导思想</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i w:val="0"/>
          <w:iCs w:val="0"/>
          <w:sz w:val="30"/>
          <w:szCs w:val="30"/>
        </w:rPr>
        <w:fldChar w:fldCharType="begin"/>
      </w:r>
      <w:r>
        <w:rPr>
          <w:rFonts w:hint="eastAsia" w:ascii="仿宋_GB2312" w:hAnsi="仿宋_GB2312" w:eastAsia="仿宋_GB2312" w:cs="仿宋_GB2312"/>
          <w:b w:val="0"/>
          <w:i w:val="0"/>
          <w:iCs w:val="0"/>
          <w:sz w:val="30"/>
          <w:szCs w:val="30"/>
        </w:rPr>
        <w:instrText xml:space="preserve"> PAGEREF _Toc19769 </w:instrText>
      </w:r>
      <w:r>
        <w:rPr>
          <w:rFonts w:hint="eastAsia" w:ascii="仿宋_GB2312" w:hAnsi="仿宋_GB2312" w:eastAsia="仿宋_GB2312" w:cs="仿宋_GB2312"/>
          <w:b w:val="0"/>
          <w:i w:val="0"/>
          <w:iCs w:val="0"/>
          <w:sz w:val="30"/>
          <w:szCs w:val="30"/>
        </w:rPr>
        <w:fldChar w:fldCharType="separate"/>
      </w:r>
      <w:r>
        <w:rPr>
          <w:rFonts w:hint="eastAsia" w:ascii="仿宋_GB2312" w:hAnsi="仿宋_GB2312" w:eastAsia="仿宋_GB2312" w:cs="仿宋_GB2312"/>
          <w:b w:val="0"/>
          <w:i w:val="0"/>
          <w:iCs w:val="0"/>
          <w:sz w:val="30"/>
          <w:szCs w:val="30"/>
        </w:rPr>
        <w:t>6</w:t>
      </w:r>
      <w:r>
        <w:rPr>
          <w:rFonts w:hint="eastAsia" w:ascii="仿宋_GB2312" w:hAnsi="仿宋_GB2312" w:eastAsia="仿宋_GB2312" w:cs="仿宋_GB2312"/>
          <w:b w:val="0"/>
          <w:i w:val="0"/>
          <w:iCs w:val="0"/>
          <w:sz w:val="30"/>
          <w:szCs w:val="30"/>
        </w:rPr>
        <w:fldChar w:fldCharType="end"/>
      </w:r>
      <w:r>
        <w:rPr>
          <w:rFonts w:hint="eastAsia" w:ascii="仿宋_GB2312" w:hAnsi="仿宋_GB2312" w:eastAsia="仿宋_GB2312" w:cs="仿宋_GB2312"/>
          <w:b w:val="0"/>
          <w:bCs/>
          <w:i w:val="0"/>
          <w:iCs w:val="0"/>
          <w:color w:val="000000"/>
          <w:sz w:val="30"/>
          <w:szCs w:val="30"/>
        </w:rPr>
        <w:fldChar w:fldCharType="end"/>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_Toc6321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（二）基本原则</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6</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_Toc16596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（三）发展目标</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7</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_Toc7995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（四）空间布局</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i w:val="0"/>
          <w:iCs w:val="0"/>
          <w:sz w:val="30"/>
          <w:szCs w:val="30"/>
        </w:rPr>
        <w:fldChar w:fldCharType="begin"/>
      </w:r>
      <w:r>
        <w:rPr>
          <w:rFonts w:hint="eastAsia" w:ascii="仿宋_GB2312" w:hAnsi="仿宋_GB2312" w:eastAsia="仿宋_GB2312" w:cs="仿宋_GB2312"/>
          <w:b w:val="0"/>
          <w:i w:val="0"/>
          <w:iCs w:val="0"/>
          <w:sz w:val="30"/>
          <w:szCs w:val="30"/>
        </w:rPr>
        <w:instrText xml:space="preserve"> PAGEREF _Toc7995 </w:instrText>
      </w:r>
      <w:r>
        <w:rPr>
          <w:rFonts w:hint="eastAsia" w:ascii="仿宋_GB2312" w:hAnsi="仿宋_GB2312" w:eastAsia="仿宋_GB2312" w:cs="仿宋_GB2312"/>
          <w:b w:val="0"/>
          <w:i w:val="0"/>
          <w:iCs w:val="0"/>
          <w:sz w:val="30"/>
          <w:szCs w:val="30"/>
        </w:rPr>
        <w:fldChar w:fldCharType="separate"/>
      </w:r>
      <w:r>
        <w:rPr>
          <w:rFonts w:hint="eastAsia" w:ascii="仿宋_GB2312" w:hAnsi="仿宋_GB2312" w:eastAsia="仿宋_GB2312" w:cs="仿宋_GB2312"/>
          <w:b w:val="0"/>
          <w:i w:val="0"/>
          <w:iCs w:val="0"/>
          <w:sz w:val="30"/>
          <w:szCs w:val="30"/>
        </w:rPr>
        <w:t>10</w:t>
      </w:r>
      <w:r>
        <w:rPr>
          <w:rFonts w:hint="eastAsia" w:ascii="仿宋_GB2312" w:hAnsi="仿宋_GB2312" w:eastAsia="仿宋_GB2312" w:cs="仿宋_GB2312"/>
          <w:b w:val="0"/>
          <w:i w:val="0"/>
          <w:iCs w:val="0"/>
          <w:sz w:val="30"/>
          <w:szCs w:val="30"/>
        </w:rPr>
        <w:fldChar w:fldCharType="end"/>
      </w:r>
      <w:r>
        <w:rPr>
          <w:rFonts w:hint="eastAsia" w:ascii="仿宋_GB2312" w:hAnsi="仿宋_GB2312" w:eastAsia="仿宋_GB2312" w:cs="仿宋_GB2312"/>
          <w:b w:val="0"/>
          <w:bCs/>
          <w:i w:val="0"/>
          <w:iCs w:val="0"/>
          <w:color w:val="000000"/>
          <w:sz w:val="30"/>
          <w:szCs w:val="30"/>
        </w:rPr>
        <w:fldChar w:fldCharType="end"/>
      </w:r>
    </w:p>
    <w:p>
      <w:pPr>
        <w:pStyle w:val="19"/>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_Toc23623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三、夯实现代物流发展基础</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仿宋_GB2312" w:hAnsi="仿宋_GB2312" w:eastAsia="仿宋_GB2312" w:cs="仿宋_GB2312"/>
          <w:bCs w:val="0"/>
          <w:i w:val="0"/>
          <w:iCs w:val="0"/>
          <w:color w:val="000000"/>
          <w:sz w:val="30"/>
          <w:szCs w:val="30"/>
        </w:rPr>
        <w:fldChar w:fldCharType="end"/>
      </w:r>
      <w:r>
        <w:rPr>
          <w:rFonts w:hint="eastAsia" w:ascii="仿宋_GB2312" w:hAnsi="仿宋_GB2312" w:eastAsia="仿宋_GB2312" w:cs="仿宋_GB2312"/>
          <w:bCs w:val="0"/>
          <w:i w:val="0"/>
          <w:iCs w:val="0"/>
          <w:color w:val="000000"/>
          <w:sz w:val="30"/>
          <w:szCs w:val="30"/>
          <w:lang w:val="en-US" w:eastAsia="zh-CN"/>
        </w:rPr>
        <w:t>14</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_Toc17998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（一）强化物流通道建设</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14</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_Toc26344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（二）加快物流枢纽</w:t>
      </w:r>
      <w:r>
        <w:rPr>
          <w:rFonts w:hint="eastAsia" w:ascii="仿宋_GB2312" w:hAnsi="仿宋_GB2312" w:eastAsia="仿宋_GB2312" w:cs="仿宋_GB2312"/>
          <w:b w:val="0"/>
          <w:bCs/>
          <w:i w:val="0"/>
          <w:iCs w:val="0"/>
          <w:sz w:val="30"/>
          <w:szCs w:val="30"/>
          <w:lang w:val="en-US" w:eastAsia="zh-CN"/>
        </w:rPr>
        <w:t>和网络节点</w:t>
      </w:r>
      <w:r>
        <w:rPr>
          <w:rFonts w:hint="eastAsia" w:ascii="仿宋_GB2312" w:hAnsi="仿宋_GB2312" w:eastAsia="仿宋_GB2312" w:cs="仿宋_GB2312"/>
          <w:b w:val="0"/>
          <w:bCs/>
          <w:i w:val="0"/>
          <w:iCs w:val="0"/>
          <w:sz w:val="30"/>
          <w:szCs w:val="30"/>
        </w:rPr>
        <w:t>建设</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i w:val="0"/>
          <w:iCs w:val="0"/>
          <w:sz w:val="30"/>
          <w:szCs w:val="30"/>
        </w:rPr>
        <w:fldChar w:fldCharType="begin"/>
      </w:r>
      <w:r>
        <w:rPr>
          <w:rFonts w:hint="eastAsia" w:ascii="仿宋_GB2312" w:hAnsi="仿宋_GB2312" w:eastAsia="仿宋_GB2312" w:cs="仿宋_GB2312"/>
          <w:b w:val="0"/>
          <w:i w:val="0"/>
          <w:iCs w:val="0"/>
          <w:sz w:val="30"/>
          <w:szCs w:val="30"/>
        </w:rPr>
        <w:instrText xml:space="preserve"> PAGEREF _Toc26344 </w:instrText>
      </w:r>
      <w:r>
        <w:rPr>
          <w:rFonts w:hint="eastAsia" w:ascii="仿宋_GB2312" w:hAnsi="仿宋_GB2312" w:eastAsia="仿宋_GB2312" w:cs="仿宋_GB2312"/>
          <w:b w:val="0"/>
          <w:i w:val="0"/>
          <w:iCs w:val="0"/>
          <w:sz w:val="30"/>
          <w:szCs w:val="30"/>
        </w:rPr>
        <w:fldChar w:fldCharType="separate"/>
      </w:r>
      <w:r>
        <w:rPr>
          <w:rFonts w:hint="eastAsia" w:ascii="仿宋_GB2312" w:hAnsi="仿宋_GB2312" w:eastAsia="仿宋_GB2312" w:cs="仿宋_GB2312"/>
          <w:b w:val="0"/>
          <w:i w:val="0"/>
          <w:iCs w:val="0"/>
          <w:sz w:val="30"/>
          <w:szCs w:val="30"/>
        </w:rPr>
        <w:t>16</w:t>
      </w:r>
      <w:r>
        <w:rPr>
          <w:rFonts w:hint="eastAsia" w:ascii="仿宋_GB2312" w:hAnsi="仿宋_GB2312" w:eastAsia="仿宋_GB2312" w:cs="仿宋_GB2312"/>
          <w:b w:val="0"/>
          <w:i w:val="0"/>
          <w:iCs w:val="0"/>
          <w:sz w:val="30"/>
          <w:szCs w:val="30"/>
        </w:rPr>
        <w:fldChar w:fldCharType="end"/>
      </w:r>
      <w:r>
        <w:rPr>
          <w:rFonts w:hint="eastAsia" w:ascii="仿宋_GB2312" w:hAnsi="仿宋_GB2312" w:eastAsia="仿宋_GB2312" w:cs="仿宋_GB2312"/>
          <w:b w:val="0"/>
          <w:bCs/>
          <w:i w:val="0"/>
          <w:iCs w:val="0"/>
          <w:color w:val="000000"/>
          <w:sz w:val="30"/>
          <w:szCs w:val="30"/>
        </w:rPr>
        <w:fldChar w:fldCharType="end"/>
      </w:r>
    </w:p>
    <w:p>
      <w:pPr>
        <w:pStyle w:val="19"/>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eastAsia="仿宋_GB2312"/>
          <w:i w:val="0"/>
          <w:iCs w:val="0"/>
          <w:sz w:val="30"/>
          <w:szCs w:val="30"/>
          <w:lang w:eastAsia="zh-CN"/>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_Toc25212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四、推进物流服务集约高效发展</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仿宋_GB2312" w:hAnsi="仿宋_GB2312" w:eastAsia="仿宋_GB2312" w:cs="仿宋_GB2312"/>
          <w:bCs w:val="0"/>
          <w:i w:val="0"/>
          <w:iCs w:val="0"/>
          <w:color w:val="000000"/>
          <w:sz w:val="30"/>
          <w:szCs w:val="30"/>
        </w:rPr>
        <w:fldChar w:fldCharType="end"/>
      </w:r>
      <w:r>
        <w:rPr>
          <w:rFonts w:hint="eastAsia" w:ascii="黑体" w:hAnsi="黑体" w:eastAsia="黑体" w:cs="黑体"/>
          <w:i w:val="0"/>
          <w:iCs w:val="0"/>
          <w:sz w:val="30"/>
          <w:szCs w:val="30"/>
          <w:lang w:val="en-US" w:eastAsia="zh-CN"/>
        </w:rPr>
        <w:t>18</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bCs/>
          <w:i w:val="0"/>
          <w:iCs w:val="0"/>
          <w:sz w:val="30"/>
          <w:szCs w:val="30"/>
        </w:rPr>
      </w:pPr>
      <w:r>
        <w:rPr>
          <w:rFonts w:hint="eastAsia" w:ascii="仿宋_GB2312" w:hAnsi="仿宋_GB2312" w:eastAsia="仿宋_GB2312" w:cs="仿宋_GB2312"/>
          <w:b w:val="0"/>
          <w:bCs/>
          <w:i w:val="0"/>
          <w:iCs w:val="0"/>
          <w:sz w:val="30"/>
          <w:szCs w:val="30"/>
        </w:rPr>
        <w:fldChar w:fldCharType="begin"/>
      </w:r>
      <w:r>
        <w:rPr>
          <w:rFonts w:hint="eastAsia" w:ascii="仿宋_GB2312" w:hAnsi="仿宋_GB2312" w:eastAsia="仿宋_GB2312" w:cs="仿宋_GB2312"/>
          <w:b w:val="0"/>
          <w:bCs/>
          <w:i w:val="0"/>
          <w:iCs w:val="0"/>
          <w:sz w:val="30"/>
          <w:szCs w:val="30"/>
        </w:rPr>
        <w:instrText xml:space="preserve"> HYPERLINK \l _Toc11084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（一）推动物流业降本增效</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sz w:val="30"/>
          <w:szCs w:val="30"/>
        </w:rPr>
        <w:fldChar w:fldCharType="begin"/>
      </w:r>
      <w:r>
        <w:rPr>
          <w:rFonts w:hint="eastAsia" w:ascii="仿宋_GB2312" w:hAnsi="仿宋_GB2312" w:eastAsia="仿宋_GB2312" w:cs="仿宋_GB2312"/>
          <w:b w:val="0"/>
          <w:bCs/>
          <w:i w:val="0"/>
          <w:iCs w:val="0"/>
          <w:sz w:val="30"/>
          <w:szCs w:val="30"/>
        </w:rPr>
        <w:instrText xml:space="preserve"> PAGEREF _Toc11084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19</w:t>
      </w:r>
      <w:r>
        <w:rPr>
          <w:rFonts w:hint="eastAsia" w:ascii="仿宋_GB2312" w:hAnsi="仿宋_GB2312" w:eastAsia="仿宋_GB2312" w:cs="仿宋_GB2312"/>
          <w:b w:val="0"/>
          <w:bCs/>
          <w:i w:val="0"/>
          <w:iCs w:val="0"/>
          <w:sz w:val="30"/>
          <w:szCs w:val="30"/>
        </w:rPr>
        <w:fldChar w:fldCharType="end"/>
      </w:r>
      <w:r>
        <w:rPr>
          <w:rFonts w:hint="eastAsia" w:ascii="仿宋_GB2312" w:hAnsi="仿宋_GB2312" w:eastAsia="仿宋_GB2312" w:cs="仿宋_GB2312"/>
          <w:b w:val="0"/>
          <w:bCs/>
          <w:i w:val="0"/>
          <w:iCs w:val="0"/>
          <w:sz w:val="30"/>
          <w:szCs w:val="30"/>
        </w:rPr>
        <w:fldChar w:fldCharType="end"/>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bCs/>
          <w:i w:val="0"/>
          <w:iCs w:val="0"/>
          <w:sz w:val="30"/>
          <w:szCs w:val="30"/>
        </w:rPr>
      </w:pPr>
      <w:r>
        <w:rPr>
          <w:rFonts w:hint="eastAsia" w:ascii="仿宋_GB2312" w:hAnsi="仿宋_GB2312" w:eastAsia="仿宋_GB2312" w:cs="仿宋_GB2312"/>
          <w:b w:val="0"/>
          <w:bCs/>
          <w:i w:val="0"/>
          <w:iCs w:val="0"/>
          <w:sz w:val="30"/>
          <w:szCs w:val="30"/>
        </w:rPr>
        <w:fldChar w:fldCharType="begin"/>
      </w:r>
      <w:r>
        <w:rPr>
          <w:rFonts w:hint="eastAsia" w:ascii="仿宋_GB2312" w:hAnsi="仿宋_GB2312" w:eastAsia="仿宋_GB2312" w:cs="仿宋_GB2312"/>
          <w:b w:val="0"/>
          <w:bCs/>
          <w:i w:val="0"/>
          <w:iCs w:val="0"/>
          <w:sz w:val="30"/>
          <w:szCs w:val="30"/>
        </w:rPr>
        <w:instrText xml:space="preserve"> HYPERLINK \l _Toc25382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（二）提升物流服务专业化发展水平</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sz w:val="30"/>
          <w:szCs w:val="30"/>
        </w:rPr>
        <w:fldChar w:fldCharType="begin"/>
      </w:r>
      <w:r>
        <w:rPr>
          <w:rFonts w:hint="eastAsia" w:ascii="仿宋_GB2312" w:hAnsi="仿宋_GB2312" w:eastAsia="仿宋_GB2312" w:cs="仿宋_GB2312"/>
          <w:b w:val="0"/>
          <w:bCs/>
          <w:i w:val="0"/>
          <w:iCs w:val="0"/>
          <w:sz w:val="30"/>
          <w:szCs w:val="30"/>
        </w:rPr>
        <w:instrText xml:space="preserve"> PAGEREF _Toc25382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20</w:t>
      </w:r>
      <w:r>
        <w:rPr>
          <w:rFonts w:hint="eastAsia" w:ascii="仿宋_GB2312" w:hAnsi="仿宋_GB2312" w:eastAsia="仿宋_GB2312" w:cs="仿宋_GB2312"/>
          <w:b w:val="0"/>
          <w:bCs/>
          <w:i w:val="0"/>
          <w:iCs w:val="0"/>
          <w:sz w:val="30"/>
          <w:szCs w:val="30"/>
        </w:rPr>
        <w:fldChar w:fldCharType="end"/>
      </w:r>
      <w:r>
        <w:rPr>
          <w:rFonts w:hint="eastAsia" w:ascii="仿宋_GB2312" w:hAnsi="仿宋_GB2312" w:eastAsia="仿宋_GB2312" w:cs="仿宋_GB2312"/>
          <w:b w:val="0"/>
          <w:bCs/>
          <w:i w:val="0"/>
          <w:iCs w:val="0"/>
          <w:sz w:val="30"/>
          <w:szCs w:val="30"/>
        </w:rPr>
        <w:fldChar w:fldCharType="end"/>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bCs/>
          <w:i w:val="0"/>
          <w:iCs w:val="0"/>
          <w:sz w:val="30"/>
          <w:szCs w:val="30"/>
          <w:lang w:eastAsia="zh-CN"/>
        </w:rPr>
      </w:pPr>
      <w:r>
        <w:rPr>
          <w:rFonts w:hint="eastAsia" w:ascii="仿宋_GB2312" w:hAnsi="仿宋_GB2312" w:eastAsia="仿宋_GB2312" w:cs="仿宋_GB2312"/>
          <w:b w:val="0"/>
          <w:bCs/>
          <w:i w:val="0"/>
          <w:iCs w:val="0"/>
          <w:sz w:val="30"/>
          <w:szCs w:val="30"/>
        </w:rPr>
        <w:fldChar w:fldCharType="begin"/>
      </w:r>
      <w:r>
        <w:rPr>
          <w:rFonts w:hint="eastAsia" w:ascii="仿宋_GB2312" w:hAnsi="仿宋_GB2312" w:eastAsia="仿宋_GB2312" w:cs="仿宋_GB2312"/>
          <w:b w:val="0"/>
          <w:bCs/>
          <w:i w:val="0"/>
          <w:iCs w:val="0"/>
          <w:sz w:val="30"/>
          <w:szCs w:val="30"/>
        </w:rPr>
        <w:instrText xml:space="preserve"> HYPERLINK \l _Toc30184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（三）提高应急物流保障能力</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sz w:val="30"/>
          <w:szCs w:val="30"/>
        </w:rPr>
        <w:fldChar w:fldCharType="end"/>
      </w:r>
      <w:r>
        <w:rPr>
          <w:rFonts w:hint="eastAsia" w:ascii="仿宋_GB2312" w:hAnsi="仿宋_GB2312" w:eastAsia="仿宋_GB2312" w:cs="仿宋_GB2312"/>
          <w:b w:val="0"/>
          <w:bCs/>
          <w:i w:val="0"/>
          <w:iCs w:val="0"/>
          <w:sz w:val="30"/>
          <w:szCs w:val="30"/>
          <w:lang w:val="en-US" w:eastAsia="zh-CN"/>
        </w:rPr>
        <w:t>22</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leftChars="0" w:firstLine="0" w:firstLineChars="0"/>
        <w:textAlignment w:val="auto"/>
        <w:rPr>
          <w:i w:val="0"/>
          <w:iCs w:val="0"/>
          <w:sz w:val="30"/>
          <w:szCs w:val="30"/>
        </w:rPr>
      </w:pPr>
      <w:r>
        <w:rPr>
          <w:rFonts w:hint="eastAsia" w:ascii="仿宋_GB2312" w:hAnsi="仿宋_GB2312" w:eastAsia="仿宋_GB2312" w:cs="仿宋_GB2312"/>
          <w:b w:val="0"/>
          <w:bCs/>
          <w:i w:val="0"/>
          <w:iCs w:val="0"/>
          <w:sz w:val="30"/>
          <w:szCs w:val="30"/>
        </w:rPr>
        <w:fldChar w:fldCharType="begin"/>
      </w:r>
      <w:r>
        <w:rPr>
          <w:rFonts w:hint="eastAsia" w:ascii="仿宋_GB2312" w:hAnsi="仿宋_GB2312" w:eastAsia="仿宋_GB2312" w:cs="仿宋_GB2312"/>
          <w:b w:val="0"/>
          <w:bCs/>
          <w:i w:val="0"/>
          <w:iCs w:val="0"/>
          <w:sz w:val="30"/>
          <w:szCs w:val="30"/>
        </w:rPr>
        <w:instrText xml:space="preserve"> HYPERLINK \l _Toc31522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lang w:eastAsia="zh-CN"/>
        </w:rPr>
        <w:t>（</w:t>
      </w:r>
      <w:r>
        <w:rPr>
          <w:rFonts w:hint="eastAsia" w:ascii="仿宋_GB2312" w:hAnsi="仿宋_GB2312" w:eastAsia="仿宋_GB2312" w:cs="仿宋_GB2312"/>
          <w:b w:val="0"/>
          <w:bCs/>
          <w:i w:val="0"/>
          <w:iCs w:val="0"/>
          <w:sz w:val="30"/>
          <w:szCs w:val="30"/>
          <w:lang w:val="en-US" w:eastAsia="zh-CN"/>
        </w:rPr>
        <w:t>四</w:t>
      </w:r>
      <w:r>
        <w:rPr>
          <w:rFonts w:hint="eastAsia" w:ascii="仿宋_GB2312" w:hAnsi="仿宋_GB2312" w:eastAsia="仿宋_GB2312" w:cs="仿宋_GB2312"/>
          <w:b w:val="0"/>
          <w:bCs/>
          <w:i w:val="0"/>
          <w:iCs w:val="0"/>
          <w:sz w:val="30"/>
          <w:szCs w:val="30"/>
          <w:lang w:eastAsia="zh-CN"/>
        </w:rPr>
        <w:t>）</w:t>
      </w:r>
      <w:r>
        <w:rPr>
          <w:rFonts w:hint="eastAsia" w:ascii="仿宋_GB2312" w:hAnsi="仿宋_GB2312" w:eastAsia="仿宋_GB2312" w:cs="仿宋_GB2312"/>
          <w:b w:val="0"/>
          <w:bCs/>
          <w:i w:val="0"/>
          <w:iCs w:val="0"/>
          <w:sz w:val="30"/>
          <w:szCs w:val="30"/>
        </w:rPr>
        <w:t>推动智慧绿色物流创新发展</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sz w:val="30"/>
          <w:szCs w:val="30"/>
        </w:rPr>
        <w:fldChar w:fldCharType="end"/>
      </w:r>
      <w:r>
        <w:rPr>
          <w:rFonts w:hint="eastAsia" w:ascii="仿宋_GB2312" w:hAnsi="仿宋_GB2312" w:eastAsia="仿宋_GB2312" w:cs="仿宋_GB2312"/>
          <w:b w:val="0"/>
          <w:bCs/>
          <w:i w:val="0"/>
          <w:iCs w:val="0"/>
          <w:sz w:val="30"/>
          <w:szCs w:val="30"/>
          <w:lang w:val="en-US" w:eastAsia="zh-CN"/>
        </w:rPr>
        <w:t>23</w:t>
      </w:r>
    </w:p>
    <w:p>
      <w:pPr>
        <w:pStyle w:val="19"/>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eastAsia="仿宋_GB2312"/>
          <w:i w:val="0"/>
          <w:iCs w:val="0"/>
          <w:sz w:val="30"/>
          <w:szCs w:val="30"/>
          <w:lang w:eastAsia="zh-CN"/>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_Toc11687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五、健全冷链物流服务体系</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仿宋_GB2312" w:hAnsi="仿宋_GB2312" w:eastAsia="仿宋_GB2312" w:cs="仿宋_GB2312"/>
          <w:bCs w:val="0"/>
          <w:i w:val="0"/>
          <w:iCs w:val="0"/>
          <w:color w:val="000000"/>
          <w:sz w:val="30"/>
          <w:szCs w:val="30"/>
        </w:rPr>
        <w:fldChar w:fldCharType="end"/>
      </w:r>
      <w:r>
        <w:rPr>
          <w:rFonts w:hint="eastAsia" w:ascii="黑体" w:hAnsi="黑体" w:eastAsia="黑体" w:cs="黑体"/>
          <w:i w:val="0"/>
          <w:iCs w:val="0"/>
          <w:sz w:val="30"/>
          <w:szCs w:val="30"/>
          <w:lang w:val="en-US" w:eastAsia="zh-CN"/>
        </w:rPr>
        <w:t>25</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_Toc8046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（一）夯实产销地冷链物流基础</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25</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lang w:eastAsia="zh-CN"/>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_Toc32325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（二）提高冷链物流服务质量</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28</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_Toc5290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（三）强化冷链物流支撑</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29</w:t>
      </w:r>
    </w:p>
    <w:p>
      <w:pPr>
        <w:pStyle w:val="19"/>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_Toc2672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六、促进物流业与其他产业融合发展</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仿宋_GB2312" w:hAnsi="仿宋_GB2312" w:eastAsia="仿宋_GB2312" w:cs="仿宋_GB2312"/>
          <w:bCs w:val="0"/>
          <w:i w:val="0"/>
          <w:iCs w:val="0"/>
          <w:color w:val="000000"/>
          <w:sz w:val="30"/>
          <w:szCs w:val="30"/>
        </w:rPr>
        <w:fldChar w:fldCharType="end"/>
      </w:r>
      <w:r>
        <w:rPr>
          <w:rFonts w:hint="eastAsia" w:ascii="黑体" w:hAnsi="黑体" w:eastAsia="黑体" w:cs="黑体"/>
          <w:i w:val="0"/>
          <w:iCs w:val="0"/>
          <w:sz w:val="30"/>
          <w:szCs w:val="30"/>
          <w:lang w:val="en-US" w:eastAsia="zh-CN"/>
        </w:rPr>
        <w:t>30</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_Toc18733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（一）推进物流业制造业深度融合</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30</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_Toc3068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（二）加快物流业与商贸业融合</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32</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lang w:eastAsia="zh-CN"/>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_Toc26861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（三）推进物流业与农业融合</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34</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eastAsia="仿宋_GB2312"/>
          <w:i w:val="0"/>
          <w:iCs w:val="0"/>
          <w:sz w:val="30"/>
          <w:szCs w:val="30"/>
          <w:lang w:eastAsia="zh-CN"/>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_Toc15022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（四）提升供应链组织管理能力</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36</w:t>
      </w:r>
    </w:p>
    <w:p>
      <w:pPr>
        <w:pStyle w:val="19"/>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eastAsia="仿宋_GB2312"/>
          <w:i w:val="0"/>
          <w:iCs w:val="0"/>
          <w:sz w:val="30"/>
          <w:szCs w:val="30"/>
          <w:lang w:eastAsia="zh-CN"/>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_Toc16797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七、打造全方位开放合作新高地</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仿宋_GB2312" w:hAnsi="仿宋_GB2312" w:eastAsia="仿宋_GB2312" w:cs="仿宋_GB2312"/>
          <w:bCs w:val="0"/>
          <w:i w:val="0"/>
          <w:iCs w:val="0"/>
          <w:color w:val="000000"/>
          <w:sz w:val="30"/>
          <w:szCs w:val="30"/>
        </w:rPr>
        <w:fldChar w:fldCharType="end"/>
      </w:r>
      <w:r>
        <w:rPr>
          <w:rFonts w:hint="eastAsia" w:ascii="黑体" w:hAnsi="黑体" w:eastAsia="黑体" w:cs="黑体"/>
          <w:i w:val="0"/>
          <w:iCs w:val="0"/>
          <w:sz w:val="30"/>
          <w:szCs w:val="30"/>
          <w:lang w:val="en-US" w:eastAsia="zh-CN"/>
        </w:rPr>
        <w:t>37</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_Toc22123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（一）加快建设开放共享的现代物流平台</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37</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default" w:eastAsia="仿宋_GB2312"/>
          <w:i w:val="0"/>
          <w:iCs w:val="0"/>
          <w:sz w:val="30"/>
          <w:szCs w:val="30"/>
          <w:lang w:val="en-US" w:eastAsia="zh-CN"/>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_Toc162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i w:val="0"/>
          <w:iCs w:val="0"/>
          <w:sz w:val="30"/>
          <w:szCs w:val="30"/>
        </w:rPr>
        <w:t>（二）</w:t>
      </w:r>
      <w:r>
        <w:rPr>
          <w:rFonts w:hint="eastAsia" w:ascii="仿宋_GB2312" w:hAnsi="仿宋_GB2312" w:eastAsia="仿宋_GB2312" w:cs="仿宋_GB2312"/>
          <w:b w:val="0"/>
          <w:bCs/>
          <w:i w:val="0"/>
          <w:iCs w:val="0"/>
          <w:sz w:val="30"/>
          <w:szCs w:val="30"/>
        </w:rPr>
        <w:t>推动跨区域物流联动发展</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39</w:t>
      </w:r>
    </w:p>
    <w:p>
      <w:pPr>
        <w:pStyle w:val="19"/>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_Toc22474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八、提升现代物流治理能力</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仿宋_GB2312" w:hAnsi="仿宋_GB2312" w:eastAsia="仿宋_GB2312" w:cs="仿宋_GB2312"/>
          <w:bCs w:val="0"/>
          <w:i w:val="0"/>
          <w:iCs w:val="0"/>
          <w:color w:val="000000"/>
          <w:sz w:val="30"/>
          <w:szCs w:val="30"/>
        </w:rPr>
        <w:fldChar w:fldCharType="end"/>
      </w:r>
      <w:r>
        <w:rPr>
          <w:rFonts w:hint="eastAsia" w:ascii="黑体" w:hAnsi="黑体" w:eastAsia="黑体" w:cs="黑体"/>
          <w:i w:val="0"/>
          <w:iCs w:val="0"/>
          <w:sz w:val="30"/>
          <w:szCs w:val="30"/>
          <w:lang w:val="en-US" w:eastAsia="zh-CN"/>
        </w:rPr>
        <w:t>39</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_Toc25044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（一）大力培育市场主体</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39</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_Toc8802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（二）推动物流数字化转型</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40</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_Toc23845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（三）打造一流营商环境</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41</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_Toc11844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kern w:val="0"/>
          <w:sz w:val="30"/>
          <w:szCs w:val="30"/>
          <w:lang w:val="en-US" w:eastAsia="zh-CN" w:bidi="ar-SA"/>
        </w:rPr>
        <w:t>（四）推进物流标准化建设</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i w:val="0"/>
          <w:iCs w:val="0"/>
          <w:sz w:val="30"/>
          <w:szCs w:val="30"/>
        </w:rPr>
        <w:fldChar w:fldCharType="begin"/>
      </w:r>
      <w:r>
        <w:rPr>
          <w:rFonts w:hint="eastAsia" w:ascii="仿宋_GB2312" w:hAnsi="仿宋_GB2312" w:eastAsia="仿宋_GB2312" w:cs="仿宋_GB2312"/>
          <w:b w:val="0"/>
          <w:i w:val="0"/>
          <w:iCs w:val="0"/>
          <w:sz w:val="30"/>
          <w:szCs w:val="30"/>
        </w:rPr>
        <w:instrText xml:space="preserve"> PAGEREF _Toc11844 </w:instrText>
      </w:r>
      <w:r>
        <w:rPr>
          <w:rFonts w:hint="eastAsia" w:ascii="仿宋_GB2312" w:hAnsi="仿宋_GB2312" w:eastAsia="仿宋_GB2312" w:cs="仿宋_GB2312"/>
          <w:b w:val="0"/>
          <w:i w:val="0"/>
          <w:iCs w:val="0"/>
          <w:sz w:val="30"/>
          <w:szCs w:val="30"/>
        </w:rPr>
        <w:fldChar w:fldCharType="separate"/>
      </w:r>
      <w:r>
        <w:rPr>
          <w:rFonts w:hint="eastAsia" w:ascii="仿宋_GB2312" w:hAnsi="仿宋_GB2312" w:eastAsia="仿宋_GB2312" w:cs="仿宋_GB2312"/>
          <w:b w:val="0"/>
          <w:i w:val="0"/>
          <w:iCs w:val="0"/>
          <w:sz w:val="30"/>
          <w:szCs w:val="30"/>
        </w:rPr>
        <w:t>43</w:t>
      </w:r>
      <w:r>
        <w:rPr>
          <w:rFonts w:hint="eastAsia" w:ascii="仿宋_GB2312" w:hAnsi="仿宋_GB2312" w:eastAsia="仿宋_GB2312" w:cs="仿宋_GB2312"/>
          <w:b w:val="0"/>
          <w:i w:val="0"/>
          <w:iCs w:val="0"/>
          <w:sz w:val="30"/>
          <w:szCs w:val="30"/>
        </w:rPr>
        <w:fldChar w:fldCharType="end"/>
      </w:r>
      <w:r>
        <w:rPr>
          <w:rFonts w:hint="eastAsia" w:ascii="仿宋_GB2312" w:hAnsi="仿宋_GB2312" w:eastAsia="仿宋_GB2312" w:cs="仿宋_GB2312"/>
          <w:b w:val="0"/>
          <w:bCs/>
          <w:i w:val="0"/>
          <w:iCs w:val="0"/>
          <w:color w:val="000000"/>
          <w:sz w:val="30"/>
          <w:szCs w:val="30"/>
        </w:rPr>
        <w:fldChar w:fldCharType="end"/>
      </w:r>
    </w:p>
    <w:p>
      <w:pPr>
        <w:pStyle w:val="19"/>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_Toc4771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九、保障措施</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黑体" w:hAnsi="黑体" w:eastAsia="黑体" w:cs="黑体"/>
          <w:i w:val="0"/>
          <w:iCs w:val="0"/>
          <w:sz w:val="30"/>
          <w:szCs w:val="30"/>
        </w:rPr>
        <w:fldChar w:fldCharType="begin"/>
      </w:r>
      <w:r>
        <w:rPr>
          <w:rFonts w:hint="eastAsia" w:ascii="黑体" w:hAnsi="黑体" w:eastAsia="黑体" w:cs="黑体"/>
          <w:i w:val="0"/>
          <w:iCs w:val="0"/>
          <w:sz w:val="30"/>
          <w:szCs w:val="30"/>
        </w:rPr>
        <w:instrText xml:space="preserve"> PAGEREF _Toc4771 </w:instrText>
      </w:r>
      <w:r>
        <w:rPr>
          <w:rFonts w:hint="eastAsia" w:ascii="黑体" w:hAnsi="黑体" w:eastAsia="黑体" w:cs="黑体"/>
          <w:i w:val="0"/>
          <w:iCs w:val="0"/>
          <w:sz w:val="30"/>
          <w:szCs w:val="30"/>
        </w:rPr>
        <w:fldChar w:fldCharType="separate"/>
      </w:r>
      <w:r>
        <w:rPr>
          <w:rFonts w:hint="eastAsia" w:ascii="黑体" w:hAnsi="黑体" w:eastAsia="黑体" w:cs="黑体"/>
          <w:i w:val="0"/>
          <w:iCs w:val="0"/>
          <w:sz w:val="30"/>
          <w:szCs w:val="30"/>
        </w:rPr>
        <w:t>43</w:t>
      </w:r>
      <w:r>
        <w:rPr>
          <w:rFonts w:hint="eastAsia" w:ascii="黑体" w:hAnsi="黑体" w:eastAsia="黑体" w:cs="黑体"/>
          <w:i w:val="0"/>
          <w:iCs w:val="0"/>
          <w:sz w:val="30"/>
          <w:szCs w:val="30"/>
        </w:rPr>
        <w:fldChar w:fldCharType="end"/>
      </w:r>
      <w:r>
        <w:rPr>
          <w:rFonts w:hint="eastAsia" w:ascii="仿宋_GB2312" w:hAnsi="仿宋_GB2312" w:eastAsia="仿宋_GB2312" w:cs="仿宋_GB2312"/>
          <w:bCs w:val="0"/>
          <w:i w:val="0"/>
          <w:iCs w:val="0"/>
          <w:color w:val="000000"/>
          <w:sz w:val="30"/>
          <w:szCs w:val="30"/>
        </w:rPr>
        <w:fldChar w:fldCharType="end"/>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_Toc2686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（一）加强领导和组织实施</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43</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lang w:eastAsia="zh-CN"/>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_Toc28535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（二）加大政策支持</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44</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_Toc26789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（三）拓宽融资渠道</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44</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lang w:eastAsia="zh-CN"/>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_Toc7103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（四）夯实人才保障</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45</w:t>
      </w:r>
    </w:p>
    <w:p>
      <w:pPr>
        <w:pStyle w:val="23"/>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_Toc8626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（五）强化评估督导</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45</w:t>
      </w:r>
    </w:p>
    <w:p>
      <w:pPr>
        <w:pStyle w:val="23"/>
        <w:keepNext w:val="0"/>
        <w:keepLines w:val="0"/>
        <w:pageBreakBefore w:val="0"/>
        <w:tabs>
          <w:tab w:val="right" w:leader="dot" w:pos="8306"/>
        </w:tabs>
        <w:kinsoku/>
        <w:wordWrap/>
        <w:overflowPunct/>
        <w:topLinePunct w:val="0"/>
        <w:bidi w:val="0"/>
        <w:adjustRightInd w:val="0"/>
        <w:snapToGrid w:val="0"/>
        <w:spacing w:before="0" w:line="600" w:lineRule="exact"/>
        <w:ind w:left="0"/>
        <w:jc w:val="center"/>
        <w:textAlignment w:val="auto"/>
        <w:outlineLvl w:val="1"/>
        <w:rPr>
          <w:rFonts w:ascii="方正仿宋_GB2312" w:hAnsi="方正仿宋_GB2312" w:eastAsia="方正仿宋_GB2312" w:cs="方正仿宋_GB2312"/>
        </w:rPr>
      </w:pPr>
      <w:r>
        <w:rPr>
          <w:rFonts w:hint="eastAsia" w:ascii="仿宋_GB2312" w:hAnsi="仿宋_GB2312" w:eastAsia="仿宋_GB2312" w:cs="仿宋_GB2312"/>
          <w:bCs w:val="0"/>
          <w:i w:val="0"/>
          <w:iCs w:val="0"/>
          <w:color w:val="000000"/>
          <w:szCs w:val="28"/>
        </w:rPr>
        <w:fldChar w:fldCharType="end"/>
      </w:r>
    </w:p>
    <w:p>
      <w:pPr>
        <w:adjustRightInd w:val="0"/>
        <w:snapToGrid w:val="0"/>
        <w:spacing w:line="600" w:lineRule="exact"/>
        <w:ind w:firstLine="640" w:firstLineChars="200"/>
        <w:jc w:val="both"/>
        <w:rPr>
          <w:rFonts w:hint="eastAsia" w:ascii="方正仿宋_GB2312" w:hAnsi="方正仿宋_GB2312" w:eastAsia="方正仿宋_GB2312" w:cs="方正仿宋_GB2312"/>
          <w:color w:val="000000"/>
          <w:sz w:val="32"/>
          <w:szCs w:val="32"/>
        </w:rPr>
        <w:sectPr>
          <w:footerReference r:id="rId7" w:type="default"/>
          <w:pgSz w:w="11906" w:h="16838"/>
          <w:pgMar w:top="1440" w:right="1800" w:bottom="1440" w:left="1800" w:header="851" w:footer="992" w:gutter="0"/>
          <w:pgNumType w:start="1"/>
          <w:cols w:space="425" w:num="1"/>
          <w:docGrid w:type="lines" w:linePitch="312" w:charSpace="0"/>
        </w:sectPr>
      </w:pPr>
    </w:p>
    <w:p>
      <w:pPr>
        <w:adjustRightInd w:val="0"/>
        <w:snapToGrid w:val="0"/>
        <w:spacing w:line="600" w:lineRule="exact"/>
        <w:ind w:firstLine="632" w:firstLineChars="200"/>
        <w:jc w:val="both"/>
        <w:rPr>
          <w:rFonts w:ascii="方正仿宋_GB2312" w:hAnsi="方正仿宋_GB2312" w:eastAsia="方正仿宋_GB2312" w:cs="方正仿宋_GB2312"/>
          <w:color w:val="FF0000"/>
          <w:sz w:val="30"/>
          <w:szCs w:val="30"/>
        </w:rPr>
      </w:pPr>
      <w:r>
        <w:rPr>
          <w:rFonts w:hint="eastAsia" w:ascii="Times New Roman" w:hAnsi="Times New Roman" w:eastAsia="仿宋_GB2312" w:cs="Times New Roman"/>
          <w:color w:val="000000"/>
          <w:spacing w:val="-2"/>
          <w:kern w:val="0"/>
          <w:sz w:val="32"/>
          <w:szCs w:val="32"/>
        </w:rPr>
        <w:t>物流业是融合运输、仓储、货代、流通加工、信息、金融等产业的复合型服务业，是支撑国民经济发展的基础性、战略性和先导性产业，是打通供应链、协调产业链、创造价值链，服务和融入新发展格局的重要支撑。加快发展现代物流业，对引领结构调整、推进转型升级、规范市场秩序和建设现代化经济体系等方面具有重要意义。“十四五”是桂林市打造世界级旅游城市、奋力谱写新时代中国特色社会主义壮美广西桂林新篇章的重要时期，为促进桂林现代物流业加快发展，将习近平总书记对广西对桂林工作系列重要指示精神不折不扣落实到桂林物流业发展中，根据《国家物流枢纽布局和建设规划》《“十四五”推进西部陆海新通道高质量建设实施方案》</w:t>
      </w:r>
      <w:r>
        <w:rPr>
          <w:rFonts w:hint="eastAsia" w:ascii="Times New Roman" w:hAnsi="Times New Roman" w:eastAsia="仿宋_GB2312" w:cs="Times New Roman"/>
          <w:color w:val="000000"/>
          <w:spacing w:val="-2"/>
          <w:kern w:val="0"/>
          <w:sz w:val="32"/>
          <w:szCs w:val="32"/>
          <w:lang w:eastAsia="zh-CN"/>
        </w:rPr>
        <w:t>《广西物流业发展“十四五”规划》《</w:t>
      </w:r>
      <w:r>
        <w:rPr>
          <w:rFonts w:hint="eastAsia" w:ascii="Times New Roman" w:hAnsi="Times New Roman" w:eastAsia="仿宋_GB2312" w:cs="Times New Roman"/>
          <w:color w:val="000000"/>
          <w:spacing w:val="-2"/>
          <w:sz w:val="32"/>
          <w:szCs w:val="32"/>
        </w:rPr>
        <w:t>广西统筹推进农村物流高质量发展行动方案（2022—2025年）</w:t>
      </w:r>
      <w:r>
        <w:rPr>
          <w:rFonts w:hint="eastAsia" w:ascii="Times New Roman" w:hAnsi="Times New Roman" w:eastAsia="仿宋_GB2312" w:cs="Times New Roman"/>
          <w:color w:val="000000"/>
          <w:spacing w:val="-2"/>
          <w:kern w:val="0"/>
          <w:sz w:val="32"/>
          <w:szCs w:val="32"/>
          <w:lang w:eastAsia="zh-CN"/>
        </w:rPr>
        <w:t>》</w:t>
      </w:r>
      <w:r>
        <w:rPr>
          <w:rFonts w:hint="eastAsia" w:ascii="Times New Roman" w:hAnsi="Times New Roman" w:eastAsia="仿宋_GB2312" w:cs="Times New Roman"/>
          <w:color w:val="000000"/>
          <w:spacing w:val="-2"/>
          <w:kern w:val="0"/>
          <w:sz w:val="32"/>
          <w:szCs w:val="32"/>
        </w:rPr>
        <w:t>《桂林市国民经济和社会发展第十四个五年规划和2035年远景目标纲要》等文件，制定本规划，规划期为2021—2025年。</w:t>
      </w:r>
    </w:p>
    <w:p>
      <w:pPr>
        <w:pStyle w:val="4"/>
        <w:adjustRightInd w:val="0"/>
        <w:snapToGrid w:val="0"/>
        <w:spacing w:before="0" w:after="0" w:line="600" w:lineRule="exact"/>
        <w:ind w:firstLine="640" w:firstLineChars="200"/>
        <w:rPr>
          <w:rFonts w:ascii="黑体" w:hAnsi="黑体" w:eastAsia="黑体" w:cs="黑体"/>
          <w:b w:val="0"/>
          <w:bCs w:val="0"/>
          <w:sz w:val="32"/>
          <w:szCs w:val="32"/>
        </w:rPr>
      </w:pPr>
      <w:bookmarkStart w:id="0" w:name="_Toc12388"/>
      <w:bookmarkStart w:id="1" w:name="_Toc21093"/>
      <w:r>
        <w:rPr>
          <w:rFonts w:hint="eastAsia" w:ascii="黑体" w:hAnsi="黑体" w:eastAsia="黑体" w:cs="黑体"/>
          <w:b w:val="0"/>
          <w:bCs w:val="0"/>
          <w:sz w:val="32"/>
          <w:szCs w:val="32"/>
        </w:rPr>
        <w:t>一、发展基础与环境</w:t>
      </w:r>
      <w:bookmarkEnd w:id="0"/>
      <w:bookmarkEnd w:id="1"/>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2" w:name="_Toc24513"/>
      <w:bookmarkStart w:id="3" w:name="_Toc31882"/>
      <w:r>
        <w:rPr>
          <w:rFonts w:hint="eastAsia" w:ascii="黑体" w:hAnsi="黑体" w:eastAsia="黑体" w:cs="黑体"/>
          <w:b w:val="0"/>
          <w:bCs w:val="0"/>
        </w:rPr>
        <w:t>（一）发展基础</w:t>
      </w:r>
      <w:bookmarkEnd w:id="2"/>
      <w:bookmarkEnd w:id="3"/>
    </w:p>
    <w:p>
      <w:pPr>
        <w:adjustRightInd w:val="0"/>
        <w:snapToGrid w:val="0"/>
        <w:spacing w:line="600" w:lineRule="exact"/>
        <w:ind w:firstLine="632" w:firstLineChars="200"/>
        <w:jc w:val="left"/>
        <w:rPr>
          <w:rFonts w:hint="eastAsia" w:ascii="Times New Roman" w:hAnsi="Times New Roman" w:eastAsia="仿宋_GB2312" w:cs="Times New Roman"/>
          <w:color w:val="000000"/>
          <w:spacing w:val="-2"/>
          <w:kern w:val="0"/>
          <w:sz w:val="32"/>
          <w:szCs w:val="32"/>
        </w:rPr>
      </w:pPr>
      <w:r>
        <w:rPr>
          <w:rFonts w:hint="eastAsia" w:ascii="Times New Roman" w:hAnsi="Times New Roman" w:eastAsia="仿宋_GB2312" w:cs="Times New Roman"/>
          <w:color w:val="000000"/>
          <w:spacing w:val="-2"/>
          <w:kern w:val="0"/>
          <w:sz w:val="32"/>
          <w:szCs w:val="32"/>
        </w:rPr>
        <w:t>“十三五”时期，桂林大力推进现代物流体系建设，物流业发展进入快车道，发展动能不断增强，发展环境持续向好，物流资源集聚能力和物流运行效率不断提升，为全市打赢脱贫攻坚战、与全国同步全面建成小康社会、</w:t>
      </w:r>
      <w:bookmarkStart w:id="4" w:name="_Toc66111220"/>
      <w:r>
        <w:rPr>
          <w:rFonts w:hint="eastAsia" w:ascii="Times New Roman" w:hAnsi="Times New Roman" w:eastAsia="仿宋_GB2312" w:cs="Times New Roman"/>
          <w:color w:val="000000"/>
          <w:spacing w:val="-2"/>
          <w:kern w:val="0"/>
          <w:sz w:val="32"/>
          <w:szCs w:val="32"/>
        </w:rPr>
        <w:t>基本建成国际旅游胜地</w:t>
      </w:r>
      <w:bookmarkEnd w:id="4"/>
      <w:r>
        <w:rPr>
          <w:rFonts w:hint="eastAsia" w:ascii="Times New Roman" w:hAnsi="Times New Roman" w:eastAsia="仿宋_GB2312" w:cs="Times New Roman"/>
          <w:color w:val="000000"/>
          <w:spacing w:val="-2"/>
          <w:kern w:val="0"/>
          <w:sz w:val="32"/>
          <w:szCs w:val="32"/>
        </w:rPr>
        <w:t xml:space="preserve">提供了重要支撑。 </w:t>
      </w:r>
    </w:p>
    <w:p>
      <w:pPr>
        <w:adjustRightInd w:val="0"/>
        <w:snapToGrid w:val="0"/>
        <w:spacing w:line="600" w:lineRule="exact"/>
        <w:ind w:firstLine="643" w:firstLineChars="200"/>
        <w:jc w:val="both"/>
        <w:rPr>
          <w:rFonts w:ascii="方正仿宋_GB2312" w:hAnsi="方正仿宋_GB2312" w:eastAsia="仿宋" w:cs="方正仿宋_GB2312"/>
          <w:color w:val="FF0000"/>
          <w:sz w:val="32"/>
          <w:szCs w:val="32"/>
        </w:rPr>
      </w:pPr>
      <w:r>
        <w:rPr>
          <w:rFonts w:hint="eastAsia" w:ascii="Times New Roman" w:hAnsi="Times New Roman" w:eastAsia="楷体_GB2312" w:cs="Times New Roman"/>
          <w:b/>
          <w:color w:val="000000"/>
          <w:kern w:val="2"/>
          <w:sz w:val="32"/>
          <w:szCs w:val="32"/>
        </w:rPr>
        <w:t>物流业规模稳步扩大。</w:t>
      </w:r>
      <w:r>
        <w:rPr>
          <w:rFonts w:hint="eastAsia" w:ascii="Times New Roman" w:hAnsi="Times New Roman" w:eastAsia="仿宋_GB2312" w:cs="Times New Roman"/>
          <w:color w:val="000000"/>
          <w:spacing w:val="-2"/>
          <w:kern w:val="0"/>
          <w:sz w:val="32"/>
          <w:szCs w:val="32"/>
        </w:rPr>
        <w:t>“十三五”时期，全市社会物流总量稳步增长，货物运输总量由2015年的</w:t>
      </w:r>
      <w:r>
        <w:rPr>
          <w:rFonts w:hint="eastAsia" w:ascii="Times New Roman" w:hAnsi="Times New Roman" w:eastAsia="仿宋_GB2312" w:cs="Times New Roman"/>
          <w:color w:val="000000"/>
          <w:spacing w:val="-2"/>
          <w:kern w:val="0"/>
          <w:sz w:val="32"/>
          <w:szCs w:val="32"/>
          <w:lang w:val="en-US" w:eastAsia="zh-CN"/>
        </w:rPr>
        <w:t>10165.32</w:t>
      </w:r>
      <w:r>
        <w:rPr>
          <w:rFonts w:hint="eastAsia" w:ascii="Times New Roman" w:hAnsi="Times New Roman" w:eastAsia="仿宋_GB2312" w:cs="Times New Roman"/>
          <w:color w:val="000000"/>
          <w:spacing w:val="-2"/>
          <w:kern w:val="0"/>
          <w:sz w:val="32"/>
          <w:szCs w:val="32"/>
        </w:rPr>
        <w:t>万吨增长到20</w:t>
      </w:r>
      <w:r>
        <w:rPr>
          <w:rFonts w:hint="eastAsia" w:ascii="Times New Roman" w:hAnsi="Times New Roman" w:eastAsia="仿宋_GB2312" w:cs="Times New Roman"/>
          <w:color w:val="000000"/>
          <w:spacing w:val="-2"/>
          <w:kern w:val="0"/>
          <w:sz w:val="32"/>
          <w:szCs w:val="32"/>
          <w:lang w:val="en-US" w:eastAsia="zh-CN"/>
        </w:rPr>
        <w:t>19</w:t>
      </w:r>
      <w:r>
        <w:rPr>
          <w:rFonts w:hint="eastAsia" w:ascii="Times New Roman" w:hAnsi="Times New Roman" w:eastAsia="仿宋_GB2312" w:cs="Times New Roman"/>
          <w:color w:val="000000"/>
          <w:spacing w:val="-2"/>
          <w:kern w:val="0"/>
          <w:sz w:val="32"/>
          <w:szCs w:val="32"/>
        </w:rPr>
        <w:t>年11357.03万吨，</w:t>
      </w:r>
      <w:r>
        <w:rPr>
          <w:rFonts w:hint="eastAsia" w:ascii="Times New Roman" w:hAnsi="Times New Roman" w:eastAsia="仿宋_GB2312" w:cs="Times New Roman"/>
          <w:color w:val="000000"/>
          <w:spacing w:val="-2"/>
          <w:kern w:val="0"/>
          <w:sz w:val="32"/>
          <w:szCs w:val="32"/>
          <w:lang w:val="en-US" w:eastAsia="zh-CN"/>
        </w:rPr>
        <w:t>2020年受疫情影响略有下降。</w:t>
      </w:r>
      <w:r>
        <w:rPr>
          <w:rFonts w:hint="eastAsia" w:ascii="Times New Roman" w:hAnsi="Times New Roman" w:eastAsia="仿宋_GB2312" w:cs="Times New Roman"/>
          <w:color w:val="000000"/>
          <w:spacing w:val="-2"/>
          <w:kern w:val="0"/>
          <w:sz w:val="32"/>
          <w:szCs w:val="32"/>
        </w:rPr>
        <w:t>交通运输、仓储和邮政业增加值由</w:t>
      </w:r>
      <w:r>
        <w:rPr>
          <w:rFonts w:hint="eastAsia" w:ascii="Times New Roman" w:hAnsi="Times New Roman" w:eastAsia="仿宋_GB2312" w:cs="Times New Roman"/>
          <w:color w:val="000000"/>
          <w:spacing w:val="-2"/>
          <w:kern w:val="0"/>
          <w:sz w:val="32"/>
          <w:szCs w:val="32"/>
          <w:lang w:val="en-US"/>
        </w:rPr>
        <w:t>64.92</w:t>
      </w:r>
      <w:r>
        <w:rPr>
          <w:rFonts w:hint="eastAsia" w:ascii="Times New Roman" w:hAnsi="Times New Roman" w:eastAsia="仿宋_GB2312" w:cs="Times New Roman"/>
          <w:color w:val="000000"/>
          <w:spacing w:val="-2"/>
          <w:kern w:val="0"/>
          <w:sz w:val="32"/>
          <w:szCs w:val="32"/>
        </w:rPr>
        <w:t>亿元增长到</w:t>
      </w:r>
      <w:r>
        <w:rPr>
          <w:rFonts w:hint="eastAsia" w:ascii="Times New Roman" w:hAnsi="Times New Roman" w:eastAsia="仿宋_GB2312" w:cs="Times New Roman"/>
          <w:color w:val="000000"/>
          <w:spacing w:val="-2"/>
          <w:kern w:val="0"/>
          <w:sz w:val="32"/>
          <w:szCs w:val="32"/>
          <w:lang w:val="en-US" w:eastAsia="zh-CN"/>
        </w:rPr>
        <w:t>77.89</w:t>
      </w:r>
      <w:r>
        <w:rPr>
          <w:rFonts w:hint="eastAsia" w:ascii="Times New Roman" w:hAnsi="Times New Roman" w:eastAsia="仿宋_GB2312" w:cs="Times New Roman"/>
          <w:color w:val="000000"/>
          <w:spacing w:val="-2"/>
          <w:kern w:val="0"/>
          <w:sz w:val="32"/>
          <w:szCs w:val="32"/>
        </w:rPr>
        <w:t>亿元。2020年全市社会物流总额3882.16亿元，社会物流总费用295.27亿元，</w:t>
      </w:r>
      <w:r>
        <w:rPr>
          <w:rFonts w:hint="eastAsia" w:ascii="Times New Roman" w:hAnsi="Times New Roman" w:eastAsia="仿宋_GB2312" w:cs="Times New Roman"/>
          <w:color w:val="000000"/>
          <w:spacing w:val="-2"/>
          <w:kern w:val="0"/>
          <w:sz w:val="32"/>
          <w:szCs w:val="32"/>
          <w:u w:val="none"/>
        </w:rPr>
        <w:t>社会物流总费用与GDP的比率13.8%，分别低于广西和全国平均水平0.9、0.8个百分点</w:t>
      </w:r>
      <w:r>
        <w:rPr>
          <w:rFonts w:hint="eastAsia" w:ascii="Times New Roman" w:hAnsi="Times New Roman" w:eastAsia="仿宋_GB2312" w:cs="Times New Roman"/>
          <w:color w:val="000000"/>
          <w:spacing w:val="-2"/>
          <w:kern w:val="0"/>
          <w:sz w:val="32"/>
          <w:szCs w:val="32"/>
        </w:rPr>
        <w:t>。2020年全市交通运输、仓储和邮政业市场主体1530家，拥有临桂通达运输公司、广西物资集团桂林储运总公司、桂林骏达运输股份有限公司等3家3A级及以上物流企业。</w:t>
      </w:r>
    </w:p>
    <w:p>
      <w:pPr>
        <w:pStyle w:val="57"/>
        <w:widowControl w:val="0"/>
        <w:adjustRightInd w:val="0"/>
        <w:snapToGrid w:val="0"/>
        <w:spacing w:beforeLines="50"/>
        <w:ind w:left="420" w:firstLine="0" w:firstLineChars="0"/>
        <w:jc w:val="center"/>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表1   201</w:t>
      </w:r>
      <w:r>
        <w:rPr>
          <w:rFonts w:hint="eastAsia" w:ascii="方正仿宋_GB2312" w:hAnsi="方正仿宋_GB2312" w:eastAsia="方正仿宋_GB2312" w:cs="方正仿宋_GB2312"/>
          <w:b/>
          <w:bCs/>
          <w:sz w:val="28"/>
          <w:szCs w:val="28"/>
          <w:lang w:val="en-US" w:eastAsia="zh-CN"/>
        </w:rPr>
        <w:t>5</w:t>
      </w:r>
      <w:r>
        <w:rPr>
          <w:rFonts w:hint="eastAsia" w:ascii="方正仿宋_GB2312" w:hAnsi="方正仿宋_GB2312" w:eastAsia="方正仿宋_GB2312" w:cs="方正仿宋_GB2312"/>
          <w:b/>
          <w:bCs/>
          <w:sz w:val="28"/>
          <w:szCs w:val="28"/>
        </w:rPr>
        <w:t>-2020年桂林市货物运输总量及构成</w:t>
      </w:r>
    </w:p>
    <w:p>
      <w:pPr>
        <w:pStyle w:val="57"/>
        <w:widowControl w:val="0"/>
        <w:adjustRightInd w:val="0"/>
        <w:snapToGrid w:val="0"/>
        <w:ind w:left="420" w:right="140" w:firstLine="0" w:firstLineChars="0"/>
        <w:jc w:val="right"/>
        <w:rPr>
          <w:rFonts w:ascii="方正仿宋_GB2312" w:hAnsi="方正仿宋_GB2312" w:eastAsia="方正仿宋_GB2312" w:cs="方正仿宋_GB2312"/>
          <w:b/>
          <w:bCs/>
        </w:rPr>
      </w:pPr>
      <w:r>
        <w:rPr>
          <w:rFonts w:hint="eastAsia" w:ascii="方正仿宋_GB2312" w:hAnsi="方正仿宋_GB2312" w:eastAsia="方正仿宋_GB2312" w:cs="方正仿宋_GB2312"/>
          <w:sz w:val="28"/>
          <w:szCs w:val="28"/>
        </w:rPr>
        <w:t>单位:万吨</w:t>
      </w:r>
    </w:p>
    <w:tbl>
      <w:tblPr>
        <w:tblStyle w:val="29"/>
        <w:tblW w:w="8559"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1159"/>
        <w:gridCol w:w="1050"/>
        <w:gridCol w:w="1057"/>
        <w:gridCol w:w="1145"/>
        <w:gridCol w:w="1173"/>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项目</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2015年</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2016年</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2017年</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2018年</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2019年</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货物运输总量</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10165.32</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8</w:t>
            </w:r>
            <w:r>
              <w:rPr>
                <w:rFonts w:ascii="Times New Roman" w:hAnsi="Times New Roman" w:eastAsia="仿宋_GB2312" w:cs="Times New Roman"/>
                <w:color w:val="000000"/>
                <w:kern w:val="0"/>
                <w:sz w:val="24"/>
                <w:szCs w:val="24"/>
              </w:rPr>
              <w:t>828.26</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w:t>
            </w:r>
            <w:r>
              <w:rPr>
                <w:rFonts w:ascii="Times New Roman" w:hAnsi="Times New Roman" w:eastAsia="仿宋_GB2312" w:cs="Times New Roman"/>
                <w:color w:val="000000"/>
                <w:kern w:val="0"/>
                <w:sz w:val="24"/>
                <w:szCs w:val="24"/>
              </w:rPr>
              <w:t>536.21</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0531.11</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1357.03</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9970.64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其中：</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公路货物运输量</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9905</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8</w:t>
            </w:r>
            <w:r>
              <w:rPr>
                <w:rFonts w:ascii="Times New Roman" w:hAnsi="Times New Roman" w:eastAsia="仿宋_GB2312" w:cs="Times New Roman"/>
                <w:color w:val="000000"/>
                <w:kern w:val="0"/>
                <w:sz w:val="24"/>
                <w:szCs w:val="24"/>
              </w:rPr>
              <w:t>591</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w:t>
            </w:r>
            <w:r>
              <w:rPr>
                <w:rFonts w:ascii="Times New Roman" w:hAnsi="Times New Roman" w:eastAsia="仿宋_GB2312" w:cs="Times New Roman"/>
                <w:color w:val="000000"/>
                <w:kern w:val="0"/>
                <w:sz w:val="24"/>
                <w:szCs w:val="24"/>
              </w:rPr>
              <w:t>351</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0272</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1047</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w:t>
            </w:r>
            <w:r>
              <w:rPr>
                <w:rFonts w:ascii="Times New Roman" w:hAnsi="Times New Roman" w:eastAsia="仿宋_GB2312" w:cs="Times New Roman"/>
                <w:color w:val="000000"/>
                <w:kern w:val="0"/>
                <w:sz w:val="24"/>
                <w:szCs w:val="24"/>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公路货运量占比</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97.44%</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97.31%</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98.06%</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97.54%</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97.27%</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u w:val="none"/>
              </w:rPr>
              <w:t>铁路货物运输量</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215.6</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91.88</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37.79</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w:t>
            </w:r>
            <w:r>
              <w:rPr>
                <w:rFonts w:ascii="Times New Roman" w:hAnsi="Times New Roman" w:eastAsia="仿宋_GB2312" w:cs="Times New Roman"/>
                <w:color w:val="000000"/>
                <w:kern w:val="0"/>
                <w:sz w:val="24"/>
                <w:szCs w:val="24"/>
              </w:rPr>
              <w:t>05.4</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w:t>
            </w:r>
            <w:r>
              <w:rPr>
                <w:rFonts w:ascii="Times New Roman" w:hAnsi="Times New Roman" w:eastAsia="仿宋_GB2312" w:cs="Times New Roman"/>
                <w:color w:val="000000"/>
                <w:kern w:val="0"/>
                <w:sz w:val="24"/>
                <w:szCs w:val="24"/>
              </w:rPr>
              <w:t>48</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w:t>
            </w:r>
            <w:r>
              <w:rPr>
                <w:rFonts w:ascii="Times New Roman" w:hAnsi="Times New Roman" w:eastAsia="仿宋_GB2312" w:cs="Times New Roman"/>
                <w:color w:val="000000"/>
                <w:kern w:val="0"/>
                <w:sz w:val="24"/>
                <w:szCs w:val="24"/>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铁路货运量占比</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2.12%</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2.17%</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1.44%</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1.95%</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2.18%</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水路货物运输量</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43</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4</w:t>
            </w:r>
            <w:r>
              <w:rPr>
                <w:rFonts w:ascii="Times New Roman" w:hAnsi="Times New Roman" w:eastAsia="仿宋_GB2312" w:cs="Times New Roman"/>
                <w:color w:val="000000"/>
                <w:kern w:val="0"/>
                <w:sz w:val="24"/>
                <w:szCs w:val="24"/>
              </w:rPr>
              <w:t>4</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4</w:t>
            </w:r>
            <w:r>
              <w:rPr>
                <w:rFonts w:ascii="Times New Roman" w:hAnsi="Times New Roman" w:eastAsia="仿宋_GB2312" w:cs="Times New Roman"/>
                <w:color w:val="000000"/>
                <w:kern w:val="0"/>
                <w:sz w:val="24"/>
                <w:szCs w:val="24"/>
              </w:rPr>
              <w:t>5</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5</w:t>
            </w:r>
            <w:r>
              <w:rPr>
                <w:rFonts w:ascii="Times New Roman" w:hAnsi="Times New Roman" w:eastAsia="仿宋_GB2312" w:cs="Times New Roman"/>
                <w:color w:val="000000"/>
                <w:kern w:val="0"/>
                <w:sz w:val="24"/>
                <w:szCs w:val="24"/>
              </w:rPr>
              <w:t>1</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5</w:t>
            </w:r>
            <w:r>
              <w:rPr>
                <w:rFonts w:ascii="Times New Roman" w:hAnsi="Times New Roman" w:eastAsia="仿宋_GB2312" w:cs="Times New Roman"/>
                <w:color w:val="000000"/>
                <w:kern w:val="0"/>
                <w:sz w:val="24"/>
                <w:szCs w:val="24"/>
              </w:rPr>
              <w:t>9</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水路货运量占比</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0.42%</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0.50%</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0.47%</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0.48%</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0.52%</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航空货邮吞吐量</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1.72</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.38</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w:t>
            </w:r>
            <w:r>
              <w:rPr>
                <w:rFonts w:ascii="Times New Roman" w:hAnsi="Times New Roman" w:eastAsia="仿宋_GB2312" w:cs="Times New Roman"/>
                <w:color w:val="000000"/>
                <w:kern w:val="0"/>
                <w:sz w:val="24"/>
                <w:szCs w:val="24"/>
              </w:rPr>
              <w:t>.42</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w:t>
            </w:r>
            <w:r>
              <w:rPr>
                <w:rFonts w:ascii="Times New Roman" w:hAnsi="Times New Roman" w:eastAsia="仿宋_GB2312" w:cs="Times New Roman"/>
                <w:color w:val="000000"/>
                <w:kern w:val="0"/>
                <w:sz w:val="24"/>
                <w:szCs w:val="24"/>
              </w:rPr>
              <w:t>.71</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3</w:t>
            </w:r>
            <w:r>
              <w:rPr>
                <w:rFonts w:ascii="Times New Roman" w:hAnsi="Times New Roman" w:eastAsia="仿宋_GB2312" w:cs="Times New Roman"/>
                <w:color w:val="000000"/>
                <w:kern w:val="0"/>
                <w:sz w:val="24"/>
                <w:szCs w:val="24"/>
              </w:rPr>
              <w:t>.03</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航空货运量占比</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0.02%</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0.02%</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0.03%</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0.03%</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0.03%</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0.02%</w:t>
            </w:r>
          </w:p>
        </w:tc>
      </w:tr>
    </w:tbl>
    <w:p>
      <w:pPr>
        <w:keepNext w:val="0"/>
        <w:keepLines w:val="0"/>
        <w:pageBreakBefore w:val="0"/>
        <w:widowControl/>
        <w:kinsoku/>
        <w:wordWrap/>
        <w:overflowPunct/>
        <w:topLinePunct w:val="0"/>
        <w:autoSpaceDE w:val="0"/>
        <w:autoSpaceDN/>
        <w:bidi w:val="0"/>
        <w:adjustRightInd w:val="0"/>
        <w:snapToGrid w:val="0"/>
        <w:spacing w:line="600" w:lineRule="exact"/>
        <w:ind w:firstLine="643" w:firstLineChars="200"/>
        <w:jc w:val="both"/>
        <w:textAlignment w:val="auto"/>
        <w:rPr>
          <w:rFonts w:hint="eastAsia" w:ascii="Times New Roman" w:hAnsi="Times New Roman" w:eastAsia="仿宋_GB2312" w:cs="Times New Roman"/>
          <w:color w:val="000000"/>
          <w:spacing w:val="-2"/>
          <w:kern w:val="0"/>
          <w:sz w:val="32"/>
          <w:szCs w:val="32"/>
        </w:rPr>
      </w:pPr>
      <w:r>
        <w:rPr>
          <w:rFonts w:hint="eastAsia" w:ascii="Times New Roman" w:hAnsi="Times New Roman" w:eastAsia="楷体_GB2312" w:cs="Times New Roman"/>
          <w:b/>
          <w:color w:val="000000"/>
          <w:kern w:val="2"/>
          <w:sz w:val="32"/>
          <w:szCs w:val="32"/>
        </w:rPr>
        <w:t>物流设施布局不断完善。</w:t>
      </w:r>
      <w:r>
        <w:rPr>
          <w:rFonts w:hint="eastAsia" w:ascii="Times New Roman" w:hAnsi="Times New Roman" w:eastAsia="仿宋_GB2312" w:cs="Times New Roman"/>
          <w:color w:val="000000"/>
          <w:spacing w:val="-2"/>
          <w:kern w:val="0"/>
          <w:sz w:val="32"/>
          <w:szCs w:val="32"/>
        </w:rPr>
        <w:t>入选商贸服务型国家物流枢纽承载城市，广西物资集团桂林储运总公司物流园获评首批广西示范物流园区和首批自治区现代服务业集聚区。“物流网”三年大会战全面开启，中辰电商快递物流园、苏桥无水港物流园（一期）、桂林东站冷链物流园（一期）建成投产运营，桂林荔浦保税物流中心（B型）获自治区批准设立，桂林万禾公用型保税仓库项目竣工。县域建成运营冷链物流项目85个，商贸服务、货运枢纽、综合服务、快递服务、冷链物流、智能快件（包裹）箱和普惠快递网点等类型不断丰富，区域布局日趋均衡。</w:t>
      </w:r>
    </w:p>
    <w:p>
      <w:pPr>
        <w:keepNext w:val="0"/>
        <w:keepLines w:val="0"/>
        <w:pageBreakBefore w:val="0"/>
        <w:widowControl/>
        <w:kinsoku/>
        <w:wordWrap/>
        <w:overflowPunct/>
        <w:topLinePunct w:val="0"/>
        <w:autoSpaceDE w:val="0"/>
        <w:autoSpaceDN/>
        <w:bidi w:val="0"/>
        <w:adjustRightInd w:val="0"/>
        <w:snapToGrid w:val="0"/>
        <w:spacing w:line="600" w:lineRule="exact"/>
        <w:ind w:firstLine="643" w:firstLineChars="200"/>
        <w:jc w:val="both"/>
        <w:textAlignment w:val="auto"/>
        <w:rPr>
          <w:rFonts w:hint="eastAsia" w:ascii="Times New Roman" w:hAnsi="Times New Roman" w:eastAsia="仿宋_GB2312" w:cs="Times New Roman"/>
          <w:color w:val="000000"/>
          <w:spacing w:val="-2"/>
          <w:kern w:val="0"/>
          <w:sz w:val="32"/>
          <w:szCs w:val="32"/>
        </w:rPr>
      </w:pPr>
      <w:r>
        <w:rPr>
          <w:rFonts w:hint="eastAsia" w:ascii="Times New Roman" w:hAnsi="Times New Roman" w:eastAsia="楷体_GB2312" w:cs="Times New Roman"/>
          <w:b/>
          <w:color w:val="000000"/>
          <w:kern w:val="2"/>
          <w:sz w:val="32"/>
          <w:szCs w:val="32"/>
        </w:rPr>
        <w:t>电商快递物流快速发展。</w:t>
      </w:r>
      <w:r>
        <w:rPr>
          <w:rFonts w:hint="eastAsia" w:ascii="Times New Roman" w:hAnsi="Times New Roman" w:eastAsia="仿宋_GB2312" w:cs="Times New Roman"/>
          <w:color w:val="000000"/>
          <w:spacing w:val="-2"/>
          <w:kern w:val="0"/>
          <w:sz w:val="32"/>
          <w:szCs w:val="32"/>
        </w:rPr>
        <w:t>“十三五”期间，全市快递物流业年均增长25%以上。2020年，全市邮政行业业务总量累计完成13.5亿元，比</w:t>
      </w:r>
      <w:r>
        <w:rPr>
          <w:rFonts w:hint="eastAsia" w:ascii="Times New Roman" w:hAnsi="Times New Roman" w:eastAsia="仿宋_GB2312" w:cs="Times New Roman"/>
          <w:color w:val="000000"/>
          <w:spacing w:val="-2"/>
          <w:kern w:val="0"/>
          <w:sz w:val="32"/>
          <w:szCs w:val="32"/>
          <w:lang w:val="en-US" w:eastAsia="zh-CN"/>
        </w:rPr>
        <w:t>2015年</w:t>
      </w:r>
      <w:r>
        <w:rPr>
          <w:rFonts w:hint="eastAsia" w:ascii="Times New Roman" w:hAnsi="Times New Roman" w:eastAsia="仿宋_GB2312" w:cs="Times New Roman"/>
          <w:color w:val="000000"/>
          <w:spacing w:val="-2"/>
          <w:kern w:val="0"/>
          <w:sz w:val="32"/>
          <w:szCs w:val="32"/>
        </w:rPr>
        <w:t>增长</w:t>
      </w:r>
      <w:r>
        <w:rPr>
          <w:rFonts w:hint="eastAsia" w:ascii="Times New Roman" w:hAnsi="Times New Roman" w:eastAsia="仿宋_GB2312" w:cs="Times New Roman"/>
          <w:color w:val="000000"/>
          <w:spacing w:val="-2"/>
          <w:kern w:val="0"/>
          <w:sz w:val="32"/>
          <w:szCs w:val="32"/>
          <w:lang w:val="en-US" w:eastAsia="zh-CN"/>
        </w:rPr>
        <w:t>218</w:t>
      </w:r>
      <w:r>
        <w:rPr>
          <w:rFonts w:hint="eastAsia" w:ascii="Times New Roman" w:hAnsi="Times New Roman" w:eastAsia="仿宋_GB2312" w:cs="Times New Roman"/>
          <w:color w:val="000000"/>
          <w:spacing w:val="-2"/>
          <w:kern w:val="0"/>
          <w:sz w:val="32"/>
          <w:szCs w:val="32"/>
        </w:rPr>
        <w:t>%；快递服务企业业务量累计完成4079.10万件，比</w:t>
      </w:r>
      <w:r>
        <w:rPr>
          <w:rFonts w:hint="eastAsia" w:ascii="Times New Roman" w:hAnsi="Times New Roman" w:eastAsia="仿宋_GB2312" w:cs="Times New Roman"/>
          <w:color w:val="000000"/>
          <w:spacing w:val="-2"/>
          <w:kern w:val="0"/>
          <w:sz w:val="32"/>
          <w:szCs w:val="32"/>
          <w:lang w:val="en-US" w:eastAsia="zh-CN"/>
        </w:rPr>
        <w:t>2015年</w:t>
      </w:r>
      <w:r>
        <w:rPr>
          <w:rFonts w:hint="eastAsia" w:ascii="Times New Roman" w:hAnsi="Times New Roman" w:eastAsia="仿宋_GB2312" w:cs="Times New Roman"/>
          <w:color w:val="000000"/>
          <w:spacing w:val="-2"/>
          <w:kern w:val="0"/>
          <w:sz w:val="32"/>
          <w:szCs w:val="32"/>
        </w:rPr>
        <w:t>增长</w:t>
      </w:r>
      <w:r>
        <w:rPr>
          <w:rFonts w:hint="eastAsia" w:ascii="Times New Roman" w:hAnsi="Times New Roman" w:eastAsia="仿宋_GB2312" w:cs="Times New Roman"/>
          <w:color w:val="000000"/>
          <w:spacing w:val="-2"/>
          <w:kern w:val="0"/>
          <w:sz w:val="32"/>
          <w:szCs w:val="32"/>
          <w:lang w:val="en-US" w:eastAsia="zh-CN"/>
        </w:rPr>
        <w:t>245</w:t>
      </w:r>
      <w:r>
        <w:rPr>
          <w:rFonts w:hint="eastAsia" w:ascii="Times New Roman" w:hAnsi="Times New Roman" w:eastAsia="仿宋_GB2312" w:cs="Times New Roman"/>
          <w:color w:val="000000"/>
          <w:spacing w:val="-2"/>
          <w:kern w:val="0"/>
          <w:sz w:val="32"/>
          <w:szCs w:val="32"/>
        </w:rPr>
        <w:t>%；快递业务收入累计完成62048.87万元，比</w:t>
      </w:r>
      <w:r>
        <w:rPr>
          <w:rFonts w:hint="eastAsia" w:ascii="Times New Roman" w:hAnsi="Times New Roman" w:eastAsia="仿宋_GB2312" w:cs="Times New Roman"/>
          <w:color w:val="000000"/>
          <w:spacing w:val="-2"/>
          <w:kern w:val="0"/>
          <w:sz w:val="32"/>
          <w:szCs w:val="32"/>
          <w:lang w:val="en-US" w:eastAsia="zh-CN"/>
        </w:rPr>
        <w:t>2015年</w:t>
      </w:r>
      <w:r>
        <w:rPr>
          <w:rFonts w:hint="eastAsia" w:ascii="Times New Roman" w:hAnsi="Times New Roman" w:eastAsia="仿宋_GB2312" w:cs="Times New Roman"/>
          <w:color w:val="000000"/>
          <w:spacing w:val="-2"/>
          <w:kern w:val="0"/>
          <w:sz w:val="32"/>
          <w:szCs w:val="32"/>
        </w:rPr>
        <w:t>增长</w:t>
      </w:r>
      <w:r>
        <w:rPr>
          <w:rFonts w:hint="eastAsia" w:ascii="Times New Roman" w:hAnsi="Times New Roman" w:eastAsia="仿宋_GB2312" w:cs="Times New Roman"/>
          <w:color w:val="000000"/>
          <w:spacing w:val="-2"/>
          <w:kern w:val="0"/>
          <w:sz w:val="32"/>
          <w:szCs w:val="32"/>
          <w:lang w:val="en-US" w:eastAsia="zh-CN"/>
        </w:rPr>
        <w:t>209</w:t>
      </w:r>
      <w:r>
        <w:rPr>
          <w:rFonts w:hint="eastAsia" w:ascii="Times New Roman" w:hAnsi="Times New Roman" w:eastAsia="仿宋_GB2312" w:cs="Times New Roman"/>
          <w:color w:val="000000"/>
          <w:spacing w:val="-2"/>
          <w:kern w:val="0"/>
          <w:sz w:val="32"/>
          <w:szCs w:val="32"/>
        </w:rPr>
        <w:t xml:space="preserve">%。 </w:t>
      </w:r>
    </w:p>
    <w:p>
      <w:pPr>
        <w:keepNext w:val="0"/>
        <w:keepLines w:val="0"/>
        <w:pageBreakBefore w:val="0"/>
        <w:widowControl/>
        <w:kinsoku/>
        <w:wordWrap/>
        <w:overflowPunct/>
        <w:topLinePunct w:val="0"/>
        <w:autoSpaceDE w:val="0"/>
        <w:autoSpaceDN/>
        <w:bidi w:val="0"/>
        <w:adjustRightInd w:val="0"/>
        <w:snapToGrid w:val="0"/>
        <w:spacing w:line="600" w:lineRule="exact"/>
        <w:ind w:firstLine="643" w:firstLineChars="200"/>
        <w:jc w:val="both"/>
        <w:textAlignment w:val="auto"/>
        <w:rPr>
          <w:rFonts w:hint="eastAsia" w:ascii="Times New Roman" w:hAnsi="Times New Roman" w:eastAsia="仿宋_GB2312" w:cs="Times New Roman"/>
          <w:color w:val="000000"/>
          <w:spacing w:val="-2"/>
          <w:kern w:val="0"/>
          <w:sz w:val="32"/>
          <w:szCs w:val="32"/>
        </w:rPr>
      </w:pPr>
      <w:r>
        <w:rPr>
          <w:rFonts w:hint="eastAsia" w:ascii="Times New Roman" w:hAnsi="Times New Roman" w:eastAsia="楷体_GB2312" w:cs="Times New Roman"/>
          <w:b/>
          <w:color w:val="000000"/>
          <w:kern w:val="2"/>
          <w:sz w:val="32"/>
          <w:szCs w:val="32"/>
        </w:rPr>
        <w:t>交通基础设施建设不断加快。</w:t>
      </w:r>
      <w:r>
        <w:rPr>
          <w:rFonts w:hint="eastAsia" w:ascii="Times New Roman" w:hAnsi="Times New Roman" w:eastAsia="仿宋_GB2312" w:cs="Times New Roman"/>
          <w:color w:val="000000"/>
          <w:spacing w:val="-2"/>
          <w:kern w:val="0"/>
          <w:sz w:val="32"/>
          <w:szCs w:val="32"/>
        </w:rPr>
        <w:t>截至 2020 年底，全市公路总里程增至1.49万公里、较2015年增长18.9%</w:t>
      </w:r>
      <w:r>
        <w:rPr>
          <w:rFonts w:hint="eastAsia" w:ascii="Times New Roman" w:hAnsi="Times New Roman" w:eastAsia="仿宋_GB2312" w:cs="Times New Roman"/>
          <w:color w:val="000000"/>
          <w:spacing w:val="-2"/>
          <w:kern w:val="0"/>
          <w:sz w:val="32"/>
          <w:szCs w:val="32"/>
          <w:lang w:eastAsia="zh-CN"/>
        </w:rPr>
        <w:t>；</w:t>
      </w:r>
      <w:r>
        <w:rPr>
          <w:rFonts w:hint="eastAsia" w:ascii="Times New Roman" w:hAnsi="Times New Roman" w:eastAsia="仿宋_GB2312" w:cs="Times New Roman"/>
          <w:color w:val="000000"/>
          <w:spacing w:val="-2"/>
          <w:kern w:val="0"/>
          <w:sz w:val="32"/>
          <w:szCs w:val="32"/>
        </w:rPr>
        <w:t>阳朔至鹿寨、荔浦至玉林等5条高速公路建成通车，新增里程250公里，基本实现县县通高速</w:t>
      </w:r>
      <w:r>
        <w:rPr>
          <w:rFonts w:hint="eastAsia" w:ascii="Times New Roman" w:hAnsi="Times New Roman" w:eastAsia="仿宋_GB2312" w:cs="Times New Roman"/>
          <w:color w:val="000000"/>
          <w:spacing w:val="-2"/>
          <w:kern w:val="0"/>
          <w:sz w:val="32"/>
          <w:szCs w:val="32"/>
          <w:lang w:eastAsia="zh-CN"/>
        </w:rPr>
        <w:t>，</w:t>
      </w:r>
      <w:r>
        <w:rPr>
          <w:rFonts w:hint="eastAsia" w:ascii="Times New Roman" w:hAnsi="Times New Roman" w:eastAsia="仿宋_GB2312" w:cs="Times New Roman"/>
          <w:color w:val="000000"/>
          <w:spacing w:val="-2"/>
          <w:kern w:val="0"/>
          <w:sz w:val="32"/>
          <w:szCs w:val="32"/>
        </w:rPr>
        <w:t>高速公路里程达到715.37公里</w:t>
      </w:r>
      <w:r>
        <w:rPr>
          <w:rFonts w:hint="eastAsia" w:ascii="Times New Roman" w:hAnsi="Times New Roman" w:eastAsia="仿宋_GB2312" w:cs="Times New Roman"/>
          <w:color w:val="000000"/>
          <w:spacing w:val="-2"/>
          <w:kern w:val="0"/>
          <w:sz w:val="32"/>
          <w:szCs w:val="32"/>
          <w:lang w:eastAsia="zh-CN"/>
        </w:rPr>
        <w:t>，</w:t>
      </w:r>
      <w:r>
        <w:rPr>
          <w:rFonts w:hint="eastAsia" w:ascii="Times New Roman" w:hAnsi="Times New Roman" w:eastAsia="仿宋_GB2312" w:cs="Times New Roman"/>
          <w:color w:val="000000"/>
          <w:spacing w:val="-2"/>
          <w:kern w:val="0"/>
          <w:sz w:val="32"/>
          <w:szCs w:val="32"/>
          <w:lang w:val="en-US" w:eastAsia="zh-CN"/>
        </w:rPr>
        <w:t>较</w:t>
      </w:r>
      <w:r>
        <w:rPr>
          <w:rFonts w:hint="eastAsia" w:ascii="Times New Roman" w:hAnsi="Times New Roman" w:eastAsia="仿宋_GB2312" w:cs="Times New Roman"/>
          <w:color w:val="000000"/>
          <w:spacing w:val="-2"/>
          <w:kern w:val="0"/>
          <w:sz w:val="32"/>
          <w:szCs w:val="32"/>
        </w:rPr>
        <w:t>2015年增长59.0%</w:t>
      </w:r>
      <w:r>
        <w:rPr>
          <w:rFonts w:hint="eastAsia" w:ascii="Times New Roman" w:hAnsi="Times New Roman" w:eastAsia="仿宋_GB2312" w:cs="Times New Roman"/>
          <w:color w:val="000000"/>
          <w:spacing w:val="-2"/>
          <w:kern w:val="0"/>
          <w:sz w:val="32"/>
          <w:szCs w:val="32"/>
          <w:lang w:eastAsia="zh-CN"/>
        </w:rPr>
        <w:t>；</w:t>
      </w:r>
      <w:r>
        <w:rPr>
          <w:rFonts w:hint="eastAsia" w:ascii="Times New Roman" w:hAnsi="Times New Roman" w:eastAsia="仿宋_GB2312" w:cs="Times New Roman"/>
          <w:color w:val="000000"/>
          <w:spacing w:val="-2"/>
          <w:kern w:val="0"/>
          <w:sz w:val="32"/>
          <w:szCs w:val="32"/>
        </w:rPr>
        <w:t>邮路总长度12.6万公里、</w:t>
      </w:r>
      <w:r>
        <w:rPr>
          <w:rFonts w:hint="eastAsia" w:ascii="Times New Roman" w:hAnsi="Times New Roman" w:eastAsia="仿宋_GB2312" w:cs="Times New Roman"/>
          <w:color w:val="000000"/>
          <w:spacing w:val="-2"/>
          <w:kern w:val="0"/>
          <w:sz w:val="32"/>
          <w:szCs w:val="32"/>
          <w:lang w:val="en-US" w:eastAsia="zh-CN"/>
        </w:rPr>
        <w:t>较</w:t>
      </w:r>
      <w:r>
        <w:rPr>
          <w:rFonts w:hint="eastAsia" w:ascii="Times New Roman" w:hAnsi="Times New Roman" w:eastAsia="仿宋_GB2312" w:cs="Times New Roman"/>
          <w:color w:val="000000"/>
          <w:spacing w:val="-2"/>
          <w:kern w:val="0"/>
          <w:sz w:val="32"/>
          <w:szCs w:val="32"/>
        </w:rPr>
        <w:t>2015年末增长96%，快递服务网路长度15.3万公里、比2015年末增长83%；全市高铁营运里程达420多公里、占广西的1/4；两江国际机场T2航站楼建成使用，机场年旅客吞吐能力增至1200万人次，开通国际国内航线</w:t>
      </w:r>
      <w:r>
        <w:rPr>
          <w:rFonts w:hint="eastAsia" w:ascii="Times New Roman" w:hAnsi="Times New Roman" w:eastAsia="仿宋_GB2312" w:cs="Times New Roman"/>
          <w:color w:val="000000"/>
          <w:spacing w:val="-2"/>
          <w:kern w:val="0"/>
          <w:sz w:val="32"/>
          <w:szCs w:val="32"/>
          <w:lang w:val="en-US" w:eastAsia="zh-CN"/>
        </w:rPr>
        <w:t>119</w:t>
      </w:r>
      <w:r>
        <w:rPr>
          <w:rFonts w:hint="eastAsia" w:ascii="Times New Roman" w:hAnsi="Times New Roman" w:eastAsia="仿宋_GB2312" w:cs="Times New Roman"/>
          <w:color w:val="000000"/>
          <w:spacing w:val="-2"/>
          <w:kern w:val="0"/>
          <w:sz w:val="32"/>
          <w:szCs w:val="32"/>
        </w:rPr>
        <w:t>条，</w:t>
      </w:r>
      <w:r>
        <w:rPr>
          <w:rFonts w:hint="eastAsia" w:ascii="Times New Roman" w:hAnsi="Times New Roman" w:eastAsia="仿宋_GB2312" w:cs="Times New Roman"/>
          <w:color w:val="000000"/>
          <w:spacing w:val="-2"/>
          <w:kern w:val="0"/>
          <w:sz w:val="32"/>
          <w:szCs w:val="32"/>
          <w:lang w:val="en-US" w:eastAsia="zh-CN"/>
        </w:rPr>
        <w:t>区域性</w:t>
      </w:r>
      <w:r>
        <w:rPr>
          <w:rFonts w:hint="eastAsia" w:ascii="Times New Roman" w:hAnsi="Times New Roman" w:eastAsia="仿宋_GB2312" w:cs="Times New Roman"/>
          <w:color w:val="000000"/>
          <w:spacing w:val="-2"/>
          <w:kern w:val="0"/>
          <w:sz w:val="32"/>
          <w:szCs w:val="32"/>
        </w:rPr>
        <w:t>航空枢纽地位凸显。</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5" w:name="_Toc15815"/>
      <w:r>
        <w:rPr>
          <w:rFonts w:hint="eastAsia" w:ascii="黑体" w:hAnsi="黑体" w:eastAsia="黑体" w:cs="黑体"/>
          <w:b w:val="0"/>
          <w:bCs w:val="0"/>
        </w:rPr>
        <w:t>（二）存在问题</w:t>
      </w:r>
      <w:bookmarkEnd w:id="5"/>
    </w:p>
    <w:p>
      <w:pPr>
        <w:keepNext w:val="0"/>
        <w:keepLines w:val="0"/>
        <w:pageBreakBefore w:val="0"/>
        <w:widowControl/>
        <w:kinsoku/>
        <w:wordWrap/>
        <w:overflowPunct/>
        <w:topLinePunct w:val="0"/>
        <w:autoSpaceDE w:val="0"/>
        <w:autoSpaceDN/>
        <w:bidi w:val="0"/>
        <w:adjustRightInd w:val="0"/>
        <w:snapToGrid w:val="0"/>
        <w:spacing w:line="600" w:lineRule="exact"/>
        <w:ind w:firstLine="632" w:firstLineChars="200"/>
        <w:jc w:val="both"/>
        <w:textAlignment w:val="auto"/>
        <w:rPr>
          <w:rFonts w:hint="eastAsia" w:ascii="Times New Roman" w:hAnsi="Times New Roman" w:eastAsia="仿宋_GB2312" w:cs="Times New Roman"/>
          <w:color w:val="000000"/>
          <w:spacing w:val="-2"/>
          <w:kern w:val="0"/>
          <w:sz w:val="32"/>
          <w:szCs w:val="32"/>
        </w:rPr>
      </w:pPr>
      <w:r>
        <w:rPr>
          <w:rFonts w:hint="eastAsia" w:ascii="Times New Roman" w:hAnsi="Times New Roman" w:eastAsia="仿宋_GB2312" w:cs="Times New Roman"/>
          <w:color w:val="000000"/>
          <w:spacing w:val="-2"/>
          <w:kern w:val="0"/>
          <w:sz w:val="32"/>
          <w:szCs w:val="32"/>
        </w:rPr>
        <w:t>“十三五”期间，全市物流业发展取得明显成效，但与构建新发展格局、满足人民日益增长的美好生活需要和支撑世界级旅游城市建设的要求相比，仍存在较大差距。一是货源少，难以形成规模效应。相较于周边城市，</w:t>
      </w:r>
      <w:r>
        <w:rPr>
          <w:rFonts w:hint="eastAsia" w:ascii="Times New Roman" w:hAnsi="Times New Roman" w:eastAsia="仿宋_GB2312" w:cs="Times New Roman"/>
          <w:color w:val="000000"/>
          <w:spacing w:val="-2"/>
          <w:kern w:val="0"/>
          <w:sz w:val="32"/>
          <w:szCs w:val="32"/>
          <w:u w:val="none"/>
        </w:rPr>
        <w:t>桂林市2020年货运总量分别只相当于南宁市、柳州市、衡阳市和长沙市同期的27%、65%、55%、23%</w:t>
      </w:r>
      <w:r>
        <w:rPr>
          <w:rFonts w:hint="eastAsia" w:ascii="Times New Roman" w:hAnsi="Times New Roman" w:eastAsia="仿宋_GB2312" w:cs="Times New Roman"/>
          <w:color w:val="000000"/>
          <w:spacing w:val="-2"/>
          <w:kern w:val="0"/>
          <w:sz w:val="32"/>
          <w:szCs w:val="32"/>
        </w:rPr>
        <w:t>，物流需求不足。二是物流降本增效仍需继续深化，工业物流全链条效率低、成本高、综合效益不显著问题突出，物流枢纽节点要素集聚与整合能力较弱，基础设施建设不协同，公路货运占全方式货运总量的97%以上，多数物流企业服务模式落后，冷链物流、航空物流等专业化服务能力不强。三是物流主体“小、散、弱”特征明显，</w:t>
      </w:r>
      <w:r>
        <w:rPr>
          <w:rFonts w:hint="eastAsia" w:ascii="Times New Roman" w:hAnsi="Times New Roman" w:eastAsia="仿宋_GB2312" w:cs="Times New Roman"/>
          <w:color w:val="000000"/>
          <w:spacing w:val="-2"/>
          <w:kern w:val="0"/>
          <w:sz w:val="32"/>
          <w:szCs w:val="32"/>
          <w:u w:val="none"/>
        </w:rPr>
        <w:t>货运量排名前10的物流企业货物运输量占全市总量不到4％</w:t>
      </w:r>
      <w:r>
        <w:rPr>
          <w:rFonts w:hint="eastAsia" w:ascii="Times New Roman" w:hAnsi="Times New Roman" w:eastAsia="仿宋_GB2312" w:cs="Times New Roman"/>
          <w:color w:val="000000"/>
          <w:spacing w:val="-2"/>
          <w:kern w:val="0"/>
          <w:sz w:val="32"/>
          <w:szCs w:val="32"/>
        </w:rPr>
        <w:t>，物流企业运营效益较低。四是互联共享效率不高，物流企业信息化基础薄弱，多式联运、甩挂运输、网络货运、无车承运等新业态新模式发展滞后。</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6" w:name="_Toc7623"/>
      <w:bookmarkStart w:id="7" w:name="_Toc32051"/>
      <w:r>
        <w:rPr>
          <w:rFonts w:hint="eastAsia" w:ascii="黑体" w:hAnsi="黑体" w:eastAsia="黑体" w:cs="黑体"/>
          <w:b w:val="0"/>
          <w:bCs w:val="0"/>
        </w:rPr>
        <w:t>（三）发展环境</w:t>
      </w:r>
      <w:bookmarkEnd w:id="6"/>
      <w:bookmarkEnd w:id="7"/>
    </w:p>
    <w:p>
      <w:pPr>
        <w:pStyle w:val="37"/>
        <w:adjustRightInd w:val="0"/>
        <w:snapToGrid w:val="0"/>
        <w:spacing w:line="600" w:lineRule="exact"/>
        <w:ind w:firstLine="640"/>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仿宋_GB2312" w:cs="Times New Roman"/>
          <w:color w:val="000000"/>
          <w:spacing w:val="-2"/>
          <w:kern w:val="0"/>
          <w:sz w:val="32"/>
          <w:szCs w:val="32"/>
          <w:lang w:val="en-US" w:eastAsia="zh-CN" w:bidi="ar-SA"/>
        </w:rPr>
        <w:t>今后一个时期，桂林现代物流加快发展的积极因素和有利条件逐步增多，发展基础及条件初步具备。与此同时，内外部环境错综复杂，存在许多不确定性，面临困难和挑战。</w:t>
      </w:r>
    </w:p>
    <w:p>
      <w:pPr>
        <w:adjustRightInd w:val="0"/>
        <w:snapToGrid w:val="0"/>
        <w:spacing w:line="600" w:lineRule="exact"/>
        <w:ind w:firstLine="643" w:firstLineChars="200"/>
        <w:rPr>
          <w:rFonts w:ascii="方正仿宋_GB2312" w:hAnsi="方正仿宋_GB2312" w:eastAsia="方正仿宋_GB2312" w:cs="方正仿宋_GB2312"/>
          <w:sz w:val="32"/>
          <w:szCs w:val="32"/>
        </w:rPr>
      </w:pPr>
      <w:r>
        <w:rPr>
          <w:rFonts w:hint="eastAsia" w:ascii="Times New Roman" w:hAnsi="Times New Roman" w:eastAsia="楷体_GB2312" w:cs="Times New Roman"/>
          <w:b/>
          <w:color w:val="000000"/>
          <w:kern w:val="2"/>
          <w:sz w:val="32"/>
          <w:szCs w:val="32"/>
        </w:rPr>
        <w:t>新发展格局提供发展新契机。</w:t>
      </w:r>
      <w:r>
        <w:rPr>
          <w:rFonts w:hint="eastAsia" w:ascii="Times New Roman" w:hAnsi="Times New Roman" w:eastAsia="仿宋_GB2312" w:cs="Times New Roman"/>
          <w:color w:val="000000"/>
          <w:spacing w:val="-2"/>
          <w:kern w:val="0"/>
          <w:sz w:val="32"/>
          <w:szCs w:val="32"/>
          <w:lang w:val="en-US" w:eastAsia="zh-CN" w:bidi="ar-SA"/>
        </w:rPr>
        <w:t>我国共建“一带一路”、新时代西部大开发、西部陆海新通道建设等重大战略深入推进，《区域全面经济伙伴关系协定》（RCEP）生效实施，为桂林深度融入国内国际双循环创造了积极条件。习近平总书记赋予桂林打造世界级旅游城市新使命新要求，为桂林高质量发展指明了前进方向，现代物流业有望借势迎来新一轮重大发展机遇。工业振兴、乡村振兴和建设商贸服务型国家物流枢纽承载城市，需要物流进行有机串接和高效协同，加快构建内外联通的“通道+枢纽+网络”现代物流运行体系。</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内需潜力释放为物流业发展赋予新使命。</w:t>
      </w:r>
      <w:r>
        <w:rPr>
          <w:rFonts w:hint="eastAsia" w:ascii="Times New Roman" w:hAnsi="Times New Roman" w:eastAsia="仿宋_GB2312" w:cs="Times New Roman"/>
          <w:color w:val="000000"/>
          <w:spacing w:val="-2"/>
          <w:kern w:val="0"/>
          <w:sz w:val="32"/>
          <w:szCs w:val="32"/>
          <w:lang w:val="en-US" w:eastAsia="zh-CN" w:bidi="ar-SA"/>
        </w:rPr>
        <w:t>随着我国经济水平提高，人民对美好生活的向往更加强烈，国内市场将进入新一轮消费升级扩容周期。我市应抓住消费升级机遇，加快完善现代商贸流通体系和城乡消费物流体系，支持便利店、农贸市场等商贸流通设施建设，加快构建县、乡、村三级网络配送体系，提高建制村快递服务覆盖率、农村物流服务质量和效率，不断提升人民获得感、幸福感、安全感。</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技术创新为物流业发展提供新动能。</w:t>
      </w:r>
      <w:r>
        <w:rPr>
          <w:rFonts w:hint="eastAsia" w:ascii="Times New Roman" w:hAnsi="Times New Roman" w:eastAsia="仿宋_GB2312" w:cs="Times New Roman"/>
          <w:color w:val="000000"/>
          <w:spacing w:val="-2"/>
          <w:kern w:val="0"/>
          <w:sz w:val="32"/>
          <w:szCs w:val="32"/>
          <w:lang w:val="en-US" w:eastAsia="zh-CN" w:bidi="ar-SA"/>
        </w:rPr>
        <w:t>互联网、物联网、大数据、云计算、人工智能等现代信息技术在物流业广泛应用，将推动物流作业流程、技术应用、组织运作、经营管理、业态模式的全面创新，促进桂林加快建设现代流通体系。桂林要发挥通道优势，强化与国家骨干物流通道衔接，补齐物流枢纽、园区及配套设施短板，引进培育国际知名、国内领先的物流市场主体，提高数字化、智能化、绿色化水平，构建高效便捷、安全可靠、成本合理的物流运行网络，提高行业整体效率效益，为经济社会高质量发展打下坚实基础。</w:t>
      </w:r>
    </w:p>
    <w:p>
      <w:pPr>
        <w:pStyle w:val="4"/>
        <w:adjustRightInd w:val="0"/>
        <w:snapToGrid w:val="0"/>
        <w:spacing w:before="0" w:after="0" w:line="600" w:lineRule="exact"/>
        <w:ind w:firstLine="640" w:firstLineChars="200"/>
        <w:rPr>
          <w:rFonts w:ascii="黑体" w:hAnsi="黑体" w:eastAsia="黑体" w:cs="黑体"/>
          <w:b w:val="0"/>
          <w:bCs w:val="0"/>
          <w:sz w:val="32"/>
          <w:szCs w:val="32"/>
        </w:rPr>
      </w:pPr>
      <w:bookmarkStart w:id="8" w:name="_Toc20565"/>
      <w:bookmarkStart w:id="9" w:name="_Toc6393"/>
      <w:r>
        <w:rPr>
          <w:rFonts w:hint="eastAsia" w:ascii="黑体" w:hAnsi="黑体" w:eastAsia="黑体" w:cs="黑体"/>
          <w:b w:val="0"/>
          <w:bCs w:val="0"/>
          <w:sz w:val="32"/>
          <w:szCs w:val="32"/>
        </w:rPr>
        <w:t>二、总体要求</w:t>
      </w:r>
      <w:bookmarkEnd w:id="8"/>
      <w:bookmarkEnd w:id="9"/>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10" w:name="_Toc22013"/>
      <w:bookmarkStart w:id="11" w:name="_Toc19769"/>
      <w:r>
        <w:rPr>
          <w:rFonts w:hint="eastAsia" w:ascii="黑体" w:hAnsi="黑体" w:eastAsia="黑体" w:cs="黑体"/>
          <w:b w:val="0"/>
          <w:bCs w:val="0"/>
        </w:rPr>
        <w:t>（一）指导思想</w:t>
      </w:r>
      <w:bookmarkEnd w:id="10"/>
      <w:bookmarkEnd w:id="11"/>
    </w:p>
    <w:p>
      <w:pPr>
        <w:adjustRightInd w:val="0"/>
        <w:snapToGrid w:val="0"/>
        <w:spacing w:line="600" w:lineRule="exact"/>
        <w:ind w:firstLine="632"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仿宋_GB2312" w:cs="Times New Roman"/>
          <w:color w:val="000000"/>
          <w:spacing w:val="-2"/>
          <w:kern w:val="0"/>
          <w:sz w:val="32"/>
          <w:szCs w:val="32"/>
          <w:lang w:val="en-US" w:eastAsia="zh-CN" w:bidi="ar-SA"/>
        </w:rPr>
        <w:t>以习近平新时代中国特色社会主义思想为指导，全面贯彻党的十九大和十九届历次全会精神，认真落实习近平总书记对广西、对桂林工作重要指示精神，贯彻落实国家和自治区决策部署，立足新发展阶段，完整准确全面贯彻新发展理念，服务和融入新发展格局，以推动高质量发展为主题，以满足人民日益增长的美好生活需要为根本目的，以打造世界级旅游城市为统揽，聚焦物流业“降本、增效、提质”，着力优化物流空间布局，提升物流主体竞争力，着力提升物流数智化、夯实现代物流业发展基础、推进物流服务集约高效发展、健全现代冷链物流服务体系、促进物流与产业融合发展、形成区域开放合作新局面、提升现代物流治理能力，构建完善“通道＋枢纽＋网络”的现代物流运行体系，加快建设商贸服务型国家物流枢纽承载城市</w:t>
      </w:r>
      <w:r>
        <w:rPr>
          <w:rFonts w:hint="eastAsia" w:ascii="Times New Roman" w:hAnsi="Times New Roman" w:eastAsia="仿宋_GB2312" w:cs="Times New Roman"/>
          <w:color w:val="000000"/>
          <w:spacing w:val="-2"/>
          <w:kern w:val="0"/>
          <w:sz w:val="32"/>
          <w:szCs w:val="32"/>
          <w:u w:val="none"/>
          <w:lang w:val="en-US" w:eastAsia="zh-CN" w:bidi="ar-SA"/>
        </w:rPr>
        <w:t>，打造成为西部陆海新通道重要节点城市和“一带一路”重要区域性商贸物流组织中心城市</w:t>
      </w:r>
      <w:r>
        <w:rPr>
          <w:rFonts w:hint="eastAsia" w:ascii="Times New Roman" w:hAnsi="Times New Roman" w:eastAsia="仿宋_GB2312" w:cs="Times New Roman"/>
          <w:color w:val="000000"/>
          <w:spacing w:val="-2"/>
          <w:kern w:val="0"/>
          <w:sz w:val="32"/>
          <w:szCs w:val="32"/>
          <w:lang w:val="en-US" w:eastAsia="zh-CN" w:bidi="ar-SA"/>
        </w:rPr>
        <w:t>。</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12" w:name="_Toc891"/>
      <w:bookmarkStart w:id="13" w:name="_Toc6321"/>
      <w:r>
        <w:rPr>
          <w:rFonts w:hint="eastAsia" w:ascii="黑体" w:hAnsi="黑体" w:eastAsia="黑体" w:cs="黑体"/>
          <w:b w:val="0"/>
          <w:bCs w:val="0"/>
        </w:rPr>
        <w:t>（二）基本原则</w:t>
      </w:r>
      <w:bookmarkEnd w:id="12"/>
      <w:bookmarkEnd w:id="13"/>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政府引导、市场主导。</w:t>
      </w:r>
      <w:r>
        <w:rPr>
          <w:rFonts w:hint="eastAsia" w:ascii="Times New Roman" w:hAnsi="Times New Roman" w:eastAsia="仿宋_GB2312" w:cs="Times New Roman"/>
          <w:color w:val="000000"/>
          <w:spacing w:val="-2"/>
          <w:kern w:val="0"/>
          <w:sz w:val="32"/>
          <w:szCs w:val="32"/>
          <w:lang w:val="en-US" w:eastAsia="zh-CN" w:bidi="ar-SA"/>
        </w:rPr>
        <w:t>发挥政府在规划布局、基础设施建设、服务创新中的监管和政策引导作用，优化营商环境，推动形成高效规范、公平竞争、统一开放的物流市场。发挥市场在资源配置中的决定性作用，强化企业在行业发展、服务创新等方面的主体作用，激发企业的活力和创造力。</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强化枢纽、衔接成网。</w:t>
      </w:r>
      <w:r>
        <w:rPr>
          <w:rFonts w:hint="eastAsia" w:ascii="Times New Roman" w:hAnsi="Times New Roman" w:eastAsia="仿宋_GB2312" w:cs="Times New Roman"/>
          <w:color w:val="000000"/>
          <w:spacing w:val="-2"/>
          <w:kern w:val="0"/>
          <w:sz w:val="32"/>
          <w:szCs w:val="32"/>
          <w:lang w:val="en-US" w:eastAsia="zh-CN" w:bidi="ar-SA"/>
        </w:rPr>
        <w:t>加快推进国家物流枢纽、地方物流枢纽和物流集聚中心建设，引导物流资源优化配置，提升区域物流发展质量和水平。对接国内国际物流网络，加强物流设施衔接、业务联动、信息共享，主动融入国内国际大循环现代物流服务体系。</w:t>
      </w:r>
    </w:p>
    <w:p>
      <w:pPr>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创新驱动、融合发展。</w:t>
      </w:r>
      <w:r>
        <w:rPr>
          <w:rFonts w:hint="eastAsia" w:ascii="Times New Roman" w:hAnsi="Times New Roman" w:eastAsia="仿宋_GB2312" w:cs="Times New Roman"/>
          <w:color w:val="000000"/>
          <w:spacing w:val="-2"/>
          <w:kern w:val="0"/>
          <w:sz w:val="32"/>
          <w:szCs w:val="32"/>
          <w:lang w:val="en-US" w:eastAsia="zh-CN" w:bidi="ar-SA"/>
        </w:rPr>
        <w:t>坚持创新在现代物流高质量发展中的核心地位，以数字化、网络化、智能化为牵引，为推动现代物流各环节有机嵌入生产、流通、消费全过程创造良好条件。深化现代物流业与制造、贸易、农业、金融等产业融合创新发展，推动形成需求牵引供给、供给创造需求的良性互动和更高水平动态平衡。</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绿色低碳、安全稳定。</w:t>
      </w:r>
      <w:r>
        <w:rPr>
          <w:rFonts w:hint="eastAsia" w:ascii="Times New Roman" w:hAnsi="Times New Roman" w:eastAsia="仿宋_GB2312" w:cs="Times New Roman"/>
          <w:color w:val="000000"/>
          <w:spacing w:val="-2"/>
          <w:kern w:val="0"/>
          <w:sz w:val="32"/>
          <w:szCs w:val="32"/>
          <w:lang w:val="en-US" w:eastAsia="zh-CN" w:bidi="ar-SA"/>
        </w:rPr>
        <w:t>将低碳环保理念贯穿现代物流发展全链条，推动能源清洁低碳安全高效利用，提升行业绿色可持续发展能力。统筹发展和安全，保障产业链供应链稳定，完善应急物流体系，为防范</w:t>
      </w:r>
      <w:bookmarkStart w:id="82" w:name="_GoBack"/>
      <w:bookmarkEnd w:id="82"/>
      <w:r>
        <w:rPr>
          <w:rFonts w:hint="eastAsia" w:ascii="Times New Roman" w:hAnsi="Times New Roman" w:eastAsia="仿宋_GB2312" w:cs="Times New Roman"/>
          <w:color w:val="000000"/>
          <w:spacing w:val="-2"/>
          <w:kern w:val="0"/>
          <w:sz w:val="32"/>
          <w:szCs w:val="32"/>
          <w:lang w:val="en-US" w:eastAsia="zh-CN" w:bidi="ar-SA"/>
        </w:rPr>
        <w:t>化解重大风险提供有力支撑。</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14" w:name="_Toc15435"/>
      <w:bookmarkStart w:id="15" w:name="_Toc16596"/>
      <w:r>
        <w:rPr>
          <w:rFonts w:hint="eastAsia" w:ascii="黑体" w:hAnsi="黑体" w:eastAsia="黑体" w:cs="黑体"/>
          <w:b w:val="0"/>
          <w:bCs w:val="0"/>
        </w:rPr>
        <w:t>（三）发展目标</w:t>
      </w:r>
      <w:bookmarkEnd w:id="14"/>
      <w:bookmarkEnd w:id="15"/>
    </w:p>
    <w:p>
      <w:pPr>
        <w:adjustRightInd w:val="0"/>
        <w:snapToGrid w:val="0"/>
        <w:spacing w:line="600" w:lineRule="exact"/>
        <w:ind w:firstLine="632"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仿宋_GB2312" w:cs="Times New Roman"/>
          <w:color w:val="000000"/>
          <w:spacing w:val="-2"/>
          <w:kern w:val="0"/>
          <w:sz w:val="32"/>
          <w:szCs w:val="32"/>
          <w:lang w:val="en-US" w:eastAsia="zh-CN" w:bidi="ar-SA"/>
        </w:rPr>
        <w:t>到2025年，基本建成集约高效、内联外通、创新融合、智能绿色、安全可控的现代物流体系，物流社会化、专业化、组织化水平进一步提升，国家物流枢纽建设稳步推进，物流基础设施及运作方式衔接更加顺畅，物流整体运行效率和服务质量明显提高，形成一批具有鲜明特色的物流企业和服务品牌，物流业对经济社会的支撑保障作用显著增强。</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国家物流枢纽为骨干的网络建设取得突破。</w:t>
      </w:r>
      <w:r>
        <w:rPr>
          <w:rFonts w:hint="eastAsia" w:ascii="Times New Roman" w:hAnsi="Times New Roman" w:eastAsia="仿宋_GB2312" w:cs="Times New Roman"/>
          <w:color w:val="000000"/>
          <w:spacing w:val="-2"/>
          <w:kern w:val="0"/>
          <w:sz w:val="32"/>
          <w:szCs w:val="32"/>
          <w:lang w:val="en-US" w:eastAsia="zh-CN" w:bidi="ar-SA"/>
        </w:rPr>
        <w:t>形成以国家物流枢纽为骨干、地方物流枢纽和特色物流集聚中心为支撑的网络体系。统筹商贸服务型国家物流枢纽项目建设，争取纳入国家物流枢纽年度建设名单。优化布局一批地方物流枢纽、现代物流集聚中心和县域物流基地。推进保税物流项目建设。县乡村三级物流配送体系不断健全。应急物流储备充足、反应迅速，抗冲击能力不断增强。</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物流降本增效取得新突破。</w:t>
      </w:r>
      <w:r>
        <w:rPr>
          <w:rFonts w:hint="eastAsia" w:ascii="Times New Roman" w:hAnsi="Times New Roman" w:eastAsia="仿宋_GB2312" w:cs="Times New Roman"/>
          <w:color w:val="000000"/>
          <w:spacing w:val="-2"/>
          <w:kern w:val="0"/>
          <w:sz w:val="32"/>
          <w:szCs w:val="32"/>
          <w:lang w:val="en-US" w:eastAsia="zh-CN" w:bidi="ar-SA"/>
        </w:rPr>
        <w:t>物流服务效率和质量不断提升，工业物流费用率进一步降低，社会物流总费用占GDP比重保持低于全区平均水平。货物运输结构明显优化，大宗货物“公转铁、公转水”取得新成效。多式联运、网络货运、无车承运、托盘运输、集装箱运输、甩挂运输等新业态新模式加快发展，高铁物流、航空物流、冷链物流等服务品质明显提升。</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物流主体服务能力明显增强。</w:t>
      </w:r>
      <w:r>
        <w:rPr>
          <w:rFonts w:hint="eastAsia" w:ascii="Times New Roman" w:hAnsi="Times New Roman" w:eastAsia="仿宋_GB2312" w:cs="Times New Roman"/>
          <w:color w:val="000000"/>
          <w:spacing w:val="-2"/>
          <w:kern w:val="0"/>
          <w:sz w:val="32"/>
          <w:szCs w:val="32"/>
          <w:lang w:val="en-US" w:eastAsia="zh-CN" w:bidi="ar-SA"/>
        </w:rPr>
        <w:t>物流龙头企业和骨干企业数量显著增加，</w:t>
      </w:r>
      <w:r>
        <w:rPr>
          <w:rFonts w:hint="eastAsia" w:ascii="Times New Roman" w:hAnsi="Times New Roman" w:eastAsia="仿宋_GB2312" w:cs="Times New Roman"/>
          <w:color w:val="000000"/>
          <w:spacing w:val="-2"/>
          <w:kern w:val="0"/>
          <w:sz w:val="32"/>
          <w:szCs w:val="32"/>
          <w:u w:val="none"/>
          <w:lang w:val="en-US" w:eastAsia="zh-CN" w:bidi="ar-SA"/>
        </w:rPr>
        <w:t>全市A级以上物流企业达到10家，其中4A级以上物流企业2家</w:t>
      </w:r>
      <w:r>
        <w:rPr>
          <w:rFonts w:hint="eastAsia" w:ascii="Times New Roman" w:hAnsi="Times New Roman" w:eastAsia="仿宋_GB2312" w:cs="Times New Roman"/>
          <w:color w:val="000000"/>
          <w:spacing w:val="-2"/>
          <w:kern w:val="0"/>
          <w:sz w:val="32"/>
          <w:szCs w:val="32"/>
          <w:lang w:val="en-US" w:eastAsia="zh-CN" w:bidi="ar-SA"/>
        </w:rPr>
        <w:t>。新增1家国家物流枢纽。物流业与制造业、商贸业深度融合发展，打造一批物流业与制造业深度融合创新发展示范企业。</w:t>
      </w:r>
    </w:p>
    <w:p>
      <w:pPr>
        <w:pStyle w:val="2"/>
        <w:adjustRightInd w:val="0"/>
        <w:snapToGrid w:val="0"/>
        <w:spacing w:line="600" w:lineRule="exact"/>
        <w:ind w:firstLine="643" w:firstLineChars="200"/>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lang w:val="en-US" w:eastAsia="zh-CN" w:bidi="ar-SA"/>
        </w:rPr>
        <w:t>农产品冷链物流</w:t>
      </w:r>
      <w:r>
        <w:rPr>
          <w:rFonts w:hint="eastAsia" w:eastAsia="楷体_GB2312" w:cs="Times New Roman"/>
          <w:b/>
          <w:color w:val="000000"/>
          <w:kern w:val="2"/>
          <w:sz w:val="32"/>
          <w:szCs w:val="32"/>
          <w:lang w:val="en-US" w:eastAsia="zh-CN" w:bidi="ar-SA"/>
        </w:rPr>
        <w:t>和农村物流服务能力水平全面提升</w:t>
      </w:r>
      <w:r>
        <w:rPr>
          <w:rFonts w:hint="eastAsia" w:ascii="Times New Roman" w:hAnsi="Times New Roman" w:eastAsia="楷体_GB2312" w:cs="Times New Roman"/>
          <w:b/>
          <w:color w:val="000000"/>
          <w:kern w:val="2"/>
          <w:sz w:val="32"/>
          <w:szCs w:val="32"/>
          <w:lang w:val="en-US" w:eastAsia="zh-CN" w:bidi="ar-SA"/>
        </w:rPr>
        <w:t>。</w:t>
      </w:r>
      <w:r>
        <w:rPr>
          <w:rFonts w:hint="eastAsia" w:ascii="Times New Roman" w:hAnsi="Times New Roman" w:eastAsia="仿宋_GB2312" w:cs="Times New Roman"/>
          <w:color w:val="000000"/>
          <w:spacing w:val="-2"/>
          <w:kern w:val="0"/>
          <w:sz w:val="32"/>
          <w:szCs w:val="32"/>
          <w:lang w:val="en-US" w:eastAsia="zh-CN" w:bidi="ar-SA"/>
        </w:rPr>
        <w:t>建立“从田头到餐桌”的一体化冷链物流网络，</w:t>
      </w:r>
      <w:r>
        <w:rPr>
          <w:rFonts w:hint="eastAsia" w:ascii="Times New Roman" w:hAnsi="Times New Roman" w:eastAsia="仿宋_GB2312" w:cs="Times New Roman"/>
          <w:color w:val="000000"/>
          <w:spacing w:val="-2"/>
          <w:kern w:val="0"/>
          <w:sz w:val="32"/>
          <w:szCs w:val="32"/>
          <w:u w:val="none"/>
          <w:lang w:val="en-US" w:eastAsia="zh-CN" w:bidi="ar-SA"/>
        </w:rPr>
        <w:t>建成 1 个农产品骨干冷链物流基地，升级建设 20 个农产品产地市场、300 个地头农产品仓储保鲜设施</w:t>
      </w:r>
      <w:r>
        <w:rPr>
          <w:rFonts w:hint="eastAsia" w:ascii="Times New Roman" w:hAnsi="Times New Roman" w:eastAsia="仿宋_GB2312" w:cs="Times New Roman"/>
          <w:color w:val="000000"/>
          <w:spacing w:val="-2"/>
          <w:kern w:val="0"/>
          <w:sz w:val="32"/>
          <w:szCs w:val="32"/>
          <w:lang w:val="en-US" w:eastAsia="zh-CN" w:bidi="ar-SA"/>
        </w:rPr>
        <w:t>。</w:t>
      </w:r>
      <w:r>
        <w:rPr>
          <w:rFonts w:hint="eastAsia" w:ascii="Times New Roman" w:hAnsi="Times New Roman" w:eastAsia="仿宋_GB2312" w:cs="Times New Roman"/>
          <w:color w:val="000000"/>
          <w:spacing w:val="-2"/>
          <w:kern w:val="0"/>
          <w:sz w:val="32"/>
          <w:szCs w:val="32"/>
          <w:u w:val="none"/>
        </w:rPr>
        <w:t>全面建成布局合理、设施先进、链条完整的农村物流体系，实现快递“送上门”、冷链“通地头”、电商“全覆盖”、物流“一张网”，农村物流供给能力和服务质量达到</w:t>
      </w:r>
      <w:r>
        <w:rPr>
          <w:rFonts w:hint="eastAsia" w:ascii="Times New Roman" w:hAnsi="Times New Roman" w:eastAsia="仿宋_GB2312" w:cs="Times New Roman"/>
          <w:color w:val="000000"/>
          <w:spacing w:val="-2"/>
          <w:kern w:val="0"/>
          <w:sz w:val="32"/>
          <w:szCs w:val="32"/>
          <w:u w:val="none"/>
          <w:lang w:val="en-US" w:eastAsia="zh-CN"/>
        </w:rPr>
        <w:t>全国</w:t>
      </w:r>
      <w:r>
        <w:rPr>
          <w:rFonts w:hint="eastAsia" w:ascii="Times New Roman" w:hAnsi="Times New Roman" w:eastAsia="仿宋_GB2312" w:cs="Times New Roman"/>
          <w:color w:val="000000"/>
          <w:spacing w:val="-2"/>
          <w:kern w:val="0"/>
          <w:sz w:val="32"/>
          <w:szCs w:val="32"/>
          <w:u w:val="none"/>
        </w:rPr>
        <w:t>一流水平</w:t>
      </w:r>
      <w:r>
        <w:rPr>
          <w:rFonts w:hint="eastAsia" w:ascii="Times New Roman" w:hAnsi="Times New Roman" w:eastAsia="仿宋_GB2312" w:cs="Times New Roman"/>
          <w:color w:val="000000"/>
          <w:spacing w:val="-2"/>
          <w:kern w:val="0"/>
          <w:sz w:val="32"/>
          <w:szCs w:val="32"/>
        </w:rPr>
        <w:t>。</w:t>
      </w:r>
    </w:p>
    <w:p>
      <w:pPr>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物流供应链保障能力明显增强。</w:t>
      </w:r>
      <w:r>
        <w:rPr>
          <w:rFonts w:hint="eastAsia" w:ascii="Times New Roman" w:hAnsi="Times New Roman" w:eastAsia="仿宋_GB2312" w:cs="Times New Roman"/>
          <w:color w:val="000000"/>
          <w:spacing w:val="-2"/>
          <w:kern w:val="0"/>
          <w:sz w:val="32"/>
          <w:szCs w:val="32"/>
          <w:lang w:val="en-US" w:eastAsia="zh-CN" w:bidi="ar-SA"/>
        </w:rPr>
        <w:t>统筹疫情防控、保通保畅、安全生产，促进产业链供应链稳定，保障民生物资和重要生产物资运输畅通，努力实现“民生托底、货运畅通、产业循环”，为维护人民群众正常生产生活秩序和经济社会持续稳定运行提供坚强有力保障。</w:t>
      </w:r>
    </w:p>
    <w:p>
      <w:pPr>
        <w:adjustRightInd w:val="0"/>
        <w:snapToGrid w:val="0"/>
        <w:spacing w:line="600" w:lineRule="exact"/>
        <w:ind w:firstLine="632" w:firstLineChars="200"/>
        <w:jc w:val="both"/>
      </w:pPr>
      <w:r>
        <w:rPr>
          <w:rFonts w:hint="eastAsia" w:ascii="Times New Roman" w:hAnsi="Times New Roman" w:eastAsia="仿宋_GB2312" w:cs="Times New Roman"/>
          <w:color w:val="000000"/>
          <w:spacing w:val="-2"/>
          <w:kern w:val="0"/>
          <w:sz w:val="32"/>
          <w:szCs w:val="32"/>
          <w:lang w:val="en-US" w:eastAsia="zh-CN" w:bidi="ar-SA"/>
        </w:rPr>
        <w:t>到2035年，建成智慧、绿色、安全、高效的“通道+枢纽+网络”现代物流运行体系，形成对接粤港澳大湾区、长江经济带，服务RCEP的区域性商贸物流组织中心，成为更大范围、更宽领域、更深层次全方位开放合作的新高地。　</w:t>
      </w:r>
      <w:r>
        <w:rPr>
          <w:rFonts w:hint="eastAsia" w:ascii="仿宋_GB2312" w:hAnsi="仿宋_GB2312" w:eastAsia="仿宋_GB2312" w:cs="仿宋_GB2312"/>
          <w:color w:val="000000"/>
          <w:sz w:val="32"/>
          <w:szCs w:val="32"/>
        </w:rPr>
        <w:t>　</w:t>
      </w:r>
    </w:p>
    <w:p>
      <w:pPr>
        <w:adjustRightInd w:val="0"/>
        <w:snapToGrid w:val="0"/>
        <w:spacing w:line="600" w:lineRule="exact"/>
        <w:ind w:firstLine="551" w:firstLineChars="196"/>
        <w:jc w:val="center"/>
        <w:rPr>
          <w:rFonts w:ascii="方正仿宋_GB2312" w:hAnsi="方正仿宋_GB2312" w:eastAsia="方正仿宋_GB2312" w:cs="方正仿宋_GB2312"/>
          <w:b/>
          <w:bCs/>
          <w:color w:val="FF0000"/>
          <w:sz w:val="28"/>
          <w:szCs w:val="28"/>
        </w:rPr>
      </w:pPr>
      <w:r>
        <w:rPr>
          <w:rFonts w:hint="eastAsia" w:ascii="方正仿宋_GB2312" w:hAnsi="方正仿宋_GB2312" w:eastAsia="方正仿宋_GB2312" w:cs="方正仿宋_GB2312"/>
          <w:b/>
          <w:bCs/>
          <w:sz w:val="28"/>
          <w:szCs w:val="28"/>
        </w:rPr>
        <w:t>表3</w:t>
      </w:r>
      <w:r>
        <w:rPr>
          <w:rFonts w:ascii="方正仿宋_GB2312" w:hAnsi="方正仿宋_GB2312" w:eastAsia="方正仿宋_GB2312" w:cs="方正仿宋_GB2312"/>
          <w:b/>
          <w:bCs/>
          <w:sz w:val="28"/>
          <w:szCs w:val="28"/>
        </w:rPr>
        <w:t xml:space="preserve"> </w:t>
      </w:r>
      <w:r>
        <w:rPr>
          <w:rFonts w:hint="eastAsia" w:ascii="方正仿宋_GB2312" w:hAnsi="方正仿宋_GB2312" w:eastAsia="方正仿宋_GB2312" w:cs="方正仿宋_GB2312"/>
          <w:b/>
          <w:bCs/>
          <w:sz w:val="28"/>
          <w:szCs w:val="28"/>
        </w:rPr>
        <w:t xml:space="preserve"> </w:t>
      </w:r>
      <w:r>
        <w:rPr>
          <w:rFonts w:ascii="方正仿宋_GB2312" w:hAnsi="方正仿宋_GB2312" w:eastAsia="方正仿宋_GB2312" w:cs="方正仿宋_GB2312"/>
          <w:b/>
          <w:bCs/>
          <w:sz w:val="28"/>
          <w:szCs w:val="28"/>
          <w:u w:val="none"/>
        </w:rPr>
        <w:t>“</w:t>
      </w:r>
      <w:r>
        <w:rPr>
          <w:rFonts w:hint="eastAsia" w:ascii="方正仿宋_GB2312" w:hAnsi="方正仿宋_GB2312" w:eastAsia="方正仿宋_GB2312" w:cs="方正仿宋_GB2312"/>
          <w:b/>
          <w:bCs/>
          <w:sz w:val="28"/>
          <w:szCs w:val="28"/>
          <w:u w:val="none"/>
        </w:rPr>
        <w:t>十四五</w:t>
      </w:r>
      <w:r>
        <w:rPr>
          <w:rFonts w:ascii="方正仿宋_GB2312" w:hAnsi="方正仿宋_GB2312" w:eastAsia="方正仿宋_GB2312" w:cs="方正仿宋_GB2312"/>
          <w:b/>
          <w:bCs/>
          <w:sz w:val="28"/>
          <w:szCs w:val="28"/>
          <w:u w:val="none"/>
        </w:rPr>
        <w:t>”</w:t>
      </w:r>
      <w:r>
        <w:rPr>
          <w:rFonts w:hint="eastAsia" w:ascii="方正仿宋_GB2312" w:hAnsi="方正仿宋_GB2312" w:eastAsia="方正仿宋_GB2312" w:cs="方正仿宋_GB2312"/>
          <w:b/>
          <w:bCs/>
          <w:sz w:val="28"/>
          <w:szCs w:val="28"/>
          <w:u w:val="none"/>
        </w:rPr>
        <w:t>桂林物流业发展主要指标</w:t>
      </w:r>
    </w:p>
    <w:tbl>
      <w:tblPr>
        <w:tblStyle w:val="29"/>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4"/>
        <w:gridCol w:w="1198"/>
        <w:gridCol w:w="1613"/>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4" w:type="dxa"/>
            <w:vAlign w:val="center"/>
          </w:tcPr>
          <w:p>
            <w:pPr>
              <w:adjustRightInd w:val="0"/>
              <w:snapToGrid w:val="0"/>
              <w:jc w:val="center"/>
              <w:rPr>
                <w:rFonts w:ascii="方正仿宋_GB2312" w:hAnsi="方正仿宋_GB2312" w:eastAsia="方正仿宋_GB2312" w:cs="方正仿宋_GB2312"/>
                <w:b/>
                <w:bCs/>
              </w:rPr>
            </w:pPr>
            <w:r>
              <w:rPr>
                <w:rFonts w:hint="eastAsia" w:ascii="方正仿宋_GB2312" w:hAnsi="方正仿宋_GB2312" w:eastAsia="方正仿宋_GB2312" w:cs="方正仿宋_GB2312"/>
                <w:b/>
                <w:bCs/>
              </w:rPr>
              <w:t>指标</w:t>
            </w:r>
          </w:p>
        </w:tc>
        <w:tc>
          <w:tcPr>
            <w:tcW w:w="1198" w:type="dxa"/>
            <w:vAlign w:val="center"/>
          </w:tcPr>
          <w:p>
            <w:pPr>
              <w:adjustRightInd w:val="0"/>
              <w:snapToGrid w:val="0"/>
              <w:jc w:val="center"/>
              <w:rPr>
                <w:rFonts w:ascii="方正仿宋_GB2312" w:hAnsi="方正仿宋_GB2312" w:eastAsia="方正仿宋_GB2312" w:cs="方正仿宋_GB2312"/>
                <w:b/>
                <w:bCs/>
              </w:rPr>
            </w:pPr>
            <w:r>
              <w:rPr>
                <w:rFonts w:hint="eastAsia" w:ascii="方正仿宋_GB2312" w:hAnsi="方正仿宋_GB2312" w:eastAsia="方正仿宋_GB2312" w:cs="方正仿宋_GB2312"/>
                <w:b/>
                <w:bCs/>
              </w:rPr>
              <w:t>2</w:t>
            </w:r>
            <w:r>
              <w:rPr>
                <w:rFonts w:ascii="方正仿宋_GB2312" w:hAnsi="方正仿宋_GB2312" w:eastAsia="方正仿宋_GB2312" w:cs="方正仿宋_GB2312"/>
                <w:b/>
                <w:bCs/>
              </w:rPr>
              <w:t>020</w:t>
            </w:r>
            <w:r>
              <w:rPr>
                <w:rFonts w:hint="eastAsia" w:ascii="方正仿宋_GB2312" w:hAnsi="方正仿宋_GB2312" w:eastAsia="方正仿宋_GB2312" w:cs="方正仿宋_GB2312"/>
                <w:b/>
                <w:bCs/>
              </w:rPr>
              <w:t>年基数</w:t>
            </w:r>
          </w:p>
        </w:tc>
        <w:tc>
          <w:tcPr>
            <w:tcW w:w="1613" w:type="dxa"/>
            <w:vAlign w:val="center"/>
          </w:tcPr>
          <w:p>
            <w:pPr>
              <w:adjustRightInd w:val="0"/>
              <w:snapToGrid w:val="0"/>
              <w:jc w:val="center"/>
              <w:rPr>
                <w:rFonts w:ascii="方正仿宋_GB2312" w:hAnsi="方正仿宋_GB2312" w:eastAsia="方正仿宋_GB2312" w:cs="方正仿宋_GB2312"/>
                <w:b/>
                <w:bCs/>
              </w:rPr>
            </w:pPr>
            <w:r>
              <w:rPr>
                <w:rFonts w:hint="eastAsia" w:ascii="方正仿宋_GB2312" w:hAnsi="方正仿宋_GB2312" w:eastAsia="方正仿宋_GB2312" w:cs="方正仿宋_GB2312"/>
                <w:b/>
                <w:bCs/>
              </w:rPr>
              <w:t>2</w:t>
            </w:r>
            <w:r>
              <w:rPr>
                <w:rFonts w:ascii="方正仿宋_GB2312" w:hAnsi="方正仿宋_GB2312" w:eastAsia="方正仿宋_GB2312" w:cs="方正仿宋_GB2312"/>
                <w:b/>
                <w:bCs/>
              </w:rPr>
              <w:t>025</w:t>
            </w:r>
            <w:r>
              <w:rPr>
                <w:rFonts w:hint="eastAsia" w:ascii="方正仿宋_GB2312" w:hAnsi="方正仿宋_GB2312" w:eastAsia="方正仿宋_GB2312" w:cs="方正仿宋_GB2312"/>
                <w:b/>
                <w:bCs/>
              </w:rPr>
              <w:t>年</w:t>
            </w:r>
          </w:p>
          <w:p>
            <w:pPr>
              <w:adjustRightInd w:val="0"/>
              <w:snapToGrid w:val="0"/>
              <w:jc w:val="center"/>
              <w:rPr>
                <w:rFonts w:ascii="方正仿宋_GB2312" w:hAnsi="方正仿宋_GB2312" w:eastAsia="方正仿宋_GB2312" w:cs="方正仿宋_GB2312"/>
                <w:b/>
                <w:bCs/>
              </w:rPr>
            </w:pPr>
            <w:r>
              <w:rPr>
                <w:rFonts w:hint="eastAsia" w:ascii="方正仿宋_GB2312" w:hAnsi="方正仿宋_GB2312" w:eastAsia="方正仿宋_GB2312" w:cs="方正仿宋_GB2312"/>
                <w:b/>
                <w:bCs/>
              </w:rPr>
              <w:t>目标</w:t>
            </w:r>
          </w:p>
        </w:tc>
        <w:tc>
          <w:tcPr>
            <w:tcW w:w="1071" w:type="dxa"/>
            <w:vAlign w:val="center"/>
          </w:tcPr>
          <w:p>
            <w:pPr>
              <w:adjustRightInd w:val="0"/>
              <w:snapToGrid w:val="0"/>
              <w:jc w:val="center"/>
              <w:rPr>
                <w:rFonts w:ascii="方正仿宋_GB2312" w:hAnsi="方正仿宋_GB2312" w:eastAsia="方正仿宋_GB2312" w:cs="方正仿宋_GB2312"/>
                <w:b/>
                <w:bCs/>
              </w:rPr>
            </w:pPr>
            <w:r>
              <w:rPr>
                <w:rFonts w:hint="eastAsia" w:ascii="方正仿宋_GB2312" w:hAnsi="方正仿宋_GB2312" w:eastAsia="方正仿宋_GB2312" w:cs="方正仿宋_GB2312"/>
                <w:b/>
                <w:bCs/>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6" w:type="dxa"/>
            <w:gridSpan w:val="4"/>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物流体系（</w:t>
            </w:r>
            <w:r>
              <w:rPr>
                <w:rFonts w:ascii="方正仿宋_GB2312" w:hAnsi="方正仿宋_GB2312" w:eastAsia="方正仿宋_GB2312" w:cs="方正仿宋_GB2312"/>
              </w:rPr>
              <w:t>3</w:t>
            </w:r>
            <w:r>
              <w:rPr>
                <w:rFonts w:hint="eastAsia" w:ascii="方正仿宋_GB2312" w:hAnsi="方正仿宋_GB2312" w:eastAsia="方正仿宋_GB2312" w:cs="方正仿宋_GB231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国家物流枢纽（家）</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0</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1</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自治区级示范物流园区（家）</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1</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ascii="方正仿宋_GB2312" w:hAnsi="方正仿宋_GB2312" w:eastAsia="方正仿宋_GB2312" w:cs="方正仿宋_GB2312"/>
              </w:rPr>
              <w:t>≥</w:t>
            </w:r>
            <w:r>
              <w:rPr>
                <w:rFonts w:hint="eastAsia" w:ascii="方正仿宋_GB2312" w:hAnsi="方正仿宋_GB2312" w:eastAsia="方正仿宋_GB2312" w:cs="方正仿宋_GB2312"/>
              </w:rPr>
              <w:t>3</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农产品骨干冷链物流基地（家）</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0</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1</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6" w:type="dxa"/>
            <w:gridSpan w:val="4"/>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物流服务（5项）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货物运输总量（万吨）</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9</w:t>
            </w:r>
            <w:r>
              <w:rPr>
                <w:rFonts w:ascii="方正仿宋_GB2312" w:hAnsi="方正仿宋_GB2312" w:eastAsia="方正仿宋_GB2312" w:cs="方正仿宋_GB2312"/>
              </w:rPr>
              <w:t>732</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1</w:t>
            </w:r>
            <w:r>
              <w:rPr>
                <w:rFonts w:ascii="方正仿宋_GB2312" w:hAnsi="方正仿宋_GB2312" w:eastAsia="方正仿宋_GB2312" w:cs="方正仿宋_GB2312"/>
              </w:rPr>
              <w:t>5000</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冷库库容（万吨）</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10</w:t>
            </w:r>
            <w:r>
              <w:rPr>
                <w:rFonts w:ascii="方正仿宋_GB2312" w:hAnsi="方正仿宋_GB2312" w:eastAsia="方正仿宋_GB2312" w:cs="方正仿宋_GB2312"/>
              </w:rPr>
              <w:t>.91</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21</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升级农产品产地市场（个）</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20</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升级地头农产品仓储保鲜设施（个）</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300</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社会物流总费用与</w:t>
            </w:r>
            <w:r>
              <w:rPr>
                <w:rFonts w:ascii="方正仿宋_GB2312" w:hAnsi="方正仿宋_GB2312" w:eastAsia="方正仿宋_GB2312" w:cs="方正仿宋_GB2312"/>
              </w:rPr>
              <w:t>GDP的比率（%）</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13.8</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保持低于全区平均水平</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6" w:type="dxa"/>
            <w:gridSpan w:val="4"/>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物流市场主体（2项）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4" w:type="dxa"/>
            <w:vMerge w:val="restart"/>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A级以上物流企业（家）</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 xml:space="preserve">   其中：4A级以上物流企业（家）</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3</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10</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4" w:type="dxa"/>
            <w:vMerge w:val="continue"/>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1</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val="en-US" w:eastAsia="zh-CN"/>
              </w:rPr>
              <w:t>2</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bl>
    <w:p>
      <w:pPr>
        <w:pStyle w:val="5"/>
        <w:adjustRightInd w:val="0"/>
        <w:snapToGrid w:val="0"/>
        <w:spacing w:before="0" w:after="0" w:line="600" w:lineRule="exact"/>
        <w:ind w:firstLine="640" w:firstLineChars="200"/>
        <w:rPr>
          <w:rFonts w:hint="eastAsia" w:ascii="黑体" w:hAnsi="黑体" w:eastAsia="黑体" w:cs="黑体"/>
          <w:b w:val="0"/>
          <w:bCs w:val="0"/>
        </w:rPr>
      </w:pPr>
      <w:bookmarkStart w:id="16" w:name="_Toc6126"/>
      <w:bookmarkStart w:id="17" w:name="_Toc7995"/>
      <w:r>
        <w:rPr>
          <w:rFonts w:hint="eastAsia" w:ascii="黑体" w:hAnsi="黑体" w:eastAsia="黑体" w:cs="黑体"/>
          <w:b w:val="0"/>
          <w:bCs w:val="0"/>
        </w:rPr>
        <w:t>（四）空间布局</w:t>
      </w:r>
      <w:bookmarkEnd w:id="16"/>
      <w:bookmarkEnd w:id="17"/>
    </w:p>
    <w:p>
      <w:pPr>
        <w:adjustRightInd w:val="0"/>
        <w:snapToGrid w:val="0"/>
        <w:spacing w:line="600" w:lineRule="exact"/>
        <w:ind w:firstLine="632"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仿宋_GB2312" w:cs="Times New Roman"/>
          <w:color w:val="000000"/>
          <w:spacing w:val="-2"/>
          <w:kern w:val="0"/>
          <w:sz w:val="32"/>
          <w:szCs w:val="32"/>
          <w:lang w:val="en-US" w:eastAsia="zh-CN" w:bidi="ar-SA"/>
        </w:rPr>
        <w:t>围绕构建新发展格局及广西“东融”新高地、“北联”主阵地的全方位开放发展新格局，推进形成“内外联通”物流通道布局和以商贸服务型国家物流枢纽为核心的物流要素布局，明确城市物流功能定位。</w:t>
      </w:r>
    </w:p>
    <w:p>
      <w:pPr>
        <w:adjustRightInd w:val="0"/>
        <w:snapToGrid w:val="0"/>
        <w:spacing w:line="600" w:lineRule="atLeast"/>
        <w:ind w:firstLine="643" w:firstLineChars="200"/>
        <w:rPr>
          <w:rFonts w:ascii="方正仿宋_GB2312" w:hAnsi="方正仿宋_GB2312" w:eastAsia="方正仿宋_GB2312" w:cs="方正仿宋_GB2312"/>
          <w:b/>
          <w:bCs/>
          <w:kern w:val="2"/>
          <w:sz w:val="32"/>
          <w:szCs w:val="32"/>
        </w:rPr>
      </w:pPr>
      <w:bookmarkStart w:id="18" w:name="_Toc21757"/>
      <w:r>
        <w:rPr>
          <w:rFonts w:hint="eastAsia" w:ascii="方正仿宋_GB2312" w:hAnsi="方正仿宋_GB2312" w:eastAsia="方正仿宋_GB2312" w:cs="方正仿宋_GB2312"/>
          <w:b/>
          <w:bCs/>
          <w:kern w:val="2"/>
          <w:sz w:val="32"/>
          <w:szCs w:val="32"/>
        </w:rPr>
        <w:t>1.物流通道布局</w:t>
      </w:r>
      <w:bookmarkEnd w:id="18"/>
    </w:p>
    <w:p>
      <w:pPr>
        <w:adjustRightInd w:val="0"/>
        <w:snapToGrid w:val="0"/>
        <w:spacing w:line="600" w:lineRule="atLeas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南北联通物流通道。</w:t>
      </w:r>
      <w:r>
        <w:rPr>
          <w:rFonts w:hint="eastAsia" w:ascii="Times New Roman" w:hAnsi="Times New Roman" w:eastAsia="仿宋_GB2312" w:cs="Times New Roman"/>
          <w:color w:val="000000"/>
          <w:spacing w:val="-2"/>
          <w:kern w:val="0"/>
          <w:sz w:val="32"/>
          <w:szCs w:val="32"/>
          <w:lang w:val="en-US" w:eastAsia="zh-CN" w:bidi="ar-SA"/>
        </w:rPr>
        <w:t>依托焦柳铁路、黔桂铁路、G72泉南高速、G75兰海高速等干线，发挥联南接北的区位优势，完善公铁联运网络，加快桂北湘南物流中心建设，谋划桂粤黔湘高铁枢纽物流中心，衔接北部湾港口群，增强打通中部地区南向东盟、东南亚的国际贸易大通道的能力，建设西部陆海新通道南北物流大通道，服务湘桂经济走廊建设。</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东西联动物流通道。</w:t>
      </w:r>
      <w:r>
        <w:rPr>
          <w:rFonts w:hint="eastAsia" w:ascii="Times New Roman" w:hAnsi="Times New Roman" w:eastAsia="仿宋_GB2312" w:cs="Times New Roman"/>
          <w:color w:val="000000"/>
          <w:spacing w:val="-2"/>
          <w:kern w:val="0"/>
          <w:sz w:val="32"/>
          <w:szCs w:val="32"/>
          <w:lang w:val="en-US" w:eastAsia="zh-CN" w:bidi="ar-SA"/>
        </w:rPr>
        <w:t>依托贵广铁路、G80广昆高速等，发挥承东启西、跨江融合优势，推动桂林-贺州-肇庆、荔浦-平乐-贺州-韶关等铁路建设，尽快开展洛清江复航工程（苏桥至柳江河口）、平乐桂江高等级航道升级改造、湘桂运河规划和项目前期工作，打造高水平的粤桂湘黔四省（区）产业合作平台和先进生产力承接地，构建面向粤港澳大湾区、接驳西部的东西联动物流大通道。</w:t>
      </w:r>
    </w:p>
    <w:p>
      <w:pPr>
        <w:numPr>
          <w:ilvl w:val="255"/>
          <w:numId w:val="0"/>
        </w:num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空中立体通道。</w:t>
      </w:r>
      <w:r>
        <w:rPr>
          <w:rFonts w:hint="eastAsia" w:ascii="Times New Roman" w:hAnsi="Times New Roman" w:eastAsia="仿宋_GB2312" w:cs="Times New Roman"/>
          <w:color w:val="000000"/>
          <w:spacing w:val="-2"/>
          <w:kern w:val="0"/>
          <w:sz w:val="32"/>
          <w:szCs w:val="32"/>
          <w:lang w:val="en-US" w:eastAsia="zh-CN" w:bidi="ar-SA"/>
        </w:rPr>
        <w:t>依托两江国际机场枢纽，发挥综合交通优势和国际旅游城市优势，吸引高端要素集聚，积极发展航空物流，打造广西临空经济发展的重要增长极，提升国内国际航空货运，构建起立体化、强辐射的空陆协同物流大通道。</w:t>
      </w:r>
    </w:p>
    <w:p>
      <w:pPr>
        <w:numPr>
          <w:ilvl w:val="255"/>
          <w:numId w:val="0"/>
        </w:numPr>
        <w:adjustRightInd w:val="0"/>
        <w:snapToGrid w:val="0"/>
        <w:spacing w:line="600" w:lineRule="exact"/>
        <w:ind w:firstLine="643" w:firstLineChars="200"/>
        <w:jc w:val="both"/>
        <w:rPr>
          <w:rFonts w:ascii="方正仿宋_GB2312" w:hAnsi="方正仿宋_GB2312" w:eastAsia="方正仿宋_GB2312" w:cs="方正仿宋_GB2312"/>
          <w:b/>
          <w:bCs/>
          <w:sz w:val="32"/>
          <w:szCs w:val="32"/>
        </w:rPr>
      </w:pPr>
      <w:bookmarkStart w:id="19" w:name="_Toc18266"/>
      <w:r>
        <w:rPr>
          <w:rFonts w:hint="eastAsia" w:ascii="方正仿宋_GB2312" w:hAnsi="方正仿宋_GB2312" w:eastAsia="方正仿宋_GB2312" w:cs="方正仿宋_GB2312"/>
          <w:b/>
          <w:bCs/>
          <w:sz w:val="32"/>
          <w:szCs w:val="32"/>
        </w:rPr>
        <w:t>2.物流空间布局</w:t>
      </w:r>
      <w:bookmarkEnd w:id="19"/>
    </w:p>
    <w:p>
      <w:pPr>
        <w:numPr>
          <w:ilvl w:val="255"/>
          <w:numId w:val="0"/>
        </w:numPr>
        <w:adjustRightInd w:val="0"/>
        <w:snapToGrid w:val="0"/>
        <w:spacing w:line="600" w:lineRule="exact"/>
        <w:ind w:firstLine="632"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仿宋_GB2312" w:cs="Times New Roman"/>
          <w:color w:val="000000"/>
          <w:spacing w:val="-2"/>
          <w:kern w:val="0"/>
          <w:sz w:val="32"/>
          <w:szCs w:val="32"/>
          <w:lang w:val="en-US" w:eastAsia="zh-CN" w:bidi="ar-SA"/>
        </w:rPr>
        <w:t>按照区位交通条件和资源要素禀赋，构建以商贸服务型国家物流枢纽为核心，以桂北湘南物流中心、桂林南部物流中心为副中心，以公铁联运物流、公水联运物流、空港物流、电商快递物流等4大物流集聚区为支撑，各县域为节点的“一核两副四区多节点”的物流空间布局。</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一核。</w:t>
      </w:r>
      <w:r>
        <w:rPr>
          <w:rFonts w:hint="eastAsia" w:ascii="Times New Roman" w:hAnsi="Times New Roman" w:eastAsia="仿宋_GB2312" w:cs="Times New Roman"/>
          <w:color w:val="000000"/>
          <w:spacing w:val="-2"/>
          <w:kern w:val="0"/>
          <w:sz w:val="32"/>
          <w:szCs w:val="32"/>
          <w:lang w:val="en-US" w:eastAsia="zh-CN" w:bidi="ar-SA"/>
        </w:rPr>
        <w:t>按照区位条件良好、空间布局集约、存量设施优先、开放性公共性强、服务功能完善、统筹运营管理等原则，</w:t>
      </w:r>
      <w:r>
        <w:rPr>
          <w:rFonts w:hint="eastAsia" w:ascii="Times New Roman" w:hAnsi="Times New Roman" w:eastAsia="仿宋_GB2312" w:cs="Times New Roman"/>
          <w:color w:val="000000"/>
          <w:spacing w:val="-2"/>
          <w:kern w:val="0"/>
          <w:sz w:val="32"/>
          <w:szCs w:val="32"/>
          <w:u w:val="none"/>
          <w:lang w:val="en-US" w:eastAsia="zh-CN" w:bidi="ar-SA"/>
        </w:rPr>
        <w:t>以广西供应链服务集团桂林储运有限公司物流园为基础，联合宁铁东站冷链物流园，采用“1+1”模式整体建设桂林国家商贸服务型物流枢纽</w:t>
      </w:r>
      <w:r>
        <w:rPr>
          <w:rFonts w:hint="eastAsia" w:ascii="Times New Roman" w:hAnsi="Times New Roman" w:eastAsia="仿宋_GB2312" w:cs="Times New Roman"/>
          <w:color w:val="000000"/>
          <w:spacing w:val="-2"/>
          <w:kern w:val="0"/>
          <w:sz w:val="32"/>
          <w:szCs w:val="32"/>
          <w:lang w:val="en-US" w:eastAsia="zh-CN" w:bidi="ar-SA"/>
        </w:rPr>
        <w:t>。主要建设大宗商品商贸物流中心、区域分拨及配送中心、公铁联运转运中心和桂湘粤黔四省区交界地区域性农产品商贸物流中心。</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两副。</w:t>
      </w:r>
      <w:r>
        <w:rPr>
          <w:rFonts w:hint="eastAsia" w:ascii="Times New Roman" w:hAnsi="Times New Roman" w:eastAsia="仿宋_GB2312" w:cs="Times New Roman"/>
          <w:color w:val="000000"/>
          <w:spacing w:val="-2"/>
          <w:kern w:val="0"/>
          <w:sz w:val="32"/>
          <w:szCs w:val="32"/>
          <w:lang w:val="en-US" w:eastAsia="zh-CN" w:bidi="ar-SA"/>
        </w:rPr>
        <w:t>以全州、兴安为重点，辐射灌阳、资源和湘桂边界，着力发展粮食、果蔬、农资、食品、汽车零部件、饲料、建材、农产品等物流，全面融入自治区全方位开放发展新格局，对接长江经济带，建设桂北湘南物流中心。以平乐、荔浦为重点，辐射恭城、阳朔，着力发展钢材、石材、农产品、衣架、食品、电子产品、保税加工等生产性物流和电商快递、城乡配送等生活性物流，建设桂林南部东联物流中心。</w:t>
      </w:r>
    </w:p>
    <w:p>
      <w:pPr>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四区。</w:t>
      </w:r>
      <w:r>
        <w:rPr>
          <w:rFonts w:hint="eastAsia" w:ascii="Times New Roman" w:hAnsi="Times New Roman" w:eastAsia="仿宋_GB2312" w:cs="Times New Roman"/>
          <w:color w:val="000000"/>
          <w:spacing w:val="-2"/>
          <w:kern w:val="0"/>
          <w:sz w:val="32"/>
          <w:szCs w:val="32"/>
          <w:lang w:val="en-US" w:eastAsia="zh-CN" w:bidi="ar-SA"/>
        </w:rPr>
        <w:t xml:space="preserve">以桂林西物流中心为重点，集聚多式联运、区域性分拨、仓储、配送等物流要素，服务农资、钢材、粮油、饲料、汽车等大宗物资集散和集装箱货运、驮背运输、仓储加工、电商快递、农产品冷链、城市配送等，建设公铁联运物流集聚区。提升桂江航道等级，加快珠子洲物流园区建设，构建漓江、桂江、洛清江、湘桂运河水运网络，以大宗散货物流为重点，建设公水联运物流集聚区。依托两江国际机场和临空经济区，规划桂林空港物流产业园，服务高端制造业、国际旅游商品以及生鲜冷链，集聚航空物流、国际快递、跨境电商、保税物流等物流要素，建设海关监管仓库、出口拼装仓库、快件分拨仓库、临空物流基地以及航空物流信息平台和展贸平台，建设空港物流集聚区。以桂林中辰电商物流交易中心和申通物流园等电商创业园为重点，集聚电商和快递企业，建设现代化仓储、分拨、配送等设施，发展生产、商贸和居民生活的快递物流，形成电商—物流一体化供应链，建设电商物流要素集聚区。  </w:t>
      </w:r>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多节点。</w:t>
      </w:r>
      <w:r>
        <w:rPr>
          <w:rFonts w:hint="eastAsia" w:ascii="Times New Roman" w:hAnsi="Times New Roman" w:eastAsia="仿宋_GB2312" w:cs="Times New Roman"/>
          <w:color w:val="000000"/>
          <w:spacing w:val="-2"/>
          <w:kern w:val="0"/>
          <w:sz w:val="32"/>
          <w:szCs w:val="32"/>
          <w:lang w:val="en-US" w:eastAsia="zh-CN" w:bidi="ar-SA"/>
        </w:rPr>
        <w:t>依据各区域产业布局和发展定位，发挥比较优势，明确物流功能定位和发展重点。</w:t>
      </w:r>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——城区。</w:t>
      </w:r>
      <w:r>
        <w:rPr>
          <w:rFonts w:hint="eastAsia" w:ascii="Times New Roman" w:hAnsi="Times New Roman" w:eastAsia="仿宋_GB2312" w:cs="Times New Roman"/>
          <w:color w:val="000000"/>
          <w:spacing w:val="-2"/>
          <w:kern w:val="0"/>
          <w:sz w:val="32"/>
          <w:szCs w:val="32"/>
          <w:lang w:val="en-US" w:eastAsia="zh-CN" w:bidi="ar-SA"/>
        </w:rPr>
        <w:t>秀峰区强化分销配送、电商物流等服务功能，依托东西巷-中山中路老城商业中心和万象城琴潭商业中心，加快建设国投城市电商物流园，发展仓储物流、共同配送、电商运营等智慧物流。象山区强化分拨转运、分销配送、专业物流等服务功能，依托储运物流园、旅游批发城和万福广场，发展大宗商品物流、旅游商品物流等专业物流。叠彩区强化集拼集运、商贸物流等服务功能，发挥专业市场和物流基地集聚优势，发展城乡配送、专线物流、零担物流、信息服务等物流业态。七星区强化供应链管理、农产品集散分拨、电商快递等服务功能，大力促进物流业与制造业融合，创新第四方物流，提供制造业供应链整体解决方案。以五里店果蔬批发市场、东站冷链物流园等为基础，打造区域性农产品商贸物流中心。雁山区强化与其他县（区）物流协同，依托良丰产业基地、大学生创业产业基地、奇峰产业基地和桂阳公路旅游黄金大通道，培育发展智慧仓储、智慧中转、智能运输等现代物流。临桂区强化物流业与制造业、商贸业、农业融合，推动桂林通达综合物流园、HUB仓、桂林申通物流园等项目建设，支持桂林中辰电商物流交易中心升级发展，加快推进桂林空港物流园前期工作，发展制造业物流、电商快递、城市配送等业态。</w:t>
      </w:r>
    </w:p>
    <w:p>
      <w:pPr>
        <w:adjustRightInd w:val="0"/>
        <w:snapToGrid w:val="0"/>
        <w:spacing w:line="600" w:lineRule="exact"/>
        <w:ind w:firstLine="630" w:firstLineChars="196"/>
        <w:jc w:val="both"/>
        <w:rPr>
          <w:rFonts w:ascii="方正仿宋_GB2312" w:hAnsi="方正仿宋_GB2312" w:eastAsia="方正仿宋_GB2312" w:cs="方正仿宋_GB2312"/>
          <w:sz w:val="32"/>
          <w:szCs w:val="32"/>
        </w:rPr>
      </w:pPr>
      <w:r>
        <w:rPr>
          <w:rFonts w:hint="eastAsia" w:ascii="Times New Roman" w:hAnsi="Times New Roman" w:eastAsia="楷体_GB2312" w:cs="Times New Roman"/>
          <w:b/>
          <w:color w:val="000000"/>
          <w:kern w:val="2"/>
          <w:sz w:val="32"/>
          <w:szCs w:val="32"/>
          <w:lang w:eastAsia="zh-CN"/>
        </w:rPr>
        <w:t>——</w:t>
      </w:r>
      <w:r>
        <w:rPr>
          <w:rFonts w:hint="eastAsia" w:ascii="Times New Roman" w:hAnsi="Times New Roman" w:eastAsia="楷体_GB2312" w:cs="Times New Roman"/>
          <w:b/>
          <w:color w:val="000000"/>
          <w:kern w:val="2"/>
          <w:sz w:val="32"/>
          <w:szCs w:val="32"/>
        </w:rPr>
        <w:t>县域。</w:t>
      </w:r>
      <w:r>
        <w:rPr>
          <w:rFonts w:hint="eastAsia" w:ascii="Times New Roman" w:hAnsi="Times New Roman" w:eastAsia="仿宋_GB2312" w:cs="Times New Roman"/>
          <w:color w:val="000000"/>
          <w:spacing w:val="-2"/>
          <w:kern w:val="0"/>
          <w:sz w:val="32"/>
          <w:szCs w:val="32"/>
          <w:lang w:val="en-US" w:eastAsia="zh-CN" w:bidi="ar-SA"/>
        </w:rPr>
        <w:t>围绕特色优势农产品</w:t>
      </w:r>
      <w:r>
        <w:rPr>
          <w:rFonts w:hint="eastAsia" w:ascii="Times New Roman" w:hAnsi="Times New Roman" w:eastAsia="仿宋_GB2312" w:cs="Times New Roman"/>
          <w:color w:val="000000"/>
          <w:spacing w:val="-2"/>
          <w:kern w:val="0"/>
          <w:sz w:val="32"/>
          <w:szCs w:val="32"/>
          <w:u w:val="none"/>
          <w:lang w:val="en-US" w:eastAsia="zh-CN" w:bidi="ar-SA"/>
        </w:rPr>
        <w:t>，加快电子商务进农村，完善末端网点布局，积极发展冷链物流、城乡配送和电商快递物流，建设集仓储、加工、集配、运输和信息服务于一体的物流网络，</w:t>
      </w:r>
      <w:r>
        <w:rPr>
          <w:rFonts w:hint="eastAsia" w:ascii="Times New Roman" w:hAnsi="Times New Roman" w:eastAsia="仿宋_GB2312"/>
          <w:sz w:val="32"/>
          <w:szCs w:val="32"/>
        </w:rPr>
        <w:t>全面提升</w:t>
      </w:r>
      <w:r>
        <w:rPr>
          <w:rFonts w:ascii="Times New Roman" w:hAnsi="Times New Roman" w:eastAsia="仿宋_GB2312"/>
          <w:sz w:val="32"/>
          <w:szCs w:val="32"/>
        </w:rPr>
        <w:t>县乡村三级农村物流服务</w:t>
      </w:r>
      <w:r>
        <w:rPr>
          <w:rFonts w:hint="eastAsia" w:ascii="Times New Roman" w:hAnsi="Times New Roman" w:eastAsia="仿宋_GB2312"/>
          <w:sz w:val="32"/>
          <w:szCs w:val="32"/>
        </w:rPr>
        <w:t>能力水平</w:t>
      </w:r>
      <w:r>
        <w:rPr>
          <w:rFonts w:hint="eastAsia" w:ascii="Times New Roman" w:hAnsi="Times New Roman" w:eastAsia="仿宋_GB2312" w:cs="Times New Roman"/>
          <w:color w:val="000000"/>
          <w:spacing w:val="-2"/>
          <w:kern w:val="0"/>
          <w:sz w:val="32"/>
          <w:szCs w:val="32"/>
          <w:lang w:val="en-US" w:eastAsia="zh-CN" w:bidi="ar-SA"/>
        </w:rPr>
        <w:t>。除全州、兴安、平乐、荔浦等2大物流副中心布局县（市）外，灵川县强化重点商品干线物流，加强配套设施建设，重点发展汽车、粮油等大宗商品商贸物流和铁合金、滑石粉等大宗工业品物流，积极发展果蔬冷链物流。永福县重点发展罗汉果、富硒米等名特优农产品物流，整合县城和乡镇商贸物流资源发展分销配送等商贸物流。灌阳、资源、龙胜、阳朔、恭城等国家重点生态功能区县强化冷链物流、分销配送、电商物流等服务功能，整合特色旅游、名特优农产品和商贸物流资源，重点发展旅游消费、农林产品、食品加工、特色工业、城乡配送、电商快递等物流。</w:t>
      </w:r>
    </w:p>
    <w:p>
      <w:pPr>
        <w:pStyle w:val="2"/>
        <w:adjustRightInd w:val="0"/>
        <w:snapToGrid w:val="0"/>
        <w:spacing w:line="600" w:lineRule="exact"/>
        <w:rPr>
          <w:rFonts w:hint="eastAsia" w:ascii="Times New Roman" w:hAnsi="Times New Roman" w:eastAsia="仿宋_GB2312" w:cs="Times New Roman"/>
          <w:color w:val="000000"/>
          <w:spacing w:val="-2"/>
          <w:kern w:val="0"/>
          <w:sz w:val="32"/>
          <w:szCs w:val="32"/>
          <w:lang w:val="en-US" w:eastAsia="zh-CN" w:bidi="ar-SA"/>
        </w:rPr>
      </w:pPr>
      <w:r>
        <w:rPr>
          <w:rFonts w:hint="eastAsia" w:ascii="仿宋" w:hAnsi="仿宋" w:eastAsia="仿宋" w:cs="仿宋"/>
          <w:sz w:val="24"/>
          <w:szCs w:val="24"/>
        </w:rPr>
        <w:t xml:space="preserve">    </w:t>
      </w:r>
      <w:r>
        <w:rPr>
          <w:rFonts w:hint="eastAsia" w:ascii="Times New Roman" w:hAnsi="Times New Roman" w:eastAsia="楷体_GB2312" w:cs="Times New Roman"/>
          <w:b/>
          <w:color w:val="000000"/>
          <w:kern w:val="2"/>
          <w:sz w:val="32"/>
          <w:szCs w:val="32"/>
          <w:lang w:val="en-US" w:eastAsia="zh-CN" w:bidi="ar-SA"/>
        </w:rPr>
        <w:t xml:space="preserve"> ——三大园区。</w:t>
      </w:r>
      <w:r>
        <w:rPr>
          <w:rFonts w:hint="eastAsia" w:ascii="Times New Roman" w:hAnsi="Times New Roman" w:eastAsia="仿宋_GB2312" w:cs="Times New Roman"/>
          <w:color w:val="000000"/>
          <w:spacing w:val="-2"/>
          <w:kern w:val="0"/>
          <w:sz w:val="32"/>
          <w:szCs w:val="32"/>
          <w:lang w:val="en-US" w:eastAsia="zh-CN" w:bidi="ar-SA"/>
        </w:rPr>
        <w:t>促进高新区、经济技术开发区、高铁（桂林）广西园物流业与制造业融合。加强园区与铁路、公路、航空物流通道衔接，强化货源集聚、服务整合，鼓励物流设施集中布局、集约化发展，推动与西部陆海新通道沿线城市物流枢纽联动发展。大力发展第三方和第四方物流，加快培育集装箱公铁公水海铁联运市场。支持航空快递、跨境电商等临空产业发展，加快建设临空经济区。发挥新一代信息技术、装备制造、新材料、生物医药、医疗器械、生态食品等主导产业优势，联动服务本地及周边产业，建设生产服务型物流基地。</w:t>
      </w:r>
    </w:p>
    <w:p>
      <w:pPr>
        <w:pStyle w:val="4"/>
        <w:adjustRightInd w:val="0"/>
        <w:snapToGrid w:val="0"/>
        <w:spacing w:before="0" w:after="0" w:line="600" w:lineRule="exact"/>
        <w:ind w:firstLine="640" w:firstLineChars="200"/>
        <w:rPr>
          <w:rFonts w:ascii="黑体" w:hAnsi="黑体" w:eastAsia="黑体" w:cs="黑体"/>
          <w:b w:val="0"/>
          <w:bCs w:val="0"/>
          <w:sz w:val="32"/>
          <w:szCs w:val="32"/>
        </w:rPr>
      </w:pPr>
      <w:bookmarkStart w:id="20" w:name="_Toc1812"/>
      <w:bookmarkStart w:id="21" w:name="_Toc23623"/>
      <w:r>
        <w:rPr>
          <w:rFonts w:hint="eastAsia" w:ascii="黑体" w:hAnsi="黑体" w:eastAsia="黑体" w:cs="黑体"/>
          <w:b w:val="0"/>
          <w:bCs w:val="0"/>
          <w:sz w:val="32"/>
          <w:szCs w:val="32"/>
        </w:rPr>
        <w:t>三、夯实现代物流发展基础</w:t>
      </w:r>
      <w:bookmarkEnd w:id="20"/>
      <w:bookmarkEnd w:id="21"/>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22" w:name="_Toc17998"/>
      <w:bookmarkStart w:id="23" w:name="_Toc14836"/>
      <w:r>
        <w:rPr>
          <w:rFonts w:hint="eastAsia" w:ascii="黑体" w:hAnsi="黑体" w:eastAsia="黑体" w:cs="黑体"/>
          <w:b w:val="0"/>
          <w:bCs w:val="0"/>
        </w:rPr>
        <w:t>（一）强化物流通道建设</w:t>
      </w:r>
      <w:bookmarkEnd w:id="22"/>
      <w:bookmarkEnd w:id="23"/>
    </w:p>
    <w:p>
      <w:pPr>
        <w:adjustRightInd w:val="0"/>
        <w:snapToGrid w:val="0"/>
        <w:spacing w:line="600" w:lineRule="exact"/>
        <w:ind w:firstLine="619"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仿宋_GB2312" w:cs="Times New Roman"/>
          <w:color w:val="000000"/>
          <w:spacing w:val="-2"/>
          <w:kern w:val="0"/>
          <w:sz w:val="32"/>
          <w:szCs w:val="32"/>
          <w:lang w:val="en-US" w:eastAsia="zh-CN" w:bidi="ar-SA"/>
        </w:rPr>
        <w:t>强化与粤港澳大湾区、长江经济带、北部湾等地区的交通基础设施连接，提升国家物流枢纽服务水平。完善通道网络。加强桂林两江国际机场枢纽功能，引入顺丰、圆通等货运航线，扩展桂林与大中城市航班，织密面向日韩、东南亚、欧美等地区的国际国内航线网络，提高客机腹舱带货运输能力，积极发展国际航空全货航线，打造广西临空经济发展的重要增长极。加快湘桂铁路衡柳段提速扩能改造工程，依托“桂林-北部湾港”海铁联运班列和中欧班列，推行大宗货物铁路中长期协议运输。推进桂江航道平乐至梧州段升级改造扩能工程，加快桂林港平乐港区珠子洲码头一期工程建设，增强对接粤港澳大湾区的航运能力。完成一批高速公路和国省干线通道建设，提升物流通达能力。构建以铁路和高速公路为骨干、国省干线为基础、内河航道与航空支线为补充的便捷畅通、多向立体、内联外通的物流通道网络，以大通道大物流促进区域协调发展、优化产业布局，提升产业链现代化水平。</w:t>
      </w:r>
    </w:p>
    <w:tbl>
      <w:tblPr>
        <w:tblStyle w:val="29"/>
        <w:tblW w:w="8287"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87" w:type="dxa"/>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方正仿宋_GB2312" w:hAnsi="方正仿宋_GB2312" w:eastAsia="方正仿宋_GB2312" w:cs="方正仿宋_GB2312"/>
                <w:b/>
                <w:bCs/>
                <w:sz w:val="28"/>
                <w:szCs w:val="28"/>
              </w:rPr>
            </w:pPr>
            <w:r>
              <w:rPr>
                <w:rFonts w:hint="eastAsia" w:ascii="黑体" w:hAnsi="黑体" w:eastAsia="黑体" w:cs="Times New Roman"/>
                <w:color w:val="000000"/>
                <w:kern w:val="2"/>
                <w:sz w:val="28"/>
                <w:szCs w:val="28"/>
              </w:rPr>
              <w:t>专栏1</w:t>
            </w:r>
            <w:r>
              <w:rPr>
                <w:rFonts w:ascii="黑体" w:hAnsi="黑体" w:eastAsia="黑体" w:cs="Times New Roman"/>
                <w:color w:val="000000"/>
                <w:kern w:val="2"/>
                <w:sz w:val="28"/>
                <w:szCs w:val="28"/>
              </w:rPr>
              <w:t xml:space="preserve"> </w:t>
            </w:r>
            <w:r>
              <w:rPr>
                <w:rFonts w:hint="eastAsia" w:ascii="黑体" w:hAnsi="黑体" w:eastAsia="黑体" w:cs="Times New Roman"/>
                <w:color w:val="000000"/>
                <w:kern w:val="2"/>
                <w:sz w:val="28"/>
                <w:szCs w:val="28"/>
              </w:rPr>
              <w:t xml:space="preserve">  物流干线通道重点工程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7" w:type="dxa"/>
          </w:tcPr>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完善陆路干线网络建设。</w:t>
            </w:r>
            <w:r>
              <w:rPr>
                <w:rFonts w:hint="eastAsia" w:ascii="仿宋_GB2312" w:hAnsi="仿宋_GB2312" w:eastAsia="仿宋_GB2312" w:cs="仿宋_GB2312"/>
                <w:sz w:val="28"/>
                <w:szCs w:val="28"/>
              </w:rPr>
              <w:t>完成灌阳至平乐高速公路建设，实现高速公路县县通；推进桂林外环等一批高速公路建设；加快湘桂铁路衡柳段提速扩能改造工程，推动桂林-郴州-赣州、桂林-贺州-肇庆、柳州-荔浦-平乐-贺州-韶关等客货铁路建设，构建便捷高效的铁路货运网络。</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水运航道改造扩能工程。</w:t>
            </w:r>
            <w:r>
              <w:rPr>
                <w:rFonts w:hint="eastAsia" w:ascii="仿宋_GB2312" w:hAnsi="仿宋_GB2312" w:eastAsia="仿宋_GB2312" w:cs="仿宋_GB2312"/>
                <w:sz w:val="28"/>
                <w:szCs w:val="28"/>
              </w:rPr>
              <w:t>加大对接北部湾港、广州港、深圳港的力度，积极推进桂江航道平乐至梧州段230公里升级改</w:t>
            </w:r>
            <w:r>
              <w:rPr>
                <w:rFonts w:hint="eastAsia" w:ascii="仿宋_GB2312" w:hAnsi="仿宋_GB2312" w:eastAsia="仿宋_GB2312" w:cs="仿宋_GB2312"/>
                <w:sz w:val="28"/>
                <w:szCs w:val="28"/>
                <w:lang w:eastAsia="zh-CN"/>
              </w:rPr>
              <w:t>造</w:t>
            </w:r>
            <w:r>
              <w:rPr>
                <w:rFonts w:hint="eastAsia" w:ascii="仿宋_GB2312" w:hAnsi="仿宋_GB2312" w:eastAsia="仿宋_GB2312" w:cs="仿宋_GB2312"/>
                <w:sz w:val="28"/>
                <w:szCs w:val="28"/>
              </w:rPr>
              <w:t>工程和巴江口等6座船闸扩能工程，达到通航1000吨级船舶条件，推进湘桂运河前期工作。加强与航道沿线港口合作，发展集装箱班轮航线，更好地融入珠江-西江经济带建设。</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ascii="方正仿宋_GB2312" w:hAnsi="方正仿宋_GB2312" w:eastAsia="方正仿宋_GB2312" w:cs="方正仿宋_GB2312"/>
                <w:sz w:val="28"/>
                <w:szCs w:val="28"/>
              </w:rPr>
            </w:pPr>
            <w:r>
              <w:rPr>
                <w:rFonts w:hint="eastAsia" w:ascii="仿宋_GB2312" w:hAnsi="仿宋_GB2312" w:eastAsia="仿宋_GB2312" w:cs="仿宋_GB2312"/>
                <w:b/>
                <w:bCs/>
                <w:sz w:val="28"/>
                <w:szCs w:val="28"/>
              </w:rPr>
              <w:t>构建国际物流立体大通道。</w:t>
            </w:r>
            <w:r>
              <w:rPr>
                <w:rFonts w:hint="eastAsia" w:ascii="仿宋_GB2312" w:hAnsi="仿宋_GB2312" w:eastAsia="仿宋_GB2312" w:cs="仿宋_GB2312"/>
                <w:sz w:val="28"/>
                <w:szCs w:val="28"/>
              </w:rPr>
              <w:t>提升桂林两江国际机场T2航站楼服务水平，加快推进T1航站楼改造工程。常态化运行“桂林-北部湾港”集装箱海铁联运班列，采用小编组、钟摆式运输组织模式，逐步增加班列密度。大力发展铁路干线国际物流，加强与新渝欧、蓉欧班列的高效衔接，以西部陆海新通道班列衔接中欧班列的方式直达亚欧大陆，探索开通桂林至欧洲的中欧定制班列的可行性。</w:t>
            </w:r>
          </w:p>
        </w:tc>
      </w:tr>
    </w:tbl>
    <w:p>
      <w:pPr>
        <w:pStyle w:val="5"/>
        <w:adjustRightInd w:val="0"/>
        <w:snapToGrid w:val="0"/>
        <w:spacing w:before="0" w:after="0" w:line="600" w:lineRule="exact"/>
        <w:ind w:firstLine="640" w:firstLineChars="200"/>
        <w:rPr>
          <w:rFonts w:hint="eastAsia" w:ascii="黑体" w:hAnsi="黑体" w:eastAsia="黑体" w:cs="黑体"/>
          <w:b w:val="0"/>
          <w:bCs w:val="0"/>
        </w:rPr>
      </w:pPr>
      <w:bookmarkStart w:id="24" w:name="_Toc30588"/>
      <w:bookmarkStart w:id="25" w:name="_Toc26344"/>
      <w:r>
        <w:rPr>
          <w:rFonts w:hint="eastAsia" w:ascii="黑体" w:hAnsi="黑体" w:eastAsia="黑体" w:cs="黑体"/>
          <w:b w:val="0"/>
          <w:bCs w:val="0"/>
        </w:rPr>
        <w:t>（二）加快物流枢纽</w:t>
      </w:r>
      <w:r>
        <w:rPr>
          <w:rFonts w:hint="eastAsia" w:ascii="黑体" w:hAnsi="黑体" w:eastAsia="黑体" w:cs="黑体"/>
          <w:b w:val="0"/>
          <w:bCs w:val="0"/>
          <w:lang w:val="en-US" w:eastAsia="zh-CN"/>
        </w:rPr>
        <w:t>和网络节点</w:t>
      </w:r>
      <w:r>
        <w:rPr>
          <w:rFonts w:hint="eastAsia" w:ascii="黑体" w:hAnsi="黑体" w:eastAsia="黑体" w:cs="黑体"/>
          <w:b w:val="0"/>
          <w:bCs w:val="0"/>
        </w:rPr>
        <w:t>建设</w:t>
      </w:r>
      <w:bookmarkEnd w:id="24"/>
      <w:bookmarkEnd w:id="25"/>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推进要素资源集聚。</w:t>
      </w:r>
      <w:r>
        <w:rPr>
          <w:rFonts w:hint="eastAsia" w:ascii="Times New Roman" w:hAnsi="Times New Roman" w:eastAsia="仿宋_GB2312" w:cs="Times New Roman"/>
          <w:color w:val="000000"/>
          <w:spacing w:val="-2"/>
          <w:kern w:val="0"/>
          <w:sz w:val="32"/>
          <w:szCs w:val="32"/>
          <w:lang w:val="en-US" w:eastAsia="zh-CN" w:bidi="ar-SA"/>
        </w:rPr>
        <w:t>完善物流枢纽体系，以加快建设桂林商贸型国家物流枢纽为抓手，补齐多式联运转运设施、应急物流设施、公共配送设施等基础设施短板，整合专业化仓储、区域分拨配送、通关保税等设施，扩大干线运输规模、提高支线运输密度。推进物流枢纽综合信息服务平台建设，推动枢纽内企业、供应链上下游企业信息共享。加强干支衔接和组织协同，提升多式联运网络化运作水平。发展壮大组织运营、资本运作、资源配置能力强的物流枢纽运营主体，培育发展临空和高铁等枢纽经济，提升城市经济发展能力和产业竞争力。</w:t>
      </w:r>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优化物流园区网络。</w:t>
      </w:r>
      <w:r>
        <w:rPr>
          <w:rFonts w:hint="eastAsia" w:ascii="Times New Roman" w:hAnsi="Times New Roman" w:eastAsia="仿宋_GB2312" w:cs="Times New Roman"/>
          <w:color w:val="000000"/>
          <w:spacing w:val="-2"/>
          <w:kern w:val="0"/>
          <w:sz w:val="32"/>
          <w:szCs w:val="32"/>
          <w:lang w:val="en-US" w:eastAsia="zh-CN" w:bidi="ar-SA"/>
        </w:rPr>
        <w:t>优化象山、叠彩、秀峰、七星、临桂等中心城区现有物流园区空间布局和功能定位，引导周边物流企业及现有城市环路沿线零散布设的快递物流企业入驻园区。依托大型商圈、批发市场、专业市场，建设集运输、配送、仓储等物流服务和商品展示、电子商务、融资保险等配套服务，为居民生活消费提供物流服务的商贸服务型物流园区。加快桂林中辰电商物流交易中心、桂林国投城市电商物流园等电商物流园区建设，探索“电商产业园+物流园”融合发展。推进桂林东站冷链物流园、桂林福达农产品冷链物流园等建设，满足居民生活消费、特色农产品和生物医药产品生产流通等需求。建成桂林西物流中心、平乐珠子洲物流园区、空港物流产业园、荔浦保税物流中心（B型）等一批物流园区，有效连接国家物流枢纽、货运场站、配送中心、仓储基地等物流设施，形成布局合理、运作高效的区域配送网络。支持大型商贸物流示范园区建设，力争打造1家国家级示范物流园区、2-3家自治区级示范物流园区。</w:t>
      </w:r>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提升城乡物流网络节点能力。</w:t>
      </w:r>
      <w:r>
        <w:rPr>
          <w:rFonts w:hint="eastAsia" w:ascii="Times New Roman" w:hAnsi="Times New Roman" w:eastAsia="仿宋_GB2312" w:cs="Times New Roman"/>
          <w:color w:val="000000"/>
          <w:spacing w:val="-2"/>
          <w:kern w:val="0"/>
          <w:sz w:val="32"/>
          <w:szCs w:val="32"/>
          <w:lang w:val="en-US" w:eastAsia="zh-CN" w:bidi="ar-SA"/>
        </w:rPr>
        <w:t>依托产销集中区、生活消费集聚区、中转分拨节点，统筹规划建设一批资源共享、干线运输与城乡配送有效衔接的配送中心，加快构建层级合理、需求匹配、覆盖城乡的配送网络</w:t>
      </w:r>
      <w:r>
        <w:rPr>
          <w:rFonts w:hint="eastAsia" w:eastAsia="仿宋_GB2312" w:cs="Times New Roman"/>
          <w:color w:val="000000"/>
          <w:spacing w:val="-2"/>
          <w:kern w:val="0"/>
          <w:sz w:val="32"/>
          <w:szCs w:val="32"/>
          <w:lang w:val="en-US" w:eastAsia="zh-CN" w:bidi="ar-SA"/>
        </w:rPr>
        <w:t>。</w:t>
      </w:r>
      <w:r>
        <w:rPr>
          <w:rFonts w:hint="eastAsia" w:ascii="仿宋_GB2312" w:hAnsi="仿宋_GB2312" w:eastAsia="仿宋_GB2312" w:cs="仿宋_GB2312"/>
          <w:b w:val="0"/>
          <w:bCs w:val="0"/>
          <w:kern w:val="0"/>
          <w:sz w:val="32"/>
          <w:szCs w:val="32"/>
          <w:u w:val="none"/>
          <w:lang w:val="en-US" w:eastAsia="zh-CN" w:bidi="ar-SA"/>
        </w:rPr>
        <w:t>在每个</w:t>
      </w:r>
      <w:r>
        <w:rPr>
          <w:rFonts w:hint="eastAsia" w:ascii="仿宋_GB2312" w:hAnsi="仿宋_GB2312" w:eastAsia="仿宋_GB2312" w:cs="仿宋_GB2312"/>
          <w:sz w:val="32"/>
          <w:szCs w:val="32"/>
          <w:u w:val="none"/>
        </w:rPr>
        <w:t>县（市、区）建</w:t>
      </w:r>
      <w:r>
        <w:rPr>
          <w:rFonts w:hint="eastAsia" w:ascii="仿宋_GB2312" w:hAnsi="仿宋_GB2312" w:eastAsia="仿宋_GB2312" w:cs="仿宋_GB2312"/>
          <w:sz w:val="32"/>
          <w:szCs w:val="32"/>
          <w:u w:val="none"/>
          <w:lang w:val="en-US" w:eastAsia="zh-CN"/>
        </w:rPr>
        <w:t>设1个</w:t>
      </w:r>
      <w:r>
        <w:rPr>
          <w:rFonts w:hint="eastAsia" w:ascii="仿宋_GB2312" w:hAnsi="仿宋_GB2312" w:eastAsia="仿宋_GB2312" w:cs="仿宋_GB2312"/>
          <w:sz w:val="32"/>
          <w:szCs w:val="32"/>
          <w:u w:val="none"/>
        </w:rPr>
        <w:t>县级物流配送中心，</w:t>
      </w:r>
      <w:r>
        <w:rPr>
          <w:rFonts w:hint="eastAsia" w:ascii="仿宋_GB2312" w:hAnsi="仿宋_GB2312" w:eastAsia="仿宋_GB2312" w:cs="仿宋_GB2312"/>
          <w:sz w:val="32"/>
          <w:szCs w:val="32"/>
          <w:u w:val="none"/>
          <w:lang w:val="en-US" w:eastAsia="zh-CN"/>
        </w:rPr>
        <w:t>每个</w:t>
      </w:r>
      <w:r>
        <w:rPr>
          <w:rFonts w:hint="eastAsia" w:ascii="仿宋_GB2312" w:hAnsi="仿宋_GB2312" w:eastAsia="仿宋_GB2312" w:cs="仿宋_GB2312"/>
          <w:sz w:val="32"/>
          <w:szCs w:val="32"/>
          <w:u w:val="none"/>
        </w:rPr>
        <w:t>行政村</w:t>
      </w:r>
      <w:r>
        <w:rPr>
          <w:rFonts w:hint="eastAsia" w:ascii="仿宋_GB2312" w:hAnsi="仿宋_GB2312" w:eastAsia="仿宋_GB2312" w:cs="仿宋_GB2312"/>
          <w:sz w:val="32"/>
          <w:szCs w:val="32"/>
          <w:u w:val="none"/>
          <w:lang w:eastAsia="zh-CN"/>
        </w:rPr>
        <w:t>和</w:t>
      </w:r>
      <w:r>
        <w:rPr>
          <w:rFonts w:hint="eastAsia" w:ascii="仿宋_GB2312" w:hAnsi="仿宋_GB2312" w:eastAsia="仿宋_GB2312" w:cs="仿宋_GB2312"/>
          <w:sz w:val="32"/>
          <w:szCs w:val="32"/>
          <w:u w:val="none"/>
          <w:lang w:val="en-US" w:eastAsia="zh-CN"/>
        </w:rPr>
        <w:t>易地搬迁安置点分别</w:t>
      </w:r>
      <w:r>
        <w:rPr>
          <w:rFonts w:hint="eastAsia" w:ascii="仿宋_GB2312" w:hAnsi="仿宋_GB2312" w:eastAsia="仿宋_GB2312" w:cs="仿宋_GB2312"/>
          <w:sz w:val="32"/>
          <w:szCs w:val="32"/>
          <w:u w:val="none"/>
        </w:rPr>
        <w:t>建</w:t>
      </w:r>
      <w:r>
        <w:rPr>
          <w:rFonts w:hint="eastAsia" w:ascii="仿宋_GB2312" w:hAnsi="仿宋_GB2312" w:eastAsia="仿宋_GB2312" w:cs="仿宋_GB2312"/>
          <w:sz w:val="32"/>
          <w:szCs w:val="32"/>
          <w:u w:val="none"/>
          <w:lang w:val="en-US" w:eastAsia="zh-CN"/>
        </w:rPr>
        <w:t>设1个</w:t>
      </w:r>
      <w:r>
        <w:rPr>
          <w:rFonts w:hint="eastAsia" w:ascii="仿宋_GB2312" w:hAnsi="仿宋_GB2312" w:eastAsia="仿宋_GB2312" w:cs="仿宋_GB2312"/>
          <w:sz w:val="32"/>
          <w:szCs w:val="32"/>
          <w:u w:val="none"/>
        </w:rPr>
        <w:t>村级寄递物流综合服务站</w:t>
      </w:r>
      <w:r>
        <w:rPr>
          <w:rFonts w:hint="eastAsia" w:ascii="仿宋_GB2312" w:hAnsi="仿宋_GB2312" w:eastAsia="仿宋_GB2312" w:cs="仿宋_GB2312"/>
          <w:sz w:val="32"/>
          <w:szCs w:val="32"/>
          <w:u w:val="none"/>
          <w:lang w:eastAsia="zh-CN"/>
        </w:rPr>
        <w:t>，在人口相对密集、有条件的乡镇</w:t>
      </w:r>
      <w:r>
        <w:rPr>
          <w:rFonts w:hint="eastAsia" w:ascii="仿宋_GB2312" w:hAnsi="仿宋_GB2312" w:eastAsia="仿宋_GB2312" w:cs="仿宋_GB2312"/>
          <w:sz w:val="32"/>
          <w:szCs w:val="32"/>
          <w:u w:val="none"/>
          <w:lang w:val="en-US" w:eastAsia="zh-CN"/>
        </w:rPr>
        <w:t>建设</w:t>
      </w:r>
      <w:r>
        <w:rPr>
          <w:rFonts w:hint="eastAsia" w:ascii="仿宋_GB2312" w:hAnsi="仿宋_GB2312" w:eastAsia="仿宋_GB2312" w:cs="仿宋_GB2312"/>
          <w:sz w:val="32"/>
          <w:szCs w:val="32"/>
          <w:u w:val="none"/>
        </w:rPr>
        <w:t>寄递物流中转站，</w:t>
      </w:r>
      <w:r>
        <w:rPr>
          <w:rFonts w:hint="eastAsia" w:ascii="仿宋_GB2312" w:hAnsi="仿宋_GB2312" w:eastAsia="仿宋_GB2312" w:cs="仿宋_GB2312"/>
          <w:sz w:val="32"/>
          <w:szCs w:val="32"/>
          <w:u w:val="none"/>
          <w:lang w:eastAsia="zh-CN"/>
        </w:rPr>
        <w:t>开展“县－乡－村”双向配送</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实现寄递物流每天进村出村。</w:t>
      </w:r>
      <w:r>
        <w:rPr>
          <w:rFonts w:hint="eastAsia" w:ascii="仿宋_GB2312" w:hAnsi="仿宋_GB2312" w:eastAsia="仿宋_GB2312" w:cs="仿宋_GB2312"/>
          <w:bCs/>
          <w:sz w:val="32"/>
          <w:szCs w:val="32"/>
          <w:u w:val="none"/>
        </w:rPr>
        <w:t>按照开放共享原则，以市场需求为导向，加快推进“快递进村”工程，畅通</w:t>
      </w:r>
      <w:r>
        <w:rPr>
          <w:rFonts w:hint="eastAsia" w:ascii="仿宋_GB2312" w:hAnsi="仿宋_GB2312" w:eastAsia="仿宋_GB2312" w:cs="仿宋_GB2312"/>
          <w:bCs/>
          <w:sz w:val="32"/>
          <w:szCs w:val="32"/>
          <w:u w:val="none"/>
          <w:lang w:eastAsia="zh-CN"/>
        </w:rPr>
        <w:t>工业品</w:t>
      </w:r>
      <w:r>
        <w:rPr>
          <w:rFonts w:hint="eastAsia" w:ascii="仿宋_GB2312" w:hAnsi="仿宋_GB2312" w:eastAsia="仿宋_GB2312" w:cs="仿宋_GB2312"/>
          <w:bCs/>
          <w:sz w:val="32"/>
          <w:szCs w:val="32"/>
          <w:u w:val="none"/>
        </w:rPr>
        <w:t>下乡、农产品进城双向流通渠道</w:t>
      </w:r>
      <w:r>
        <w:rPr>
          <w:rFonts w:hint="eastAsia" w:ascii="仿宋_GB2312" w:hAnsi="仿宋_GB2312" w:eastAsia="仿宋_GB2312" w:cs="仿宋_GB2312"/>
          <w:bCs/>
          <w:sz w:val="32"/>
          <w:szCs w:val="32"/>
          <w:u w:val="none"/>
          <w:lang w:eastAsia="zh-CN"/>
        </w:rPr>
        <w:t>，</w:t>
      </w:r>
      <w:r>
        <w:rPr>
          <w:rFonts w:hint="eastAsia" w:ascii="仿宋_GB2312" w:hAnsi="仿宋_GB2312" w:eastAsia="仿宋_GB2312" w:cs="仿宋_GB2312"/>
          <w:bCs/>
          <w:sz w:val="32"/>
          <w:szCs w:val="32"/>
          <w:u w:val="none"/>
        </w:rPr>
        <w:t>完善县乡村三级农村寄递物流体系</w:t>
      </w:r>
      <w:r>
        <w:rPr>
          <w:rFonts w:hint="eastAsia" w:ascii="仿宋_GB2312" w:hAnsi="仿宋_GB2312" w:eastAsia="仿宋_GB2312" w:cs="仿宋_GB2312"/>
          <w:bCs/>
          <w:sz w:val="32"/>
          <w:szCs w:val="32"/>
          <w:u w:val="none"/>
          <w:lang w:eastAsia="zh-CN"/>
        </w:rPr>
        <w:t>。</w:t>
      </w:r>
      <w:r>
        <w:rPr>
          <w:rFonts w:hint="eastAsia" w:ascii="仿宋_GB2312" w:hAnsi="仿宋_GB2312" w:eastAsia="仿宋_GB2312" w:cs="仿宋_GB2312"/>
          <w:bCs/>
          <w:sz w:val="32"/>
          <w:szCs w:val="32"/>
          <w:u w:val="none"/>
        </w:rPr>
        <w:t>加快补齐农村冷链设施短板，推动形成衔接产地销地、覆盖城市乡村、联通全</w:t>
      </w:r>
      <w:r>
        <w:rPr>
          <w:rFonts w:hint="eastAsia" w:ascii="仿宋_GB2312" w:hAnsi="仿宋_GB2312" w:eastAsia="仿宋_GB2312" w:cs="仿宋_GB2312"/>
          <w:bCs/>
          <w:sz w:val="32"/>
          <w:szCs w:val="32"/>
          <w:u w:val="none"/>
          <w:lang w:val="en-US" w:eastAsia="zh-CN"/>
        </w:rPr>
        <w:t>市</w:t>
      </w:r>
      <w:r>
        <w:rPr>
          <w:rFonts w:hint="eastAsia" w:ascii="仿宋_GB2312" w:hAnsi="仿宋_GB2312" w:eastAsia="仿宋_GB2312" w:cs="仿宋_GB2312"/>
          <w:bCs/>
          <w:sz w:val="32"/>
          <w:szCs w:val="32"/>
          <w:u w:val="none"/>
        </w:rPr>
        <w:t>、辐射全国的冷链物流网络。</w:t>
      </w:r>
      <w:r>
        <w:rPr>
          <w:rFonts w:hint="eastAsia" w:ascii="仿宋_GB2312" w:hAnsi="仿宋_GB2312" w:eastAsia="仿宋_GB2312" w:cs="仿宋_GB2312"/>
          <w:sz w:val="32"/>
          <w:szCs w:val="32"/>
          <w:u w:val="none"/>
        </w:rPr>
        <w:t>加快完善农村电子商务服务体系，支持发展市场化、可持续、适合农产品特点的农村电商运营体系。聚焦“降成本、提效率、可持续”，积极推动客货邮融合发展，建立一体化信息服务平台，强化金融服务，壮大市场主体，加强人才队伍建设，</w:t>
      </w:r>
      <w:r>
        <w:rPr>
          <w:rFonts w:hint="eastAsia" w:ascii="仿宋_GB2312" w:hAnsi="仿宋_GB2312" w:eastAsia="仿宋_GB2312" w:cs="仿宋_GB2312"/>
          <w:b w:val="0"/>
          <w:bCs w:val="0"/>
          <w:sz w:val="32"/>
          <w:szCs w:val="32"/>
          <w:u w:val="none"/>
        </w:rPr>
        <w:t>构建农村物流支撑体系</w:t>
      </w:r>
      <w:r>
        <w:rPr>
          <w:rFonts w:hint="eastAsia" w:ascii="仿宋_GB2312" w:hAnsi="仿宋_GB2312" w:eastAsia="仿宋_GB2312" w:cs="仿宋_GB2312"/>
          <w:b w:val="0"/>
          <w:bCs w:val="0"/>
          <w:sz w:val="32"/>
          <w:szCs w:val="32"/>
          <w:u w:val="none"/>
          <w:lang w:eastAsia="zh-CN"/>
        </w:rPr>
        <w:t>。</w:t>
      </w:r>
      <w:r>
        <w:rPr>
          <w:rFonts w:hint="eastAsia" w:ascii="Times New Roman" w:hAnsi="Times New Roman" w:eastAsia="仿宋_GB2312" w:cs="Times New Roman"/>
          <w:color w:val="000000"/>
          <w:spacing w:val="-2"/>
          <w:kern w:val="0"/>
          <w:sz w:val="32"/>
          <w:szCs w:val="32"/>
          <w:lang w:val="en-US" w:eastAsia="zh-CN" w:bidi="ar-SA"/>
        </w:rPr>
        <w:t>引导生产和商贸流通企业合理布局产地仓、前置仓、配送站、快递驿站、自提点和社区门店，提高“最后一公里”配送效率和服务质量。</w:t>
      </w:r>
    </w:p>
    <w:p>
      <w:pPr>
        <w:pStyle w:val="61"/>
        <w:spacing w:line="580" w:lineRule="exact"/>
        <w:rPr>
          <w:rFonts w:hint="eastAsia" w:ascii="Times New Roman" w:hAnsi="Times New Roman" w:eastAsia="仿宋_GB2312" w:cs="Times New Roman"/>
          <w:color w:val="000000"/>
          <w:spacing w:val="-2"/>
          <w:kern w:val="0"/>
          <w:sz w:val="32"/>
          <w:szCs w:val="32"/>
          <w:lang w:val="en-US" w:eastAsia="zh-CN" w:bidi="ar-SA"/>
        </w:rPr>
      </w:pPr>
    </w:p>
    <w:tbl>
      <w:tblPr>
        <w:tblStyle w:val="29"/>
        <w:tblW w:w="825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50" w:type="dxa"/>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方正仿宋_GB2312" w:hAnsi="方正仿宋_GB2312" w:eastAsia="方正仿宋_GB2312" w:cs="方正仿宋_GB2312"/>
                <w:b/>
                <w:bCs/>
                <w:sz w:val="28"/>
                <w:szCs w:val="28"/>
              </w:rPr>
            </w:pPr>
            <w:r>
              <w:rPr>
                <w:rFonts w:hint="eastAsia" w:ascii="黑体" w:hAnsi="黑体" w:eastAsia="黑体" w:cs="黑体"/>
                <w:b w:val="0"/>
                <w:bCs w:val="0"/>
                <w:sz w:val="28"/>
                <w:szCs w:val="28"/>
              </w:rPr>
              <w:t>专栏2  物流枢纽和园区重点工程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0" w:type="dxa"/>
          </w:tcPr>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商贸服务型国家物流枢纽建设工程。</w:t>
            </w:r>
            <w:r>
              <w:rPr>
                <w:rFonts w:hint="eastAsia" w:ascii="仿宋_GB2312" w:hAnsi="仿宋_GB2312" w:eastAsia="仿宋_GB2312" w:cs="仿宋_GB2312"/>
                <w:sz w:val="28"/>
                <w:szCs w:val="28"/>
              </w:rPr>
              <w:t>加快桂林储运物流园改扩建工程，推动大宗</w:t>
            </w:r>
            <w:r>
              <w:rPr>
                <w:rFonts w:hint="eastAsia" w:ascii="仿宋_GB2312" w:hAnsi="仿宋_GB2312" w:eastAsia="仿宋_GB2312" w:cs="仿宋_GB2312"/>
                <w:sz w:val="28"/>
                <w:szCs w:val="28"/>
                <w:lang w:val="en-US" w:eastAsia="zh-CN"/>
              </w:rPr>
              <w:t>商品商贸物流中心、区域分拨及配送中心、公铁联运转运中心建设</w:t>
            </w:r>
            <w:r>
              <w:rPr>
                <w:rFonts w:hint="eastAsia" w:ascii="仿宋_GB2312" w:hAnsi="仿宋_GB2312" w:eastAsia="仿宋_GB2312" w:cs="仿宋_GB2312"/>
                <w:sz w:val="28"/>
                <w:szCs w:val="28"/>
              </w:rPr>
              <w:t>；加快宁铁东站冷链物流园二期工程和三期配套</w:t>
            </w:r>
            <w:r>
              <w:rPr>
                <w:rFonts w:hint="eastAsia" w:ascii="仿宋_GB2312" w:hAnsi="仿宋_GB2312" w:eastAsia="仿宋_GB2312" w:cs="仿宋_GB2312"/>
                <w:sz w:val="28"/>
                <w:szCs w:val="28"/>
                <w:lang w:val="en-US" w:eastAsia="zh-CN"/>
              </w:rPr>
              <w:t>工程</w:t>
            </w:r>
            <w:r>
              <w:rPr>
                <w:rFonts w:hint="eastAsia" w:ascii="仿宋_GB2312" w:hAnsi="仿宋_GB2312" w:eastAsia="仿宋_GB2312" w:cs="仿宋_GB2312"/>
                <w:sz w:val="28"/>
                <w:szCs w:val="28"/>
              </w:rPr>
              <w:t>建设。</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b/>
                <w:bCs/>
                <w:color w:val="0000FF"/>
                <w:sz w:val="28"/>
                <w:szCs w:val="28"/>
              </w:rPr>
            </w:pPr>
            <w:r>
              <w:rPr>
                <w:rFonts w:hint="eastAsia" w:ascii="仿宋_GB2312" w:hAnsi="仿宋_GB2312" w:eastAsia="仿宋_GB2312" w:cs="仿宋_GB2312"/>
                <w:b/>
                <w:bCs/>
                <w:sz w:val="28"/>
                <w:szCs w:val="28"/>
              </w:rPr>
              <w:t>物流园区织网工程。</w:t>
            </w:r>
            <w:r>
              <w:rPr>
                <w:rFonts w:hint="eastAsia" w:ascii="仿宋_GB2312" w:hAnsi="仿宋_GB2312" w:eastAsia="仿宋_GB2312" w:cs="仿宋_GB2312"/>
                <w:sz w:val="28"/>
                <w:szCs w:val="28"/>
              </w:rPr>
              <w:t>建设珠子洲物流园（平乐县）、桂林通达综合物流园（临桂区）、桂康现代物流园（灵川县）、桂林国投城市电商物流园（秀峰区）、桂林叠彩商贸物流高铁产业园（叠彩区）、特色旅游商品物流园区（象山区）、桂林健德中药材仓储物流基地（临桂区）、定江镇医药物流园（灵川县）、桂北粮食仓储物流中心（全州县）、城西集装箱工业配套物流园（全州县）、公路港物流园（兴安县）</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color w:val="auto"/>
                <w:sz w:val="28"/>
                <w:szCs w:val="28"/>
                <w:lang w:eastAsia="zh-CN"/>
              </w:rPr>
              <w:t>金桔产业冷链物流园（阳朔县）</w:t>
            </w:r>
            <w:r>
              <w:rPr>
                <w:rFonts w:hint="eastAsia" w:ascii="仿宋_GB2312" w:hAnsi="仿宋_GB2312" w:eastAsia="仿宋_GB2312" w:cs="仿宋_GB2312"/>
                <w:b w:val="0"/>
                <w:bCs w:val="0"/>
                <w:color w:val="0000FF"/>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物流园区国际服务能力提升工程。</w:t>
            </w:r>
            <w:r>
              <w:rPr>
                <w:rFonts w:hint="eastAsia" w:ascii="仿宋_GB2312" w:hAnsi="仿宋_GB2312" w:eastAsia="仿宋_GB2312" w:cs="仿宋_GB2312"/>
                <w:sz w:val="28"/>
                <w:szCs w:val="28"/>
              </w:rPr>
              <w:t>建设荔浦保税物流中心（B型）、桂林两江国际机场空港物流产业园，申报建设桂林综合保税区。</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ascii="方正仿宋_GB2312" w:hAnsi="方正仿宋_GB2312" w:eastAsia="方正仿宋_GB2312" w:cs="方正仿宋_GB2312"/>
                <w:sz w:val="28"/>
                <w:szCs w:val="28"/>
              </w:rPr>
            </w:pPr>
            <w:r>
              <w:rPr>
                <w:rFonts w:hint="eastAsia" w:ascii="仿宋_GB2312" w:hAnsi="仿宋_GB2312" w:eastAsia="仿宋_GB2312" w:cs="仿宋_GB2312"/>
                <w:b/>
                <w:bCs/>
                <w:sz w:val="28"/>
                <w:szCs w:val="28"/>
              </w:rPr>
              <w:t>物流园区综合改造工程。</w:t>
            </w:r>
            <w:r>
              <w:rPr>
                <w:rFonts w:hint="eastAsia" w:ascii="仿宋_GB2312" w:hAnsi="仿宋_GB2312" w:eastAsia="仿宋_GB2312" w:cs="仿宋_GB2312"/>
                <w:sz w:val="28"/>
                <w:szCs w:val="28"/>
              </w:rPr>
              <w:t>升级改造桂林中辰电商物流交易中心、桂林小麻雀物流基地、平乐电商物流总部经济园、桂林申通物流园、兴安泽源丰冷链物流中心、灵川冠豪农产品物流园等。</w:t>
            </w:r>
          </w:p>
        </w:tc>
      </w:tr>
    </w:tbl>
    <w:p>
      <w:pPr>
        <w:pStyle w:val="4"/>
        <w:adjustRightInd w:val="0"/>
        <w:snapToGrid w:val="0"/>
        <w:spacing w:before="0" w:after="0" w:line="600" w:lineRule="exact"/>
        <w:ind w:firstLine="640" w:firstLineChars="200"/>
        <w:rPr>
          <w:rFonts w:ascii="黑体" w:hAnsi="黑体" w:eastAsia="黑体" w:cs="黑体"/>
          <w:b w:val="0"/>
          <w:bCs w:val="0"/>
          <w:sz w:val="32"/>
          <w:szCs w:val="32"/>
        </w:rPr>
      </w:pPr>
      <w:bookmarkStart w:id="26" w:name="_Toc22303"/>
      <w:bookmarkStart w:id="27" w:name="_Toc25212"/>
      <w:r>
        <w:rPr>
          <w:rFonts w:hint="eastAsia" w:ascii="黑体" w:hAnsi="黑体" w:eastAsia="黑体" w:cs="黑体"/>
          <w:b w:val="0"/>
          <w:bCs w:val="0"/>
          <w:sz w:val="32"/>
          <w:szCs w:val="32"/>
        </w:rPr>
        <w:t>四、推进物流服务集约高效发展</w:t>
      </w:r>
      <w:bookmarkEnd w:id="26"/>
      <w:bookmarkEnd w:id="27"/>
    </w:p>
    <w:p>
      <w:pPr>
        <w:adjustRightInd w:val="0"/>
        <w:snapToGrid w:val="0"/>
        <w:spacing w:line="600" w:lineRule="exact"/>
        <w:ind w:firstLine="619"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仿宋_GB2312" w:cs="Times New Roman"/>
          <w:color w:val="000000"/>
          <w:spacing w:val="-2"/>
          <w:kern w:val="0"/>
          <w:sz w:val="32"/>
          <w:szCs w:val="32"/>
          <w:lang w:val="en-US" w:eastAsia="zh-CN" w:bidi="ar-SA"/>
        </w:rPr>
        <w:t>优化货物运输结构，提高物流服务专业化水平，加强应急物流保障能力建设，推动智慧绿色物流创新发展，提升物流业对经济发展的支撑和促进作用。</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28" w:name="_Toc11084"/>
      <w:r>
        <w:rPr>
          <w:rFonts w:hint="eastAsia" w:ascii="黑体" w:hAnsi="黑体" w:eastAsia="黑体" w:cs="黑体"/>
          <w:b w:val="0"/>
          <w:bCs w:val="0"/>
        </w:rPr>
        <w:t>（一）推动物流业降本增效</w:t>
      </w:r>
      <w:bookmarkEnd w:id="28"/>
    </w:p>
    <w:p>
      <w:pPr>
        <w:pStyle w:val="2"/>
        <w:widowControl w:val="0"/>
        <w:adjustRightInd w:val="0"/>
        <w:snapToGrid w:val="0"/>
        <w:spacing w:line="600" w:lineRule="atLeast"/>
        <w:ind w:firstLine="643" w:firstLineChars="200"/>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推动物流专线资源整合。</w:t>
      </w:r>
      <w:r>
        <w:rPr>
          <w:rFonts w:hint="eastAsia" w:ascii="Times New Roman" w:hAnsi="Times New Roman" w:eastAsia="仿宋_GB2312" w:cs="Times New Roman"/>
          <w:color w:val="000000"/>
          <w:spacing w:val="-2"/>
          <w:kern w:val="0"/>
          <w:sz w:val="32"/>
          <w:szCs w:val="32"/>
          <w:lang w:val="en-US" w:eastAsia="zh-CN" w:bidi="ar-SA"/>
        </w:rPr>
        <w:t>鼓励生产、商贸企业将物流业务外包，提高车辆实载率，减少迂回运输，降低运输费用。大力发展区域型第三方、第四方物流，推动物流线路的散货集聚，通过货物规模化降低物流成本。支持有实力的物流园区、物流公司和专线物流企业以联合、加盟、入股等合作形式抱团发展。</w:t>
      </w:r>
      <w:r>
        <w:rPr>
          <w:rFonts w:hint="eastAsia" w:ascii="Times New Roman" w:hAnsi="Times New Roman" w:eastAsia="仿宋_GB2312" w:cs="Times New Roman"/>
          <w:color w:val="000000"/>
          <w:spacing w:val="-2"/>
          <w:kern w:val="0"/>
          <w:sz w:val="32"/>
          <w:szCs w:val="32"/>
          <w:u w:val="none"/>
          <w:lang w:val="en-US" w:eastAsia="zh-CN" w:bidi="ar-SA"/>
        </w:rPr>
        <w:t>以大湾区、南宁-柳州、长沙-武汉、成都-重庆-贵阳等物流专线为重点</w:t>
      </w:r>
      <w:r>
        <w:rPr>
          <w:rFonts w:hint="eastAsia" w:ascii="Times New Roman" w:hAnsi="Times New Roman" w:eastAsia="仿宋_GB2312" w:cs="Times New Roman"/>
          <w:color w:val="000000"/>
          <w:spacing w:val="-2"/>
          <w:kern w:val="0"/>
          <w:sz w:val="32"/>
          <w:szCs w:val="32"/>
          <w:lang w:val="en-US" w:eastAsia="zh-CN" w:bidi="ar-SA"/>
        </w:rPr>
        <w:t xml:space="preserve">，引进专线物流信息化云系统，整合市场、货物、订单、信用、金融等信息数据，引导物流企业“上云”，为工业企业、物流运输公司等物流供需主体提供资源对接与多样化服务。 </w:t>
      </w:r>
    </w:p>
    <w:p>
      <w:pPr>
        <w:widowControl w:val="0"/>
        <w:adjustRightInd w:val="0"/>
        <w:snapToGrid w:val="0"/>
        <w:spacing w:line="600" w:lineRule="atLeas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优化调整货物运输结构。</w:t>
      </w:r>
      <w:r>
        <w:rPr>
          <w:rFonts w:hint="eastAsia" w:ascii="Times New Roman" w:hAnsi="Times New Roman" w:eastAsia="仿宋_GB2312" w:cs="Times New Roman"/>
          <w:color w:val="000000"/>
          <w:spacing w:val="-2"/>
          <w:kern w:val="0"/>
          <w:sz w:val="32"/>
          <w:szCs w:val="32"/>
          <w:lang w:val="en-US" w:eastAsia="zh-CN" w:bidi="ar-SA"/>
        </w:rPr>
        <w:t>大力发展公铁水联运、公铁联运、陆水联运、陆空联运和甩挂运输。以铁路站点货场、港口码头等为节点，鼓励大型物流企业探索与国有铁路部门和港航企业实施多式联运，提供“一体化”“一站式”解决方案，提供“一单制”全程无缝运输服务。推动煤炭、钢铁、矿石等大宗货物由公路运输向铁路、水路运输转移。支持有条件的运输企业向多式联运经营人、综合物流服务商转变，物流服务向供应链上下游延伸。鼓励具有跨运输方式货运组织能力的企业，开展多式联运示范工程建设。</w:t>
      </w:r>
      <w:bookmarkStart w:id="29" w:name="_Toc17931"/>
    </w:p>
    <w:bookmarkEnd w:id="29"/>
    <w:p>
      <w:pPr>
        <w:adjustRightInd w:val="0"/>
        <w:snapToGrid w:val="0"/>
        <w:spacing w:line="600" w:lineRule="exact"/>
        <w:ind w:firstLine="628" w:firstLineChars="0"/>
        <w:jc w:val="both"/>
        <w:rPr>
          <w:rFonts w:ascii="方正仿宋_GB2312" w:hAnsi="方正仿宋_GB2312" w:eastAsia="方正仿宋_GB2312" w:cs="方正仿宋_GB2312"/>
          <w:sz w:val="32"/>
          <w:szCs w:val="32"/>
        </w:rPr>
      </w:pPr>
      <w:r>
        <w:rPr>
          <w:rFonts w:hint="eastAsia" w:ascii="Times New Roman" w:hAnsi="Times New Roman" w:eastAsia="楷体_GB2312" w:cs="Times New Roman"/>
          <w:b/>
          <w:bCs/>
          <w:color w:val="000000"/>
          <w:kern w:val="0"/>
          <w:sz w:val="32"/>
          <w:szCs w:val="32"/>
          <w:lang w:val="en-US" w:eastAsia="zh-CN" w:bidi="ar-SA"/>
        </w:rPr>
        <w:t>创新运输组织方式。</w:t>
      </w:r>
      <w:r>
        <w:rPr>
          <w:rFonts w:hint="eastAsia" w:ascii="Times New Roman" w:hAnsi="Times New Roman" w:eastAsia="仿宋_GB2312" w:cs="Times New Roman"/>
          <w:color w:val="000000"/>
          <w:spacing w:val="-2"/>
          <w:kern w:val="0"/>
          <w:sz w:val="32"/>
          <w:szCs w:val="32"/>
          <w:lang w:val="en-US" w:eastAsia="zh-CN" w:bidi="ar-SA"/>
        </w:rPr>
        <w:t>加快云计算、大数据、物联网、北斗导航等先进信息技术在货源组织中的应用，鼓励运输车辆装备车载信息通信装置，实现合理配载和车辆调配。加强与新渝欧、蓉欧班列的高效衔接，推进“一箱到底”运输模式，常态化运行“桂林-北部湾港”海铁联运班列。大力发展</w:t>
      </w:r>
      <w:r>
        <w:rPr>
          <w:rFonts w:hint="eastAsia" w:ascii="Times New Roman" w:hAnsi="Times New Roman" w:eastAsia="仿宋_GB2312" w:cs="Times New Roman"/>
          <w:color w:val="000000"/>
          <w:spacing w:val="-2"/>
          <w:kern w:val="0"/>
          <w:sz w:val="32"/>
          <w:szCs w:val="32"/>
          <w:u w:val="none"/>
          <w:lang w:val="en-US" w:eastAsia="zh-CN" w:bidi="ar-SA"/>
        </w:rPr>
        <w:t>网络货运</w:t>
      </w:r>
      <w:r>
        <w:rPr>
          <w:rFonts w:hint="eastAsia" w:ascii="Times New Roman" w:hAnsi="Times New Roman" w:eastAsia="仿宋_GB2312" w:cs="Times New Roman"/>
          <w:color w:val="000000"/>
          <w:spacing w:val="-2"/>
          <w:kern w:val="0"/>
          <w:sz w:val="32"/>
          <w:szCs w:val="32"/>
          <w:lang w:val="en-US" w:eastAsia="zh-CN" w:bidi="ar-SA"/>
        </w:rPr>
        <w:t>，培育多种类型多式联运经营人，支持引导挂车共享租赁、甩挂运输、品牌连锁等运输组织模式发展。</w:t>
      </w:r>
    </w:p>
    <w:p>
      <w:pPr>
        <w:adjustRightInd w:val="0"/>
        <w:snapToGrid w:val="0"/>
        <w:spacing w:line="600" w:lineRule="exact"/>
        <w:ind w:firstLine="6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优化政策环境。</w:t>
      </w:r>
      <w:r>
        <w:rPr>
          <w:rFonts w:hint="eastAsia" w:ascii="Times New Roman" w:hAnsi="Times New Roman" w:eastAsia="仿宋_GB2312" w:cs="Times New Roman"/>
          <w:color w:val="000000"/>
          <w:spacing w:val="-2"/>
          <w:kern w:val="0"/>
          <w:sz w:val="32"/>
          <w:szCs w:val="32"/>
          <w:lang w:val="en-US" w:eastAsia="zh-CN" w:bidi="ar-SA"/>
        </w:rPr>
        <w:t>建立公平开放规范的市场新秩序，优化行业行政审批，清理、归并和精简相关证照资质。鼓励先进技术的应用推广，提升设施设备专业化和智能化水平，优化行政执法、信用体系建设、推动跨部门管理协同。</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30" w:name="_Toc24436"/>
      <w:bookmarkStart w:id="31" w:name="_Toc25382"/>
      <w:r>
        <w:rPr>
          <w:rFonts w:hint="eastAsia" w:ascii="黑体" w:hAnsi="黑体" w:eastAsia="黑体" w:cs="黑体"/>
          <w:b w:val="0"/>
          <w:bCs w:val="0"/>
        </w:rPr>
        <w:t>（二）提升物流服务专业化发展水平</w:t>
      </w:r>
      <w:bookmarkEnd w:id="30"/>
      <w:bookmarkEnd w:id="31"/>
    </w:p>
    <w:p>
      <w:pPr>
        <w:widowControl w:val="0"/>
        <w:autoSpaceDE w:val="0"/>
        <w:autoSpaceDN w:val="0"/>
        <w:adjustRightInd w:val="0"/>
        <w:spacing w:before="0" w:beforeAutospacing="0" w:after="0" w:afterAutospacing="0"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补强电商快递物流。</w:t>
      </w:r>
      <w:r>
        <w:rPr>
          <w:rFonts w:hint="eastAsia" w:ascii="Times New Roman" w:hAnsi="Times New Roman" w:eastAsia="仿宋_GB2312" w:cs="Times New Roman"/>
          <w:color w:val="000000"/>
          <w:spacing w:val="-2"/>
          <w:kern w:val="0"/>
          <w:sz w:val="32"/>
          <w:szCs w:val="32"/>
          <w:lang w:val="en-US" w:eastAsia="zh-CN" w:bidi="ar-SA"/>
        </w:rPr>
        <w:t>以国家电子商务示范城市建设为契机，建设辐射桂粤湘黔四省区结合部的电商集疏分拨中心和快递物流中心。鼓励产业园区、商贸中心、生产基地与电商快递融合发展，加快建设“电商/快递+仓储+物流配送”三位一体的电商快递物流产业园区。鼓励邮政、顺丰、京东、申通等快递企业在桂林设置区域性集疏分拨中心，吸引电商快递企业设立分支机构或总部基地。支持快递企业向电商产业园区、批发市场、百货商场、连锁商业机构、便利店、物业公司、社区服务组织、大中专院校等提供集约化配送、网订店取等多样化个性化服务。健全以县级仓储配送中心、乡镇物流服务站、村级物流服务节点、农村物流快递公共取送点为支撑的农村配送网络。支持传统物流园区结合快递、电商企业发展需求进行改造，形成覆盖全市及邻近市县的枢纽型电商物流中心。加快快递“进村进厂”，支持建设农产品产地冷链物流中心、田间地头冷库等设施，完善电子商务冷链供应链体系，畅通</w:t>
      </w:r>
      <w:r>
        <w:rPr>
          <w:rFonts w:hint="eastAsia" w:ascii="Times New Roman" w:hAnsi="Times New Roman" w:eastAsia="仿宋_GB2312" w:cs="Times New Roman"/>
          <w:color w:val="000000"/>
          <w:spacing w:val="-2"/>
          <w:kern w:val="0"/>
          <w:sz w:val="32"/>
          <w:szCs w:val="32"/>
          <w:u w:val="none"/>
          <w:lang w:val="en-US" w:eastAsia="zh-CN" w:bidi="ar-SA"/>
        </w:rPr>
        <w:t>农产品上行</w:t>
      </w:r>
      <w:r>
        <w:rPr>
          <w:rFonts w:hint="eastAsia" w:ascii="Times New Roman" w:hAnsi="Times New Roman" w:eastAsia="仿宋_GB2312" w:cs="Times New Roman"/>
          <w:color w:val="000000"/>
          <w:spacing w:val="-2"/>
          <w:kern w:val="0"/>
          <w:sz w:val="32"/>
          <w:szCs w:val="32"/>
          <w:lang w:val="en-US" w:eastAsia="zh-CN" w:bidi="ar-SA"/>
        </w:rPr>
        <w:t>通道。</w:t>
      </w:r>
    </w:p>
    <w:tbl>
      <w:tblPr>
        <w:tblStyle w:val="29"/>
        <w:tblpPr w:leftFromText="180" w:rightFromText="180" w:vertAnchor="text" w:tblpX="164" w:tblpY="214"/>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340" w:type="dxa"/>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方正仿宋_GB2312" w:hAnsi="方正仿宋_GB2312" w:eastAsia="方正仿宋_GB2312" w:cs="方正仿宋_GB2312"/>
                <w:b/>
                <w:bCs/>
                <w:sz w:val="28"/>
                <w:szCs w:val="28"/>
              </w:rPr>
            </w:pPr>
            <w:r>
              <w:rPr>
                <w:rFonts w:hint="eastAsia" w:ascii="黑体" w:hAnsi="黑体" w:eastAsia="黑体" w:cs="黑体"/>
                <w:b w:val="0"/>
                <w:bCs w:val="0"/>
                <w:sz w:val="28"/>
                <w:szCs w:val="28"/>
              </w:rPr>
              <w:t>专栏3   快递物流补强重点项目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0" w:type="dxa"/>
          </w:tcPr>
          <w:p>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rPr>
                <w:rFonts w:ascii="方正仿宋_GB2312" w:hAnsi="方正仿宋_GB2312" w:eastAsia="方正仿宋_GB2312" w:cs="方正仿宋_GB2312"/>
                <w:sz w:val="28"/>
                <w:szCs w:val="28"/>
              </w:rPr>
            </w:pPr>
            <w:r>
              <w:rPr>
                <w:rFonts w:hint="eastAsia" w:ascii="仿宋_GB2312" w:hAnsi="仿宋_GB2312" w:eastAsia="仿宋_GB2312" w:cs="仿宋_GB2312"/>
                <w:sz w:val="28"/>
                <w:szCs w:val="28"/>
              </w:rPr>
              <w:t>桂林中辰电商物流交易中心、桂林申通物流园、桂林国投城市电商物流园、桂林西物流中心快递物流园、荔浦市电商枢纽中心、平乐电商物流总部经济园、桂林邮政电商产业园。建设荔浦市智慧电商物流园、资源县电子商务分拣仓储配送中心、龙胜县电子商务中心等城乡物流配送项目。</w:t>
            </w:r>
          </w:p>
        </w:tc>
      </w:tr>
    </w:tbl>
    <w:p>
      <w:pPr>
        <w:pStyle w:val="25"/>
        <w:adjustRightInd w:val="0"/>
        <w:snapToGrid w:val="0"/>
        <w:spacing w:before="0" w:beforeAutospacing="0" w:after="0" w:afterAutospacing="0"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引导布局高铁物流。</w:t>
      </w:r>
      <w:r>
        <w:rPr>
          <w:rFonts w:hint="eastAsia" w:ascii="Times New Roman" w:hAnsi="Times New Roman" w:eastAsia="仿宋_GB2312" w:cs="Times New Roman"/>
          <w:color w:val="000000"/>
          <w:spacing w:val="-2"/>
          <w:kern w:val="0"/>
          <w:sz w:val="32"/>
          <w:szCs w:val="32"/>
          <w:lang w:val="en-US" w:eastAsia="zh-CN" w:bidi="ar-SA"/>
        </w:rPr>
        <w:t>发挥桂林高铁十字交会的枢纽优势，加强高铁场站功能设施改造升级，完善与高铁物流相配套的硬件基础设施，一体化布局电商快递分拨与配送中心。推动应用可加挂高铁货运车厢、货运柜等专用运载装备。培育开行跨区域、长距离的“点对点”高铁货运班列专列，围绕电商、快递、精密仪器等时效性较强的货物，开发一批“次日达”高铁物流服务产品。</w:t>
      </w:r>
    </w:p>
    <w:p>
      <w:pPr>
        <w:pStyle w:val="25"/>
        <w:adjustRightInd w:val="0"/>
        <w:snapToGrid w:val="0"/>
        <w:spacing w:before="0" w:beforeAutospacing="0" w:after="0" w:afterAutospacing="0"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培育发展航空物流。</w:t>
      </w:r>
      <w:r>
        <w:rPr>
          <w:rFonts w:hint="eastAsia" w:ascii="Times New Roman" w:hAnsi="Times New Roman" w:eastAsia="仿宋_GB2312" w:cs="Times New Roman"/>
          <w:color w:val="000000"/>
          <w:spacing w:val="-2"/>
          <w:kern w:val="0"/>
          <w:sz w:val="32"/>
          <w:szCs w:val="32"/>
          <w:lang w:val="en-US" w:eastAsia="zh-CN" w:bidi="ar-SA"/>
        </w:rPr>
        <w:t>加强桂林两江国际机场枢纽功能，引入顺丰、圆通等货运航线，扩展桂林与大中城市航班，织密面向日韩、东南亚、欧美等地区的国际航线网络，提高客机腹舱带货运输能力和保税通关、航空快递、航空冷链等服务能力，积极发展国际航空全货航线。强化物流业与临空产业协同发展，加快培育生鲜水果、跨境电商、医药冷链等航空物流业态，推进机场货站与卡车、高铁物流无缝衔接。加快发展临空经济，打造广西临空经济发展的重要增长极。</w:t>
      </w:r>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做大做强汽车物流。</w:t>
      </w:r>
      <w:r>
        <w:rPr>
          <w:rFonts w:hint="eastAsia" w:ascii="Times New Roman" w:hAnsi="Times New Roman" w:eastAsia="仿宋_GB2312" w:cs="Times New Roman"/>
          <w:color w:val="000000"/>
          <w:spacing w:val="-2"/>
          <w:kern w:val="0"/>
          <w:sz w:val="32"/>
          <w:szCs w:val="32"/>
          <w:lang w:val="en-US" w:eastAsia="zh-CN" w:bidi="ar-SA"/>
        </w:rPr>
        <w:t>加快建设汽车展示馆，打造</w:t>
      </w:r>
      <w:r>
        <w:rPr>
          <w:rFonts w:hint="default" w:ascii="Times New Roman" w:hAnsi="Times New Roman" w:eastAsia="仿宋_GB2312" w:cs="Times New Roman"/>
          <w:color w:val="000000"/>
          <w:spacing w:val="-2"/>
          <w:kern w:val="0"/>
          <w:sz w:val="32"/>
          <w:szCs w:val="32"/>
          <w:lang w:val="en-US" w:eastAsia="zh-CN" w:bidi="ar-SA"/>
        </w:rPr>
        <w:t>商品</w:t>
      </w:r>
      <w:r>
        <w:rPr>
          <w:rFonts w:hint="eastAsia" w:ascii="Times New Roman" w:hAnsi="Times New Roman" w:eastAsia="仿宋_GB2312" w:cs="Times New Roman"/>
          <w:color w:val="000000"/>
          <w:spacing w:val="-2"/>
          <w:kern w:val="0"/>
          <w:sz w:val="32"/>
          <w:szCs w:val="32"/>
          <w:lang w:val="en-US" w:eastAsia="zh-CN" w:bidi="ar-SA"/>
        </w:rPr>
        <w:t>车物流基地。培育商品车物流企业，创新汽车物流从运输、仓储等物流基础服务逐步向信息、数据、金融、包装、装备等物流增值服务方向转变。推进汽车零部件供应链体系建设，创新发展流通领域供应链。</w:t>
      </w:r>
    </w:p>
    <w:p>
      <w:pPr>
        <w:keepNext w:val="0"/>
        <w:keepLines w:val="0"/>
        <w:pageBreakBefore w:val="0"/>
        <w:widowControl/>
        <w:kinsoku/>
        <w:wordWrap/>
        <w:overflowPunct/>
        <w:topLinePunct w:val="0"/>
        <w:autoSpaceDE/>
        <w:autoSpaceDN/>
        <w:bidi w:val="0"/>
        <w:adjustRightInd w:val="0"/>
        <w:snapToGrid w:val="0"/>
        <w:spacing w:line="600" w:lineRule="exact"/>
        <w:ind w:firstLine="630" w:firstLineChars="196"/>
        <w:jc w:val="both"/>
        <w:textAlignment w:val="auto"/>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加快发展大宗商品物流。</w:t>
      </w:r>
      <w:r>
        <w:rPr>
          <w:rFonts w:hint="eastAsia" w:ascii="Times New Roman" w:hAnsi="Times New Roman" w:eastAsia="仿宋_GB2312" w:cs="Times New Roman"/>
          <w:color w:val="000000"/>
          <w:spacing w:val="-2"/>
          <w:kern w:val="0"/>
          <w:sz w:val="32"/>
          <w:szCs w:val="32"/>
          <w:lang w:val="en-US" w:eastAsia="zh-CN" w:bidi="ar-SA"/>
        </w:rPr>
        <w:t>优化能源、矿产、粮食等大宗商品物流服务网络，加强提升服务大宗商品物流能力。建设煤炭、钢材、粮油、木材等大宗商品物流基地，推动大宗商品仓储数字化，增强战略物资保障能力。</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32" w:name="_Toc83812224"/>
      <w:bookmarkStart w:id="33" w:name="_Toc16619"/>
      <w:bookmarkStart w:id="34" w:name="_Toc30184"/>
      <w:r>
        <w:rPr>
          <w:rFonts w:hint="eastAsia" w:ascii="黑体" w:hAnsi="黑体" w:eastAsia="黑体" w:cs="黑体"/>
          <w:b w:val="0"/>
          <w:bCs w:val="0"/>
        </w:rPr>
        <w:t>（三）</w:t>
      </w:r>
      <w:bookmarkEnd w:id="32"/>
      <w:r>
        <w:rPr>
          <w:rFonts w:hint="eastAsia" w:ascii="黑体" w:hAnsi="黑体" w:eastAsia="黑体" w:cs="黑体"/>
          <w:b w:val="0"/>
          <w:bCs w:val="0"/>
        </w:rPr>
        <w:t>提高应急物流保障能力</w:t>
      </w:r>
      <w:bookmarkEnd w:id="33"/>
      <w:bookmarkEnd w:id="34"/>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left"/>
        <w:textAlignment w:val="auto"/>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建设应急物流保障网络。</w:t>
      </w:r>
      <w:r>
        <w:rPr>
          <w:rFonts w:hint="eastAsia" w:ascii="Times New Roman" w:hAnsi="Times New Roman" w:eastAsia="仿宋_GB2312" w:cs="Times New Roman"/>
          <w:color w:val="000000"/>
          <w:spacing w:val="-2"/>
          <w:kern w:val="0"/>
          <w:sz w:val="32"/>
          <w:szCs w:val="32"/>
          <w:lang w:val="en-US" w:eastAsia="zh-CN" w:bidi="ar-SA"/>
        </w:rPr>
        <w:t>以桂林市医药及应急物资储备中心和全州县桂北粮食仓储物流中心为基础，布局建设市级应急物资储备中心、县（市、区）应急物资储备仓库、乡镇应急站三级应急物流网络。推动物流枢纽、物流园区既有设施，嵌入应急功能，在临桂区、兴安县、平乐县设立应急物资运输中转场站。提高应急物流技术装备水平，发展快速通达、转运装卸和“无接触”技术装备。发挥桂林市物流与采购联合会、骨干物流企业的主力军作用，制定应急物流保障重点企业名录。</w:t>
      </w:r>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完善军民融合物流体系。</w:t>
      </w:r>
      <w:r>
        <w:rPr>
          <w:rFonts w:hint="eastAsia" w:ascii="Times New Roman" w:hAnsi="Times New Roman" w:eastAsia="仿宋_GB2312" w:cs="Times New Roman"/>
          <w:color w:val="000000"/>
          <w:spacing w:val="-2"/>
          <w:kern w:val="0"/>
          <w:sz w:val="32"/>
          <w:szCs w:val="32"/>
          <w:lang w:val="en-US" w:eastAsia="zh-CN" w:bidi="ar-SA"/>
        </w:rPr>
        <w:t>充分发挥桂林南部战区联勤保障中心的后勤保障功能，按照经济与战备兼容、平时与战时衔接、民用与军需一体的要求，在桂林市物流基础设施设备建设中强化军事功能。充分利用驻桂林部队，兴安、荔浦、阳朔、资源等通用航空机场和低空旅游专用机场，建立军民结合、平灾结合、专业力量和社会力量相结合的空中应急物流支援模式。促使顺丰集团、中铁快运、中国邮政等大型物流企业进入军事物流系统，形成以军队物流资源为骨干、社会物流资源为补充的新保障格局。</w:t>
      </w:r>
    </w:p>
    <w:p>
      <w:pPr>
        <w:keepNext w:val="0"/>
        <w:keepLines w:val="0"/>
        <w:pageBreakBefore w:val="0"/>
        <w:kinsoku/>
        <w:wordWrap/>
        <w:overflowPunct/>
        <w:topLinePunct w:val="0"/>
        <w:bidi w:val="0"/>
        <w:adjustRightInd/>
        <w:snapToGrid/>
        <w:spacing w:line="600" w:lineRule="atLeast"/>
        <w:ind w:firstLine="643" w:firstLineChars="200"/>
        <w:jc w:val="left"/>
        <w:textAlignment w:val="auto"/>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建立应急快速响应系统。</w:t>
      </w:r>
      <w:r>
        <w:rPr>
          <w:rFonts w:hint="eastAsia" w:ascii="Times New Roman" w:hAnsi="Times New Roman" w:eastAsia="仿宋_GB2312" w:cs="Times New Roman"/>
          <w:color w:val="000000"/>
          <w:spacing w:val="-2"/>
          <w:kern w:val="0"/>
          <w:sz w:val="32"/>
          <w:szCs w:val="32"/>
          <w:lang w:val="en-US" w:eastAsia="zh-CN" w:bidi="ar-SA"/>
        </w:rPr>
        <w:t>建立统一协调、反应迅捷、运行有序、高效可靠的应急物流体系，提高医药冷链物资体系、常规物资应急体系、应急物流信息平台的快速响应能力。建立交通管制信息发布机制，及时向社会和公众发布信息，建立公路、铁路、水路、航空相结合的立体化应急物资配送紧急通道。统筹货运物流疫情防控和保通保畅工作，全力保障货运物流特别是医疗与防控物资、生活必需品、政府储备物资、邮政快递等民生物资和农业、能源、原材料、重点工业品等重要生产物资运输畅通，切实维护人民群众正常生产生活秩序。</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35" w:name="_Toc7317"/>
      <w:bookmarkStart w:id="36" w:name="_Toc31522"/>
      <w:r>
        <w:rPr>
          <w:rFonts w:hint="eastAsia" w:ascii="黑体" w:hAnsi="黑体" w:eastAsia="黑体" w:cs="黑体"/>
          <w:b w:val="0"/>
          <w:bCs w:val="0"/>
          <w:lang w:val="en-US" w:eastAsia="zh-CN"/>
        </w:rPr>
        <w:t>（四）</w:t>
      </w:r>
      <w:r>
        <w:rPr>
          <w:rFonts w:hint="eastAsia" w:ascii="黑体" w:hAnsi="黑体" w:eastAsia="黑体" w:cs="黑体"/>
          <w:b w:val="0"/>
          <w:bCs w:val="0"/>
        </w:rPr>
        <w:t>推动智慧绿色物流创新发展</w:t>
      </w:r>
      <w:bookmarkEnd w:id="35"/>
      <w:bookmarkEnd w:id="36"/>
    </w:p>
    <w:p>
      <w:pPr>
        <w:keepNext w:val="0"/>
        <w:keepLines w:val="0"/>
        <w:pageBreakBefore w:val="0"/>
        <w:widowControl w:val="0"/>
        <w:kinsoku/>
        <w:wordWrap/>
        <w:overflowPunct/>
        <w:topLinePunct w:val="0"/>
        <w:autoSpaceDE w:val="0"/>
        <w:autoSpaceDN w:val="0"/>
        <w:bidi w:val="0"/>
        <w:adjustRightInd w:val="0"/>
        <w:snapToGrid/>
        <w:spacing w:line="600" w:lineRule="atLeast"/>
        <w:ind w:firstLine="643" w:firstLineChars="200"/>
        <w:jc w:val="both"/>
        <w:textAlignment w:val="auto"/>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加快物流数字化应用。</w:t>
      </w:r>
      <w:r>
        <w:rPr>
          <w:rFonts w:hint="eastAsia" w:ascii="Times New Roman" w:hAnsi="Times New Roman" w:eastAsia="仿宋_GB2312" w:cs="Times New Roman"/>
          <w:color w:val="000000"/>
          <w:spacing w:val="-2"/>
          <w:kern w:val="0"/>
          <w:sz w:val="32"/>
          <w:szCs w:val="32"/>
          <w:lang w:val="en-US" w:eastAsia="zh-CN" w:bidi="ar-SA"/>
        </w:rPr>
        <w:t>推进大数据、物联网、云计算、北斗导航、生物识别等现代信息技术在物流跟踪、认证、交易、支付、监管、信用评价等环节的应用推广。推进运输、仓储、配送等物流环节的智能化建设，大力发展产品可追溯、在线车辆调度、产品自动分拣、智能快递和智能配货等技术设备，推广无人车、无人机等先进物流设备应用。加快新一代物流信息基础设施建设，实现物流园区、配送中心、货运站等物流节点的设施数字化，形成可感知、可视可控的智慧物流设施体系。</w:t>
      </w:r>
      <w:r>
        <w:rPr>
          <w:rFonts w:hint="eastAsia" w:ascii="Times New Roman" w:hAnsi="Times New Roman" w:eastAsia="仿宋_GB2312" w:cs="Times New Roman"/>
          <w:color w:val="000000"/>
          <w:spacing w:val="-2"/>
          <w:sz w:val="32"/>
          <w:szCs w:val="32"/>
        </w:rPr>
        <w:t>优化</w:t>
      </w:r>
      <w:r>
        <w:rPr>
          <w:rFonts w:hint="eastAsia" w:ascii="Times New Roman" w:hAnsi="Times New Roman" w:eastAsia="仿宋_GB2312" w:cs="Times New Roman"/>
          <w:color w:val="000000"/>
          <w:spacing w:val="-2"/>
          <w:kern w:val="0"/>
          <w:sz w:val="32"/>
          <w:szCs w:val="32"/>
          <w:lang w:val="en-US" w:eastAsia="zh-CN" w:bidi="ar-SA"/>
        </w:rPr>
        <w:t>通达、小麻雀、桂林储运等物流企业自有信息平台，</w:t>
      </w:r>
      <w:r>
        <w:rPr>
          <w:rFonts w:hint="eastAsia" w:ascii="Times New Roman" w:hAnsi="Times New Roman" w:eastAsia="仿宋_GB2312" w:cs="Times New Roman"/>
          <w:color w:val="000000"/>
          <w:spacing w:val="-2"/>
          <w:sz w:val="32"/>
          <w:szCs w:val="32"/>
        </w:rPr>
        <w:t>加强与广西物流公共信息服务平台有效衔接</w:t>
      </w:r>
      <w:r>
        <w:rPr>
          <w:rFonts w:hint="eastAsia" w:ascii="Times New Roman" w:hAnsi="Times New Roman" w:eastAsia="仿宋_GB2312" w:cs="Times New Roman"/>
          <w:color w:val="000000"/>
          <w:spacing w:val="-2"/>
          <w:kern w:val="0"/>
          <w:sz w:val="32"/>
          <w:szCs w:val="32"/>
          <w:lang w:val="en-US" w:eastAsia="zh-CN" w:bidi="ar-SA"/>
        </w:rPr>
        <w:t>，推进跨地区、跨行业互联共享。</w:t>
      </w:r>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推动物流全链条绿色化发展。</w:t>
      </w:r>
      <w:r>
        <w:rPr>
          <w:rFonts w:hint="eastAsia" w:ascii="Times New Roman" w:hAnsi="Times New Roman" w:eastAsia="仿宋_GB2312" w:cs="Times New Roman"/>
          <w:color w:val="000000"/>
          <w:spacing w:val="-2"/>
          <w:kern w:val="0"/>
          <w:sz w:val="32"/>
          <w:szCs w:val="32"/>
          <w:lang w:val="en-US" w:eastAsia="zh-CN" w:bidi="ar-SA"/>
        </w:rPr>
        <w:t>推行绿色物流经营，提倡绿色运输、仓储和包装等环节协同运行，鼓励采用低能耗、低排放运输工具和节能型绿色仓储设施，引导和扶持企业在城乡配送、邮政快递、电子商务、码头堆场等领域推广应用新能源物流车辆。积极推进运输结构调整，推动大宗货物运输由公路转向铁水、公铁、公水等多式联运转变。推广先进运输组织模式，推进低污染负荷的循环物流系统建设。推广电子面单、环保袋、循环箱、绿色回收箱，实施货物包装和物流器具绿色化、减量化。加快发展回收物流，布局逆向物流网点，规划建设可再生资源回收物流中心，推动第三方物流开展逆向物流业务，提高逆向物流服务水平。到2025年，建成2-3家绿色快递示范园区。</w:t>
      </w:r>
    </w:p>
    <w:tbl>
      <w:tblPr>
        <w:tblStyle w:val="2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96" w:type="dxa"/>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方正仿宋_GB2312" w:hAnsi="方正仿宋_GB2312" w:eastAsia="方正仿宋_GB2312" w:cs="方正仿宋_GB2312"/>
                <w:b/>
                <w:bCs/>
                <w:sz w:val="28"/>
                <w:szCs w:val="28"/>
              </w:rPr>
            </w:pPr>
            <w:r>
              <w:rPr>
                <w:rFonts w:hint="eastAsia" w:ascii="黑体" w:hAnsi="黑体" w:eastAsia="黑体" w:cs="黑体"/>
                <w:b w:val="0"/>
                <w:bCs w:val="0"/>
                <w:sz w:val="28"/>
                <w:szCs w:val="28"/>
              </w:rPr>
              <w:t>专栏4  智慧绿色物流重点工程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打造智慧物流园区或智慧仓储示范区。</w:t>
            </w:r>
            <w:r>
              <w:rPr>
                <w:rFonts w:hint="eastAsia" w:ascii="仿宋_GB2312" w:hAnsi="仿宋_GB2312" w:eastAsia="仿宋_GB2312" w:cs="仿宋_GB2312"/>
                <w:sz w:val="28"/>
                <w:szCs w:val="28"/>
              </w:rPr>
              <w:t>运用北斗监控、GPS（全球定位系统）监控、GIS（地理图形查询）地理服务、ITS（智能运输系统）、ASP租赁、RFID射频扫描、可视化等高新技术，使用无人机、无人驾驶货车、可穿戴设备、智能快件箱、自动分拣机器人等智能化装备。三大园区打造智慧物流示范园区，率先开展数字化、智能化改造升级</w:t>
            </w:r>
            <w:r>
              <w:rPr>
                <w:rFonts w:hint="eastAsia" w:ascii="仿宋_GB2312" w:hAnsi="仿宋_GB2312" w:eastAsia="仿宋_GB2312" w:cs="仿宋_GB2312"/>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申报国家绿色货运配送示范工程。</w:t>
            </w:r>
            <w:r>
              <w:rPr>
                <w:rFonts w:hint="eastAsia" w:ascii="仿宋_GB2312" w:hAnsi="仿宋_GB2312" w:eastAsia="仿宋_GB2312" w:cs="仿宋_GB2312"/>
                <w:sz w:val="28"/>
                <w:szCs w:val="28"/>
              </w:rPr>
              <w:t>鼓励采用低耗能、低排放运输工具和节能型绿色仓储设施，加快发展铁水、公铁、公水等多式联运，推进公共“挂车池”“运力池”“托盘池”等共享模式和甩挂运输等绿色运输方式发展，申报国家第三批城市绿色货运配送示范工程。</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ascii="方正仿宋_GB2312" w:hAnsi="方正仿宋_GB2312" w:eastAsia="方正仿宋_GB2312" w:cs="方正仿宋_GB2312"/>
                <w:sz w:val="28"/>
                <w:szCs w:val="28"/>
              </w:rPr>
            </w:pPr>
            <w:r>
              <w:rPr>
                <w:rFonts w:hint="eastAsia" w:ascii="仿宋_GB2312" w:hAnsi="仿宋_GB2312" w:eastAsia="仿宋_GB2312" w:cs="仿宋_GB2312"/>
                <w:b/>
                <w:bCs/>
                <w:sz w:val="28"/>
                <w:szCs w:val="28"/>
              </w:rPr>
              <w:t>建设专用充电站和快速充电桩。</w:t>
            </w:r>
            <w:r>
              <w:rPr>
                <w:rFonts w:hint="eastAsia" w:ascii="仿宋_GB2312" w:hAnsi="仿宋_GB2312" w:eastAsia="仿宋_GB2312" w:cs="仿宋_GB2312"/>
                <w:sz w:val="28"/>
                <w:szCs w:val="28"/>
              </w:rPr>
              <w:t>推广应用新能源和清洁能源物流配送车辆，在物流园区、工业园区、大型商业购物中心、农贸批发市场等货流密集区域，集中规划建设专用充电站和快速充电桩。</w:t>
            </w:r>
          </w:p>
        </w:tc>
      </w:tr>
    </w:tbl>
    <w:p>
      <w:pPr>
        <w:pStyle w:val="4"/>
        <w:adjustRightInd w:val="0"/>
        <w:snapToGrid w:val="0"/>
        <w:spacing w:before="0" w:after="0" w:line="600" w:lineRule="exact"/>
        <w:ind w:firstLine="640" w:firstLineChars="200"/>
        <w:rPr>
          <w:rFonts w:ascii="方正楷体_GB2312" w:hAnsi="方正楷体_GB2312" w:eastAsia="方正楷体_GB2312" w:cs="方正楷体_GB2312"/>
          <w:b w:val="0"/>
          <w:bCs w:val="0"/>
          <w:sz w:val="32"/>
          <w:szCs w:val="32"/>
        </w:rPr>
      </w:pPr>
      <w:bookmarkStart w:id="37" w:name="_Toc31509"/>
      <w:bookmarkStart w:id="38" w:name="_Toc11687"/>
      <w:r>
        <w:rPr>
          <w:rFonts w:hint="eastAsia" w:ascii="黑体" w:hAnsi="黑体" w:eastAsia="黑体" w:cs="黑体"/>
          <w:b w:val="0"/>
          <w:bCs w:val="0"/>
          <w:sz w:val="32"/>
          <w:szCs w:val="32"/>
        </w:rPr>
        <w:t>五、健全冷链物流服务体系</w:t>
      </w:r>
      <w:bookmarkEnd w:id="37"/>
      <w:bookmarkEnd w:id="38"/>
      <w:r>
        <w:rPr>
          <w:rFonts w:hint="eastAsia" w:ascii="方正楷体_GB2312" w:hAnsi="方正楷体_GB2312" w:eastAsia="方正楷体_GB2312" w:cs="方正楷体_GB2312"/>
          <w:b w:val="0"/>
          <w:bCs w:val="0"/>
          <w:sz w:val="32"/>
          <w:szCs w:val="32"/>
        </w:rPr>
        <w:t xml:space="preserve"> </w:t>
      </w:r>
    </w:p>
    <w:p>
      <w:pPr>
        <w:adjustRightInd w:val="0"/>
        <w:snapToGrid w:val="0"/>
        <w:spacing w:line="600" w:lineRule="exact"/>
        <w:ind w:firstLine="632" w:firstLineChars="200"/>
        <w:jc w:val="both"/>
        <w:rPr>
          <w:rFonts w:ascii="方正仿宋_GB2312" w:hAnsi="方正仿宋_GB2312" w:eastAsia="方正仿宋_GB2312" w:cs="方正仿宋_GB2312"/>
          <w:sz w:val="32"/>
          <w:szCs w:val="32"/>
        </w:rPr>
      </w:pPr>
      <w:r>
        <w:rPr>
          <w:rFonts w:hint="eastAsia" w:ascii="Times New Roman" w:hAnsi="Times New Roman" w:eastAsia="仿宋_GB2312" w:cs="Times New Roman"/>
          <w:color w:val="000000"/>
          <w:spacing w:val="-2"/>
          <w:kern w:val="0"/>
          <w:sz w:val="32"/>
          <w:szCs w:val="32"/>
          <w:lang w:val="en-US" w:eastAsia="zh-CN" w:bidi="ar-SA"/>
        </w:rPr>
        <w:t xml:space="preserve">聚焦“6＋1”重点品类（肉类、水果、蔬菜、水产品、乳品、速冻食品等主要生鲜食品以及疫苗等医药产品），建立畅通高效、安全绿色、智慧便捷、保障有力的现代冷链物流体系，提高冷链物流服务质量效率，有效减少农产品产后损失和食品流通浪费，扩大高品质市场供给，保障食品和医药产品安全，改善城乡居民生活质量。 </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39" w:name="_Toc30219"/>
      <w:bookmarkStart w:id="40" w:name="_Toc8046"/>
      <w:r>
        <w:rPr>
          <w:rFonts w:hint="eastAsia" w:ascii="黑体" w:hAnsi="黑体" w:eastAsia="黑体" w:cs="黑体"/>
          <w:b w:val="0"/>
          <w:bCs w:val="0"/>
        </w:rPr>
        <w:t>（一）夯实产销地冷链物流基础</w:t>
      </w:r>
      <w:bookmarkEnd w:id="39"/>
      <w:bookmarkEnd w:id="40"/>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完善产销地冷链物流设施布局。</w:t>
      </w:r>
      <w:r>
        <w:rPr>
          <w:rFonts w:hint="eastAsia" w:ascii="Times New Roman" w:hAnsi="Times New Roman" w:eastAsia="仿宋_GB2312" w:cs="Times New Roman"/>
          <w:color w:val="000000"/>
          <w:spacing w:val="-2"/>
          <w:kern w:val="0"/>
          <w:sz w:val="32"/>
          <w:szCs w:val="32"/>
          <w:lang w:val="en-US" w:eastAsia="zh-CN" w:bidi="ar-SA"/>
        </w:rPr>
        <w:t>加强农产品产地市场体系和仓储保鲜冷链设施建设，解决农产品“入市难”和“流通难”问题。加快完善县、乡、村三级冷链物流体系和覆盖城乡的冷链网点，建立“从田头到餐桌”的一体化冷链物流网络。整合集聚存量资源，引导新建冷库、冷链分拨配送中心等设施优化布局，加快创建国家骨干冷链物流基地。在水果、蔬菜优势产区和畜产品加工优势区，加快布局一批农产品产地市场和产地冷链集配中心；根据消费规模，依托物流中转规模较大的城市，加快新建和改扩建一批销地冷链集配中心。推进商贸冷链设施改造升级，引导城市商业街区、商圈、农贸市场共建共享小型公共冷库，加大冷链前置仓等城市末端配送设施建设力度。结合实际需要在田间地头建设一批具备保鲜、预冷等功能的小型、移动仓储设施和地头农产品仓储保鲜设施。</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加快冷链物流通道建设。</w:t>
      </w:r>
      <w:r>
        <w:rPr>
          <w:rFonts w:hint="eastAsia" w:ascii="Times New Roman" w:hAnsi="Times New Roman" w:eastAsia="仿宋_GB2312" w:cs="Times New Roman"/>
          <w:color w:val="000000"/>
          <w:spacing w:val="-2"/>
          <w:kern w:val="0"/>
          <w:sz w:val="32"/>
          <w:szCs w:val="32"/>
          <w:lang w:val="en-US" w:eastAsia="zh-CN" w:bidi="ar-SA"/>
        </w:rPr>
        <w:t>发展航空冷链物流，积极发展航线腹舱货运服务，构建国内经桂林中转东盟、日韩等地区的国际货运航线，着力打造4小时、8小时航空货运服务圈。发挥铁路冷链物流的优势，完善功能配套，组织货源，逐步开通桂林至粤港澳大湾区、华北地区、长江经济带等地区的冷链专列，构建冷链物流铁路快速通道。创新发展多式联运新模式，支持苏桥无水港、桂林机场和铁路西货站探索开展集装箱运输、商品车滚装运输、全程冷链运输、电商快递班列等多式联运方式，强化不同运输方式间的有效衔接。推进公铁联运，打造“轨道+仓储配送”铁路物流配送新模式。制定新能源城市配送车辆便利通行等政策，推进全市绿色货运配送发展。推进冷链物流门到门、端到端服务，消除“最先一公里”和“最后一公里”发展瓶颈。</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构建产地冷链物流服务网络。</w:t>
      </w:r>
      <w:r>
        <w:rPr>
          <w:rFonts w:hint="eastAsia" w:ascii="Times New Roman" w:hAnsi="Times New Roman" w:eastAsia="仿宋_GB2312" w:cs="Times New Roman"/>
          <w:color w:val="000000"/>
          <w:spacing w:val="-2"/>
          <w:kern w:val="0"/>
          <w:sz w:val="32"/>
          <w:szCs w:val="32"/>
          <w:lang w:val="en-US" w:eastAsia="zh-CN" w:bidi="ar-SA"/>
        </w:rPr>
        <w:t xml:space="preserve">鼓励各类农业经营主体与冷链物流企业加强合作，培育一批产地移动冷库和冷藏车社会化服务主体，发展设施巡回租赁、“移动冷库＋集配中心（物流园区）” 等模式，构建产地移动冷链物流设施运营网络，优化农产品田头集货组织。引导专业冷链物流企业开展从冷链源头基点到冷链集配中心、国家骨干冷链物流基地的干支衔接运输组织，鼓励电商、快递企业利用既有物流网络，构建稳定、高效、低成本运行的农产品出村进城冷链物流网络，逐步完善农村冷链物流体系。 </w:t>
      </w:r>
    </w:p>
    <w:p>
      <w:pPr>
        <w:widowControl w:val="0"/>
        <w:autoSpaceDE w:val="0"/>
        <w:autoSpaceDN w:val="0"/>
        <w:adjustRightInd w:val="0"/>
        <w:snapToGrid/>
        <w:spacing w:line="240" w:lineRule="auto"/>
        <w:ind w:firstLine="643" w:firstLineChars="200"/>
        <w:jc w:val="both"/>
        <w:rPr>
          <w:rFonts w:ascii="方正仿宋_GB2312" w:hAnsi="方正仿宋_GB2312" w:eastAsia="方正仿宋_GB2312" w:cs="方正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构建销地冷链物流服务网络。</w:t>
      </w:r>
      <w:r>
        <w:rPr>
          <w:rFonts w:hint="eastAsia" w:ascii="仿宋_GB2312" w:hAnsi="仿宋_GB2312" w:eastAsia="仿宋_GB2312" w:cs="仿宋_GB2312"/>
          <w:color w:val="000000"/>
          <w:sz w:val="32"/>
          <w:szCs w:val="32"/>
        </w:rPr>
        <w:t>引导城市商业街区、商圈、农贸市场共建共享小型公共冷库，加大冷链前置仓等城市末端配送设施建设力度</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鼓励农产品批发交易市场和生鲜农产品经营主体通过自营或与配送、冷链物流企业合作，为漓江游船、大型景区、城市居民、机关、各类学校、二级以上医院和企事业单位食堂提供一站式冷链农产品配送服务，为城市居民、社区和商超提供多品种、小批量、多批次的冷链配送服务。加强城市通行政策协同，便利冷藏车装卸通行。</w:t>
      </w:r>
    </w:p>
    <w:p>
      <w:pPr>
        <w:adjustRightInd w:val="0"/>
        <w:snapToGrid w:val="0"/>
        <w:spacing w:line="600" w:lineRule="exact"/>
        <w:ind w:firstLine="643" w:firstLineChars="200"/>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创新产销地冷链物流组织模式。</w:t>
      </w:r>
      <w:r>
        <w:rPr>
          <w:rFonts w:hint="eastAsia" w:ascii="仿宋_GB2312" w:hAnsi="仿宋_GB2312" w:eastAsia="仿宋_GB2312" w:cs="仿宋_GB2312"/>
          <w:color w:val="000000"/>
          <w:sz w:val="32"/>
          <w:szCs w:val="32"/>
        </w:rPr>
        <w:t>加强产地到销地直达冷链物流服务能力建设，推动新型农业经营主体发展农超对接、农批对接、农企对接、农社对接等农产品流通模式，促进农产品产地直供发展。围绕特色农产品优势产区，拓展产地冷链集配中心、冷链物流基地的交易展示、安全检测、溯源查询、统仓统配等功能，助力打造产地农产品品牌。依托冷链物流基地和销地冷链集配中心搭建城市冷链智慧公共配送平台，整合冷链运力资源，动态优化城市配送路径。鼓励物流企业规模化集并城市冷链和常温货物配送，加大多温区配送车、蓄冷保温箱和保温柜等推广应用力度，推动多种形式多温共配发展。鼓励物业服务企业开展冷链末端配送业务。深化城乡冷链配送网络协同发展，共享共用末端配送设施网点和配送冷藏车。鼓励发展生鲜农产品新零售。</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41" w:name="_Toc32325"/>
      <w:bookmarkStart w:id="42" w:name="_Toc16632"/>
      <w:r>
        <w:rPr>
          <w:rFonts w:hint="eastAsia" w:ascii="黑体" w:hAnsi="黑体" w:eastAsia="黑体" w:cs="黑体"/>
          <w:b w:val="0"/>
          <w:bCs w:val="0"/>
        </w:rPr>
        <w:t>（二）提高冷链物流服务质量</w:t>
      </w:r>
      <w:bookmarkEnd w:id="41"/>
      <w:bookmarkEnd w:id="42"/>
      <w:r>
        <w:rPr>
          <w:rFonts w:hint="eastAsia" w:ascii="黑体" w:hAnsi="黑体" w:eastAsia="黑体" w:cs="黑体"/>
          <w:b w:val="0"/>
          <w:bCs w:val="0"/>
        </w:rPr>
        <w:t xml:space="preserve"> </w:t>
      </w:r>
    </w:p>
    <w:p>
      <w:pPr>
        <w:spacing w:line="600" w:lineRule="exact"/>
        <w:ind w:firstLine="643" w:firstLineChars="200"/>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积极开展集约化冷链商贸运营创新试点。</w:t>
      </w:r>
      <w:r>
        <w:rPr>
          <w:rFonts w:hint="eastAsia" w:ascii="仿宋_GB2312" w:hAnsi="仿宋_GB2312" w:eastAsia="仿宋_GB2312" w:cs="仿宋_GB2312"/>
          <w:color w:val="000000"/>
          <w:sz w:val="32"/>
          <w:szCs w:val="32"/>
        </w:rPr>
        <w:t>以大型冷库为载体、以服务中心城区的传统冷库服务商为对象，推动完成技术升级与运营模式转型，将单一冷储功能转为集线上线下交易、展示体验、分拨配送、流通加工、金融支持、检验检疫等于一体化的集约式冷链运营模式。建立从上游产地直采、中游冷链运输及仓储、下游冷链配送完整的供应链系统，实现生鲜农产品从产地到销地一体化冷链物流管理。规范平台型企业发展，提高冷链物流信息共享水平。鼓励大型企业建设桂林农产品交易中心，推动线上数字化交易。积极推广“分时段配送”“无接触配送”“夜间配送”“中央厨房＋食材冷链配送”“生鲜电商＋冷链宅配”等冷链物流新业态、新模式。</w:t>
      </w:r>
    </w:p>
    <w:p>
      <w:pPr>
        <w:adjustRightInd w:val="0"/>
        <w:snapToGrid w:val="0"/>
        <w:spacing w:line="600" w:lineRule="exact"/>
        <w:ind w:firstLine="643" w:firstLineChars="200"/>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推动冷链运输设施设备升级。</w:t>
      </w:r>
      <w:r>
        <w:rPr>
          <w:rFonts w:hint="eastAsia" w:ascii="仿宋_GB2312" w:hAnsi="仿宋_GB2312" w:eastAsia="仿宋_GB2312" w:cs="仿宋_GB2312"/>
          <w:color w:val="000000"/>
          <w:sz w:val="32"/>
          <w:szCs w:val="32"/>
        </w:rPr>
        <w:t xml:space="preserve">严格冷藏车市场准入条件，加大标准化车型推广力度，推动在车辆出厂前安装符合标准要求的温度监测设备等，加快形成适应干线运输、支线转运、城市配送等不同需求的冷藏车车型和规格体系。有计划、分步骤淘汰非标准化冷藏车。加强冷藏车生产、改装监管，严厉打击非法改装。积极推广新型冷藏车、铁路冷藏车、冷藏集装箱。鼓励批发、零售、电商等企业将标准化托盘、周转箱（筐）作为采购订货、收验货的计量单元，引导冷链运输企业使用标准化托盘、周转箱（筐）、笼车等运载单元以及蓄冷箱、保温箱等单元化冷链载器具，提高带板运输比例。加强标准化冷链载器具循环共用体系建设，完善载器具租赁、维修、保养、调度等公共运营服务。鼓励企业研发应用适合果蔬等农产品的单元化包装，推动冷链运输全程“不倒托”、“不倒箱”，减少流通环节损耗。 </w:t>
      </w:r>
    </w:p>
    <w:p>
      <w:pPr>
        <w:adjustRightInd w:val="0"/>
        <w:snapToGrid w:val="0"/>
        <w:spacing w:line="600" w:lineRule="exact"/>
        <w:ind w:firstLine="643" w:firstLineChars="200"/>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提升国际冷链物流能力。</w:t>
      </w:r>
      <w:r>
        <w:rPr>
          <w:rFonts w:hint="eastAsia" w:ascii="仿宋_GB2312" w:hAnsi="仿宋_GB2312" w:eastAsia="仿宋_GB2312" w:cs="仿宋_GB2312"/>
          <w:color w:val="000000"/>
          <w:sz w:val="32"/>
          <w:szCs w:val="32"/>
        </w:rPr>
        <w:t>鼓励具备实力的企业依托西部陆海新通道开展国际冷链物流运作，积极布局建设冷链海外仓，提升跨境冷链物流全程组织能力。规划布局综合保税区、保税物流中心等海关特殊监管区域，谋划建设一批冷链物流基础设施，加快完善口岸冷链物流监管模式，优化通关流程。</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43" w:name="_Toc5290"/>
      <w:bookmarkStart w:id="44" w:name="_Toc28470"/>
      <w:r>
        <w:rPr>
          <w:rFonts w:hint="eastAsia" w:ascii="黑体" w:hAnsi="黑体" w:eastAsia="黑体" w:cs="黑体"/>
          <w:b w:val="0"/>
          <w:bCs w:val="0"/>
        </w:rPr>
        <w:t>（三）强化冷链物流支撑</w:t>
      </w:r>
      <w:bookmarkEnd w:id="43"/>
      <w:bookmarkEnd w:id="44"/>
    </w:p>
    <w:p>
      <w:pPr>
        <w:adjustRightInd w:val="0"/>
        <w:snapToGrid w:val="0"/>
        <w:spacing w:line="600" w:lineRule="exact"/>
        <w:ind w:firstLine="643" w:firstLineChars="200"/>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推进冷链物流标准化建设。</w:t>
      </w:r>
      <w:r>
        <w:rPr>
          <w:rFonts w:hint="eastAsia" w:ascii="仿宋_GB2312" w:hAnsi="仿宋_GB2312" w:eastAsia="仿宋_GB2312" w:cs="仿宋_GB2312"/>
          <w:color w:val="000000"/>
          <w:sz w:val="32"/>
          <w:szCs w:val="32"/>
        </w:rPr>
        <w:t xml:space="preserve">以《食品冷链物流卫生规范》为契机，按照《物流企业冷链服务要求与能力评估指标》（GB/T31086-2014），重点在七星区、临桂区、全州县、平乐县、荔浦市和灵川县遴选一批综合服务型、仓储型、运输型冷链企业，组织开展冷链物流相关国家标准、行业标准、地方标准的宣贯活动和“达标对标”活动。在冷库、配送、终端等领域培育一批自治区级标准化示范企业，强化标准化冷链操作管理，加强冷库、运输以及各环节交接过程温度管控能力。 </w:t>
      </w:r>
    </w:p>
    <w:p>
      <w:pPr>
        <w:spacing w:line="360" w:lineRule="auto"/>
        <w:ind w:firstLine="643"/>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强化冷链物流支撑体系。</w:t>
      </w:r>
      <w:r>
        <w:rPr>
          <w:rFonts w:hint="eastAsia" w:ascii="仿宋_GB2312" w:hAnsi="仿宋_GB2312" w:eastAsia="仿宋_GB2312" w:cs="仿宋_GB2312"/>
          <w:color w:val="000000"/>
          <w:sz w:val="32"/>
          <w:szCs w:val="32"/>
        </w:rPr>
        <w:t>大力引进和培育重点冷链物流企业，推动第三方冷链物流企业专业化发展、规模化经营和数字化转型。加大冷链物流关键技术和先进装备研发力度，鼓励节能环保技术应用。推动冷链企业提高冷库、冷藏车辆标准化水平，对设备设施进行标准化改造。鼓励企业参与全国星级冷链物流企业评估，力争5家以上企业成为中国物流与采购联合会</w:t>
      </w:r>
      <w:r>
        <w:rPr>
          <w:rFonts w:hint="eastAsia" w:ascii="仿宋_GB2312" w:hAnsi="仿宋_GB2312" w:eastAsia="仿宋_GB2312" w:cs="仿宋_GB2312"/>
          <w:color w:val="000000"/>
          <w:sz w:val="32"/>
          <w:szCs w:val="32"/>
          <w:u w:val="none"/>
        </w:rPr>
        <w:t>星级冷链物流企业</w:t>
      </w:r>
      <w:r>
        <w:rPr>
          <w:rFonts w:hint="eastAsia" w:ascii="仿宋_GB2312" w:hAnsi="仿宋_GB2312" w:eastAsia="仿宋_GB2312" w:cs="仿宋_GB2312"/>
          <w:color w:val="000000"/>
          <w:sz w:val="32"/>
          <w:szCs w:val="32"/>
        </w:rPr>
        <w:t>。鼓励驻桂林高等院校和</w:t>
      </w:r>
      <w:r>
        <w:rPr>
          <w:rFonts w:hint="eastAsia" w:ascii="仿宋_GB2312" w:hAnsi="仿宋_GB2312" w:eastAsia="仿宋_GB2312" w:cs="仿宋_GB2312"/>
          <w:color w:val="000000"/>
          <w:sz w:val="32"/>
          <w:szCs w:val="32"/>
          <w:lang w:eastAsia="zh-CN"/>
        </w:rPr>
        <w:t>职</w:t>
      </w:r>
      <w:r>
        <w:rPr>
          <w:rFonts w:hint="eastAsia" w:ascii="仿宋_GB2312" w:hAnsi="仿宋_GB2312" w:eastAsia="仿宋_GB2312" w:cs="仿宋_GB2312"/>
          <w:color w:val="000000"/>
          <w:sz w:val="32"/>
          <w:szCs w:val="32"/>
        </w:rPr>
        <w:t xml:space="preserve">业学校设置冷链物流相关专业和课程，培养冷链物流人才。鼓励冷链物流企业与行业协会、高等院校、科研单位开展多种形式的合作。 </w:t>
      </w:r>
    </w:p>
    <w:p>
      <w:pPr>
        <w:pStyle w:val="4"/>
        <w:adjustRightInd w:val="0"/>
        <w:snapToGrid w:val="0"/>
        <w:spacing w:before="0" w:after="0" w:line="600" w:lineRule="exact"/>
        <w:ind w:firstLine="640" w:firstLineChars="200"/>
        <w:rPr>
          <w:rFonts w:ascii="黑体" w:hAnsi="黑体" w:eastAsia="黑体" w:cs="黑体"/>
          <w:b w:val="0"/>
          <w:bCs w:val="0"/>
          <w:sz w:val="32"/>
          <w:szCs w:val="32"/>
        </w:rPr>
      </w:pPr>
      <w:bookmarkStart w:id="45" w:name="_Toc2672"/>
      <w:bookmarkStart w:id="46" w:name="_Toc12312"/>
      <w:r>
        <w:rPr>
          <w:rFonts w:hint="eastAsia" w:ascii="黑体" w:hAnsi="黑体" w:eastAsia="黑体" w:cs="黑体"/>
          <w:b w:val="0"/>
          <w:bCs w:val="0"/>
          <w:sz w:val="32"/>
          <w:szCs w:val="32"/>
        </w:rPr>
        <w:t>六、促进物流业与其他产业融合发展</w:t>
      </w:r>
      <w:bookmarkEnd w:id="45"/>
      <w:bookmarkEnd w:id="46"/>
    </w:p>
    <w:p>
      <w:pPr>
        <w:spacing w:line="360" w:lineRule="auto"/>
        <w:ind w:firstLine="643"/>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围绕我市重点产业集群，通过强化供应链，推进一批重点物流企业嵌入产供销各环节、上下游全链条，提升集中采购、分布式制造、协同物流、市场分销等全产业链供应链一体化管理水平，推动物流业与制造业、商贸业、农业等产业深度融合发展。</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47" w:name="_Toc24717"/>
      <w:bookmarkStart w:id="48" w:name="_Toc18733"/>
      <w:r>
        <w:rPr>
          <w:rFonts w:hint="eastAsia" w:ascii="黑体" w:hAnsi="黑体" w:eastAsia="黑体" w:cs="黑体"/>
          <w:b w:val="0"/>
          <w:bCs w:val="0"/>
        </w:rPr>
        <w:t>（一）推进物流业</w:t>
      </w:r>
      <w:r>
        <w:rPr>
          <w:rFonts w:hint="eastAsia" w:ascii="黑体" w:hAnsi="黑体" w:eastAsia="黑体" w:cs="黑体"/>
          <w:b w:val="0"/>
          <w:bCs w:val="0"/>
          <w:lang w:val="en-US" w:eastAsia="zh-CN"/>
        </w:rPr>
        <w:t>与</w:t>
      </w:r>
      <w:r>
        <w:rPr>
          <w:rFonts w:hint="eastAsia" w:ascii="黑体" w:hAnsi="黑体" w:eastAsia="黑体" w:cs="黑体"/>
          <w:b w:val="0"/>
          <w:bCs w:val="0"/>
        </w:rPr>
        <w:t>制造业深度融合</w:t>
      </w:r>
      <w:bookmarkEnd w:id="47"/>
      <w:bookmarkEnd w:id="48"/>
    </w:p>
    <w:p>
      <w:pPr>
        <w:adjustRightInd w:val="0"/>
        <w:snapToGrid w:val="0"/>
        <w:spacing w:line="600" w:lineRule="exact"/>
        <w:ind w:firstLine="630" w:firstLineChars="196"/>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鼓励支持全流程供应链管理。</w:t>
      </w:r>
      <w:r>
        <w:rPr>
          <w:rFonts w:hint="eastAsia" w:ascii="仿宋_GB2312" w:hAnsi="仿宋_GB2312" w:eastAsia="仿宋_GB2312" w:cs="仿宋_GB2312"/>
          <w:color w:val="000000"/>
          <w:sz w:val="32"/>
          <w:szCs w:val="32"/>
        </w:rPr>
        <w:t>围绕电子信息、先进装备制造、生物医药及医疗器械、生态食品、新材料等优势主导产业，推进工业供应链管理平台建设，推动物流企业深度参与制造业企业信息融合模式，提供全球采购、库存管理、调运配送、线边物流、准时物流应急储备、逆向物流等嵌入式服务。深化农副产品加工、食品制造等在原材料初加工、包装、专业化仓配运领域与物流业的融合，以全州县桂北粮食仓储物流中心为支撑，建设和完善粮食仓储、转运、加工、配送设施体系。</w:t>
      </w:r>
    </w:p>
    <w:p>
      <w:pPr>
        <w:adjustRightInd w:val="0"/>
        <w:snapToGrid w:val="0"/>
        <w:spacing w:line="600" w:lineRule="exact"/>
        <w:ind w:firstLine="630" w:firstLineChars="196"/>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加强物流业与制造业联动对接。</w:t>
      </w:r>
      <w:r>
        <w:rPr>
          <w:rFonts w:hint="eastAsia" w:ascii="仿宋_GB2312" w:hAnsi="仿宋_GB2312" w:eastAsia="仿宋_GB2312" w:cs="仿宋_GB2312"/>
          <w:color w:val="000000"/>
          <w:sz w:val="32"/>
          <w:szCs w:val="32"/>
        </w:rPr>
        <w:t>促进企业内部物流需求社会化，引导大型制造企业成立物流独立部门或将仓储物流、物料配送等非核心业务外包。鼓励重点物流企业深入“专精特新”</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中小制造企业采购、生产、销售、回收等环节，提供嵌入式、个性化、定制化的全产业链物流服务，扩大物流企业服务制造业企业的范围和深度。培育、引进第三方物流龙头企业，提升物流自动化、智能化水平，打造具有订单管理、库存管理、数据辅助决策等功能的协同管理平台，强化供应链组织和要素资源融合能力。</w:t>
      </w:r>
    </w:p>
    <w:p>
      <w:pPr>
        <w:adjustRightInd w:val="0"/>
        <w:snapToGrid w:val="0"/>
        <w:spacing w:line="600" w:lineRule="exact"/>
        <w:ind w:firstLine="630" w:firstLineChars="196"/>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发展“互联网+协同制造”新模式。</w:t>
      </w:r>
      <w:r>
        <w:rPr>
          <w:rFonts w:hint="eastAsia" w:ascii="仿宋_GB2312" w:hAnsi="仿宋_GB2312" w:eastAsia="仿宋_GB2312" w:cs="仿宋_GB2312"/>
          <w:color w:val="000000"/>
          <w:sz w:val="32"/>
          <w:szCs w:val="32"/>
        </w:rPr>
        <w:t>加快工业互联网创新应用，以纸扇、旅游工艺品、根雕、观赏石等桂林市特色旅游商品为重点，推动电商物流与服务型制造协同发展。面向小批量、多品类、快速生产、快速交货、连续补货等新需求，加强全生命周期管理，形成基于订单驱动的生产和物流供应链组织方式，发展面向工业文化旅游的“互联网+协同制造”新模式。</w:t>
      </w:r>
    </w:p>
    <w:p>
      <w:pPr>
        <w:pStyle w:val="2"/>
      </w:pPr>
    </w:p>
    <w:tbl>
      <w:tblPr>
        <w:tblStyle w:val="2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96" w:type="dxa"/>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sz w:val="28"/>
                <w:szCs w:val="28"/>
              </w:rPr>
            </w:pPr>
            <w:r>
              <w:rPr>
                <w:rFonts w:hint="eastAsia" w:ascii="黑体" w:hAnsi="黑体" w:eastAsia="黑体" w:cs="黑体"/>
                <w:b w:val="0"/>
                <w:bCs w:val="0"/>
                <w:sz w:val="28"/>
                <w:szCs w:val="28"/>
              </w:rPr>
              <w:t>专栏5  物流业与制造业融合重点工程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特色物流园区工程。</w:t>
            </w:r>
            <w:r>
              <w:rPr>
                <w:rFonts w:hint="eastAsia" w:ascii="仿宋_GB2312" w:hAnsi="仿宋_GB2312" w:eastAsia="仿宋_GB2312" w:cs="仿宋_GB2312"/>
                <w:sz w:val="28"/>
                <w:szCs w:val="28"/>
              </w:rPr>
              <w:t>立足优势产业，针对不同产业的不同作业情景与流程，加快建设生物医药产业、医疗器械产业园及匹配物流工程。充分发挥物流交通优势，建设溢达纺织服装产业园及配套物流园，加快棉纺织产业链一体化融合，推进茧丝绸从桑园到成品的全链路物流融合。围绕食品加工产业，建设和完善粮食仓储、转运、加工、配送设施体系。</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高端制造业物流园区工程。</w:t>
            </w:r>
            <w:r>
              <w:rPr>
                <w:rFonts w:hint="eastAsia" w:ascii="仿宋_GB2312" w:hAnsi="仿宋_GB2312" w:eastAsia="仿宋_GB2312" w:cs="仿宋_GB2312"/>
                <w:sz w:val="28"/>
                <w:szCs w:val="28"/>
              </w:rPr>
              <w:t>加强物流园区与产业集聚区的融合发展，集中制造企业的采购、分销、物流、维修等非核心业务在物流园区集中，提升产业服务的专业化、社会化水平，助力区域经济价值链升级。加快建设围绕华为信息生态产业合作区、电子智能终端设备制造基地、电子信息产业园，建设现代物流服务配套工程。</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新兴产业与物流技术应用融合工程。</w:t>
            </w:r>
            <w:r>
              <w:rPr>
                <w:rFonts w:hint="eastAsia" w:ascii="仿宋_GB2312" w:hAnsi="仿宋_GB2312" w:eastAsia="仿宋_GB2312" w:cs="仿宋_GB2312"/>
                <w:sz w:val="28"/>
                <w:szCs w:val="28"/>
              </w:rPr>
              <w:t>加大卫星导航、无人技术、机器人、电子信息技术、新能源在物流领域的创新应用。加大机器人产业与物流应用场景与技术的融合创新，鼓励云计算与物流应用相结合，促进物流信息化平台与智慧物流建设，充分利用通用航空基地打造通航与物流相结合的应用创新与业务聚集。到2025年，培育形成一批物流业制造业创新融合发展的新型示范项目和标杆企业。</w:t>
            </w:r>
          </w:p>
        </w:tc>
      </w:tr>
    </w:tbl>
    <w:p>
      <w:pPr>
        <w:pStyle w:val="5"/>
        <w:adjustRightInd w:val="0"/>
        <w:snapToGrid w:val="0"/>
        <w:spacing w:before="0" w:after="0" w:line="600" w:lineRule="exact"/>
        <w:ind w:firstLine="640" w:firstLineChars="200"/>
        <w:rPr>
          <w:rFonts w:hint="eastAsia" w:ascii="黑体" w:hAnsi="黑体" w:eastAsia="黑体" w:cs="黑体"/>
          <w:b w:val="0"/>
          <w:bCs w:val="0"/>
        </w:rPr>
      </w:pPr>
      <w:bookmarkStart w:id="49" w:name="_Toc13328"/>
      <w:bookmarkStart w:id="50" w:name="_Toc3068"/>
      <w:r>
        <w:rPr>
          <w:rFonts w:hint="eastAsia" w:ascii="黑体" w:hAnsi="黑体" w:eastAsia="黑体" w:cs="黑体"/>
          <w:b w:val="0"/>
          <w:bCs w:val="0"/>
        </w:rPr>
        <w:t>（二）加快物流业与商贸业融合</w:t>
      </w:r>
      <w:bookmarkEnd w:id="49"/>
      <w:bookmarkEnd w:id="50"/>
    </w:p>
    <w:p>
      <w:pPr>
        <w:adjustRightInd w:val="0"/>
        <w:snapToGrid w:val="0"/>
        <w:spacing w:line="600" w:lineRule="exact"/>
        <w:ind w:firstLine="630" w:firstLineChars="196"/>
        <w:jc w:val="both"/>
        <w:rPr>
          <w:rFonts w:hint="eastAsia" w:ascii="仿宋_GB2312" w:hAnsi="仿宋" w:eastAsia="仿宋_GB2312" w:cs="宋体"/>
          <w:b w:val="0"/>
          <w:bCs w:val="0"/>
          <w:sz w:val="32"/>
          <w:szCs w:val="32"/>
          <w:lang w:eastAsia="zh-CN"/>
        </w:rPr>
      </w:pPr>
      <w:r>
        <w:rPr>
          <w:rFonts w:hint="eastAsia" w:ascii="Times New Roman" w:hAnsi="Times New Roman" w:eastAsia="楷体_GB2312" w:cs="Times New Roman"/>
          <w:b/>
          <w:bCs/>
          <w:color w:val="000000"/>
          <w:kern w:val="0"/>
          <w:sz w:val="32"/>
          <w:szCs w:val="32"/>
          <w:lang w:val="en-US" w:eastAsia="zh-CN" w:bidi="ar-SA"/>
        </w:rPr>
        <w:t>推进城市共同配送。</w:t>
      </w:r>
      <w:r>
        <w:rPr>
          <w:rFonts w:hint="eastAsia" w:ascii="仿宋_GB2312" w:hAnsi="仿宋" w:eastAsia="仿宋_GB2312"/>
          <w:b w:val="0"/>
          <w:bCs w:val="0"/>
          <w:sz w:val="32"/>
          <w:szCs w:val="32"/>
        </w:rPr>
        <w:t>大力发展社区商业物流</w:t>
      </w:r>
      <w:r>
        <w:rPr>
          <w:rFonts w:hint="eastAsia" w:ascii="仿宋_GB2312" w:hAnsi="仿宋" w:eastAsia="仿宋_GB2312" w:cs="宋体"/>
          <w:b w:val="0"/>
          <w:bCs w:val="0"/>
          <w:sz w:val="32"/>
          <w:szCs w:val="32"/>
          <w:lang w:eastAsia="zh-CN"/>
        </w:rPr>
        <w:t>，鼓励</w:t>
      </w:r>
      <w:r>
        <w:rPr>
          <w:rFonts w:hint="eastAsia" w:ascii="仿宋_GB2312" w:hAnsi="仿宋" w:eastAsia="仿宋_GB2312"/>
          <w:sz w:val="32"/>
          <w:szCs w:val="32"/>
        </w:rPr>
        <w:t>桂林五里店果蔬批发市场有限责任公司</w:t>
      </w:r>
      <w:r>
        <w:rPr>
          <w:rFonts w:hint="eastAsia" w:ascii="仿宋_GB2312" w:hAnsi="仿宋" w:eastAsia="仿宋_GB2312"/>
          <w:sz w:val="32"/>
          <w:szCs w:val="32"/>
          <w:lang w:eastAsia="zh-CN"/>
        </w:rPr>
        <w:t>、</w:t>
      </w:r>
      <w:r>
        <w:rPr>
          <w:rFonts w:hint="eastAsia" w:ascii="Times New Roman" w:hAnsi="Times New Roman" w:eastAsia="仿宋_GB2312" w:cs="仿宋_GB2312"/>
          <w:color w:val="auto"/>
          <w:sz w:val="32"/>
          <w:szCs w:val="32"/>
          <w:lang w:val="en-US" w:eastAsia="zh-CN"/>
        </w:rPr>
        <w:t>广西供应链服务集团桂林储运有限公司等企业利用自身资源优势开展</w:t>
      </w:r>
      <w:r>
        <w:rPr>
          <w:rFonts w:hint="eastAsia" w:ascii="仿宋_GB2312" w:hAnsi="仿宋" w:eastAsia="仿宋_GB2312"/>
          <w:sz w:val="32"/>
          <w:szCs w:val="32"/>
        </w:rPr>
        <w:t>城市共同</w:t>
      </w:r>
      <w:r>
        <w:rPr>
          <w:rFonts w:hint="eastAsia" w:ascii="仿宋_GB2312" w:hAnsi="仿宋" w:eastAsia="仿宋_GB2312" w:cs="宋体"/>
          <w:b w:val="0"/>
          <w:bCs w:val="0"/>
          <w:sz w:val="32"/>
          <w:szCs w:val="32"/>
          <w:lang w:eastAsia="zh-CN"/>
        </w:rPr>
        <w:t>配送，配送服务进机关、进学校、进企业。</w:t>
      </w:r>
      <w:r>
        <w:rPr>
          <w:rFonts w:hint="eastAsia" w:ascii="仿宋_GB2312" w:hAnsi="仿宋" w:eastAsia="仿宋_GB2312"/>
          <w:sz w:val="32"/>
          <w:szCs w:val="32"/>
        </w:rPr>
        <w:t>鼓励专业运输企业开展城市配送，创新配送基础设施共享共配试点和包装单元标准化通用试点。支持城市货运配送企业发展多种形式的统一配送、集中配送、共同配送，引导和鼓励城市货运配送组织模式创新。大力发展O2O、B2C 物流以及城市配送物流，鼓励和发展本土 O2O 综合配送服务平台。优化寄递服务网络资源，鼓励商贸流通企业建设前置仓、公共配送中心等设施，推进邮政、交通、电商、寄递资源整合和设施共享共用。完善城市配送车辆便利通行政策。加快标准化新能源城市货运配送车辆推广应用。</w:t>
      </w:r>
    </w:p>
    <w:p>
      <w:pPr>
        <w:adjustRightInd w:val="0"/>
        <w:snapToGrid w:val="0"/>
        <w:spacing w:line="600" w:lineRule="exact"/>
        <w:ind w:firstLine="630" w:firstLineChars="196"/>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推动传统商贸物流提质升级。</w:t>
      </w:r>
      <w:r>
        <w:rPr>
          <w:rFonts w:hint="eastAsia" w:ascii="仿宋_GB2312" w:hAnsi="仿宋" w:eastAsia="仿宋_GB2312"/>
          <w:sz w:val="32"/>
          <w:szCs w:val="32"/>
        </w:rPr>
        <w:t>以建设桂林商贸服务型国家物流枢纽为契机，构建以枢纽为核心</w:t>
      </w:r>
      <w:r>
        <w:rPr>
          <w:rFonts w:hint="eastAsia" w:ascii="仿宋_GB2312" w:hAnsi="仿宋" w:eastAsia="仿宋_GB2312"/>
          <w:sz w:val="32"/>
          <w:szCs w:val="32"/>
          <w:lang w:eastAsia="zh-CN"/>
        </w:rPr>
        <w:t>，</w:t>
      </w:r>
      <w:r>
        <w:rPr>
          <w:rFonts w:hint="eastAsia" w:ascii="仿宋_GB2312" w:hAnsi="仿宋" w:eastAsia="仿宋_GB2312"/>
          <w:sz w:val="32"/>
          <w:szCs w:val="32"/>
        </w:rPr>
        <w:t>“物流园区（分拨中心）-配送中心-末端网点”三级城市配送网络。发挥商贸物流枢纽核心辐射作用，引导生产和商贸流通企业合理布局产地仓、前置仓、配送站、快递驿站、自提点和社区门店，高效衔接即时配送、网店配送、门店自提等模式，提高“最后一公里”本地配送效率和服务质量。围绕城市商圈、景区、客运站等，完善快递揽收网点布局。结合城市更新、老旧小区改造等，完善城市末端服务体系，推进设施共享共用。</w:t>
      </w:r>
    </w:p>
    <w:p>
      <w:pPr>
        <w:adjustRightInd w:val="0"/>
        <w:snapToGrid w:val="0"/>
        <w:spacing w:line="600" w:lineRule="exact"/>
        <w:ind w:firstLine="630" w:firstLineChars="196"/>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健全农村物流服务体系。</w:t>
      </w:r>
      <w:r>
        <w:rPr>
          <w:rFonts w:hint="eastAsia" w:ascii="仿宋_GB2312" w:hAnsi="仿宋" w:eastAsia="仿宋_GB2312"/>
          <w:sz w:val="32"/>
          <w:szCs w:val="32"/>
        </w:rPr>
        <w:t>提升电子商务进农村配套物流服务能力，力争与国家同步实现“2022年基本实现建制村电商配送全覆盖”。推进大型商贸流通企业、电商快递供应链网络下沉乡村。全面实施“快递进村”，整合社会资源推动农村快递服务网络建设。立足乡村经济循环，建设一批县域公共配送分拨中心、镇级配送站和村级公共服务网点，完善县乡村三级物流配送网络。健全乡到村工业品、</w:t>
      </w:r>
      <w:r>
        <w:rPr>
          <w:rFonts w:hint="eastAsia" w:ascii="仿宋_GB2312" w:hAnsi="仿宋" w:eastAsia="仿宋_GB2312"/>
          <w:sz w:val="32"/>
          <w:szCs w:val="32"/>
          <w:u w:val="none"/>
        </w:rPr>
        <w:t>消费品下行</w:t>
      </w:r>
      <w:r>
        <w:rPr>
          <w:rFonts w:hint="eastAsia" w:ascii="仿宋_GB2312" w:hAnsi="仿宋" w:eastAsia="仿宋_GB2312"/>
          <w:sz w:val="32"/>
          <w:szCs w:val="32"/>
        </w:rPr>
        <w:t>“最后一公里”和农产品上行“最初一公里”双向服务网络。推进在普通公路服务区、停车区等服务设施合理布局农村物流仓储站或集散中心。整合交通运输、农业、商务、供销、邮政快递等资源，推进农村客货邮融合发展。鼓励开展城乡共同配送，努力构建“资源共享、场站共用、服务同网、便利高效”的农村物流发展新格局。</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51" w:name="_Toc4176"/>
      <w:bookmarkStart w:id="52" w:name="_Toc26861"/>
      <w:r>
        <w:rPr>
          <w:rFonts w:hint="eastAsia" w:ascii="黑体" w:hAnsi="黑体" w:eastAsia="黑体" w:cs="黑体"/>
          <w:b w:val="0"/>
          <w:bCs w:val="0"/>
        </w:rPr>
        <w:t>（三）推进物流业与农业融合</w:t>
      </w:r>
      <w:bookmarkEnd w:id="51"/>
      <w:bookmarkEnd w:id="52"/>
    </w:p>
    <w:p>
      <w:pPr>
        <w:adjustRightInd w:val="0"/>
        <w:snapToGrid w:val="0"/>
        <w:spacing w:line="600" w:lineRule="exact"/>
        <w:ind w:firstLine="630" w:firstLineChars="196"/>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提升城乡配送循环效能。</w:t>
      </w:r>
      <w:r>
        <w:rPr>
          <w:rFonts w:hint="eastAsia" w:ascii="仿宋_GB2312" w:hAnsi="仿宋" w:eastAsia="仿宋_GB2312"/>
          <w:sz w:val="32"/>
          <w:szCs w:val="32"/>
        </w:rPr>
        <w:t>推进“四好农村路”高质量建设，进一步升级完善农村公路交通运输网络。补齐桂林市农村物流基础设施短板，鼓励和引导物流企业加大农村物流网点及物流基础设施建设的投入，拓宽县域物流网点覆盖面，推动县、乡、村三级物流配送网络体系建设。改造升级桂林市各乡镇既有客运站和物流站点，形成多个集客运、快递、邮政、电商等功能为一体的综合运输服务场站。鼓励和引导快递企业充分利用现有客运站、邮乐购、益农信息站、电子商务进农村站点等资源，按照“多站合一、一点多能、功能集约”的原则进行改造升级，建立“中枢-支点-终端”的节点网络。鼓励各地根据实际需求推广使用纯电动货运车辆。</w:t>
      </w:r>
    </w:p>
    <w:p>
      <w:pPr>
        <w:adjustRightInd w:val="0"/>
        <w:snapToGrid w:val="0"/>
        <w:spacing w:line="600" w:lineRule="exact"/>
        <w:ind w:firstLine="630" w:firstLineChars="196"/>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完善产运销一体化的农村物流服务网络。</w:t>
      </w:r>
      <w:r>
        <w:rPr>
          <w:rFonts w:hint="eastAsia" w:ascii="仿宋_GB2312" w:hAnsi="仿宋" w:eastAsia="仿宋_GB2312"/>
          <w:sz w:val="32"/>
          <w:szCs w:val="32"/>
        </w:rPr>
        <w:t>积极探索符合</w:t>
      </w:r>
      <w:r>
        <w:rPr>
          <w:rFonts w:hint="eastAsia" w:ascii="仿宋_GB2312" w:hAnsi="仿宋" w:eastAsia="仿宋_GB2312"/>
          <w:sz w:val="32"/>
          <w:szCs w:val="32"/>
          <w:lang w:eastAsia="zh-CN"/>
        </w:rPr>
        <w:t>桂林</w:t>
      </w:r>
      <w:r>
        <w:rPr>
          <w:rFonts w:hint="eastAsia" w:ascii="仿宋_GB2312" w:hAnsi="仿宋" w:eastAsia="仿宋_GB2312"/>
          <w:sz w:val="32"/>
          <w:szCs w:val="32"/>
        </w:rPr>
        <w:t>地域特色的农村物流发展模式</w:t>
      </w:r>
      <w:r>
        <w:rPr>
          <w:rFonts w:hint="eastAsia" w:ascii="仿宋_GB2312" w:hAnsi="仿宋" w:eastAsia="仿宋_GB2312"/>
          <w:sz w:val="32"/>
          <w:szCs w:val="32"/>
          <w:lang w:eastAsia="zh-CN"/>
        </w:rPr>
        <w:t>，</w:t>
      </w:r>
      <w:r>
        <w:rPr>
          <w:rFonts w:hint="eastAsia" w:ascii="仿宋_GB2312" w:hAnsi="仿宋" w:eastAsia="仿宋_GB2312"/>
          <w:sz w:val="32"/>
          <w:szCs w:val="32"/>
        </w:rPr>
        <w:t>建立“种植养殖基地+生产加工（仓储保鲜）+电商平台+快递物流”一体化的供应链体系。围绕特色农产品产地，推进直播与邮政快递融合发展，发展“直播电商+产地仓+快递共配”模式。实施“互联网+农产品”出村进城工程，推进交通运输、邮政快递与农业生产、加工、流通企业组建产业联盟。依托农产品物流信息平台、电商平台，推进农产品产地与销地、批发市场线上线下融合发展，拓展产销对接、安全检测、加工包装、统仓统配、溯源查询等功能。在桂林市综合物流服务信息平台中搭建农村寄递物流模块，填补智慧物流在农村配送环节中的信息缺失。</w:t>
      </w:r>
    </w:p>
    <w:p>
      <w:pPr>
        <w:adjustRightInd w:val="0"/>
        <w:snapToGrid w:val="0"/>
        <w:spacing w:line="600" w:lineRule="exact"/>
        <w:ind w:firstLine="630" w:firstLineChars="196"/>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推动“客货邮”协同高效发展。</w:t>
      </w:r>
      <w:r>
        <w:rPr>
          <w:rFonts w:hint="eastAsia" w:ascii="仿宋_GB2312" w:hAnsi="仿宋" w:eastAsia="仿宋_GB2312"/>
          <w:sz w:val="32"/>
          <w:szCs w:val="32"/>
        </w:rPr>
        <w:t>推动城乡公交网络和物流配送网有机结合，实行客货同网，推进农村客运、货运、邮政快递共享站场运力资源，畅通工业品下乡、农产品进城的流通渠道。拓展农村公交物流服务功能，通过在客运车辆行李区安装周转箱、客流较少时段客车代运邮件快件集包等方式，为农村居民提供及时、便捷、低成本的物流配送服务。</w:t>
      </w:r>
    </w:p>
    <w:p>
      <w:pPr>
        <w:ind w:firstLine="642"/>
        <w:jc w:val="both"/>
        <w:rPr>
          <w:rFonts w:hint="eastAsia"/>
          <w:lang w:eastAsia="zh-CN"/>
        </w:rPr>
      </w:pPr>
      <w:r>
        <w:rPr>
          <w:rFonts w:hint="eastAsia" w:ascii="Times New Roman" w:hAnsi="Times New Roman" w:eastAsia="楷体_GB2312" w:cs="Times New Roman"/>
          <w:b/>
          <w:bCs/>
          <w:color w:val="000000"/>
          <w:kern w:val="0"/>
          <w:sz w:val="32"/>
          <w:szCs w:val="32"/>
          <w:lang w:val="en-US" w:eastAsia="zh-CN" w:bidi="ar-SA"/>
        </w:rPr>
        <w:t>补齐农村冷链物流设施短板。</w:t>
      </w:r>
      <w:r>
        <w:rPr>
          <w:rFonts w:hint="eastAsia" w:ascii="仿宋_GB2312" w:hAnsi="仿宋" w:eastAsia="仿宋_GB2312"/>
          <w:sz w:val="32"/>
          <w:szCs w:val="32"/>
        </w:rPr>
        <w:t>支持鲜活农产品流通，加快城乡冷链物流设施补短板，形成完善的冷链物流服务网络。推广以标准化托盘、周转箱（筐）为单元进行全程货物监控，实现“不倒托”“不倒箱”标准化冷链；推动产区合作社、新型农业经营主体等建设产地公用型预冷库或推广使用移动冷库。大力推广适用于农村物流的厢式、冷藏等专业化车型</w:t>
      </w:r>
      <w:r>
        <w:rPr>
          <w:rFonts w:hint="eastAsia" w:ascii="仿宋_GB2312" w:hAnsi="仿宋" w:eastAsia="仿宋_GB2312"/>
          <w:sz w:val="32"/>
          <w:szCs w:val="32"/>
          <w:lang w:eastAsia="zh-CN"/>
        </w:rPr>
        <w:t>。</w:t>
      </w:r>
    </w:p>
    <w:tbl>
      <w:tblPr>
        <w:tblStyle w:val="29"/>
        <w:tblpPr w:leftFromText="180" w:rightFromText="180" w:vertAnchor="text" w:horzAnchor="margin" w:tblpY="19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96" w:type="dxa"/>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sz w:val="28"/>
                <w:szCs w:val="28"/>
              </w:rPr>
            </w:pPr>
            <w:r>
              <w:rPr>
                <w:rFonts w:hint="eastAsia" w:ascii="黑体" w:hAnsi="黑体" w:eastAsia="黑体" w:cs="黑体"/>
                <w:b w:val="0"/>
                <w:bCs w:val="0"/>
                <w:sz w:val="28"/>
                <w:szCs w:val="28"/>
              </w:rPr>
              <w:t>专栏6  农村物流重点工程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城乡物流配送网络完善工程。</w:t>
            </w:r>
            <w:r>
              <w:rPr>
                <w:rFonts w:hint="eastAsia" w:ascii="仿宋_GB2312" w:hAnsi="仿宋_GB2312" w:eastAsia="仿宋_GB2312" w:cs="仿宋_GB2312"/>
                <w:sz w:val="28"/>
                <w:szCs w:val="28"/>
              </w:rPr>
              <w:t>到2025年，功能完善、双向通达、智慧高效、绿色安全的城乡物流一体化配送网络体系基本建成，农村物流服务水平显著提升。</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国家电子商务进农村综合示范项目建设工程。</w:t>
            </w:r>
            <w:r>
              <w:rPr>
                <w:rFonts w:hint="eastAsia" w:ascii="仿宋_GB2312" w:hAnsi="仿宋_GB2312" w:eastAsia="仿宋_GB2312" w:cs="仿宋_GB2312"/>
                <w:sz w:val="28"/>
                <w:szCs w:val="28"/>
              </w:rPr>
              <w:t>推进荔浦市电商产业孵化基地、电子商务公共服务中心、智慧电商物流园项目建设，探索“电商产业园+物流园”融合发展新模式，</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“客货邮”融合发展示范县项目打造工程。</w:t>
            </w:r>
            <w:r>
              <w:rPr>
                <w:rFonts w:hint="eastAsia" w:ascii="仿宋_GB2312" w:hAnsi="仿宋_GB2312" w:eastAsia="仿宋_GB2312" w:cs="仿宋_GB2312"/>
                <w:sz w:val="28"/>
                <w:szCs w:val="28"/>
              </w:rPr>
              <w:t>发挥荔浦市“四好农村路全国示范县”和“城乡交通运输一体化示范县”等政策叠加优势，构建县乡村三级农村“客货邮”融合发展体系，打造农村“客货邮”融合发展示范县，以点带面带动提升桂林市农村“客货邮”融合发展水平。</w:t>
            </w:r>
          </w:p>
        </w:tc>
      </w:tr>
    </w:tbl>
    <w:p>
      <w:pPr>
        <w:pStyle w:val="5"/>
        <w:adjustRightInd w:val="0"/>
        <w:snapToGrid w:val="0"/>
        <w:spacing w:before="0" w:after="0" w:line="600" w:lineRule="exact"/>
        <w:ind w:firstLine="640" w:firstLineChars="200"/>
        <w:rPr>
          <w:rFonts w:hint="eastAsia" w:ascii="黑体" w:hAnsi="黑体" w:eastAsia="黑体" w:cs="黑体"/>
          <w:b w:val="0"/>
          <w:bCs w:val="0"/>
        </w:rPr>
      </w:pPr>
      <w:bookmarkStart w:id="53" w:name="_Toc9960"/>
      <w:bookmarkStart w:id="54" w:name="_Toc15022"/>
      <w:r>
        <w:rPr>
          <w:rFonts w:hint="eastAsia" w:ascii="黑体" w:hAnsi="黑体" w:eastAsia="黑体" w:cs="黑体"/>
          <w:b w:val="0"/>
          <w:bCs w:val="0"/>
        </w:rPr>
        <w:t>（四）提升供应链组织管理能力</w:t>
      </w:r>
      <w:bookmarkEnd w:id="53"/>
      <w:bookmarkEnd w:id="54"/>
    </w:p>
    <w:p>
      <w:pPr>
        <w:ind w:firstLine="640" w:firstLineChars="200"/>
        <w:jc w:val="both"/>
        <w:rPr>
          <w:rFonts w:hint="eastAsia"/>
        </w:rPr>
      </w:pPr>
      <w:r>
        <w:rPr>
          <w:rFonts w:hint="eastAsia" w:ascii="仿宋_GB2312" w:hAnsi="仿宋" w:eastAsia="仿宋_GB2312"/>
          <w:sz w:val="32"/>
          <w:szCs w:val="32"/>
        </w:rPr>
        <w:t>发挥物流在供应链管理上的关键作用，培育引进一批现代化、专业化的供应链企业。支持重点物流企业开展线上线下融合、共同配送、云仓储、众包物流等共享业务。加大供应链重大基础设施、服务平台建设力度，推进分行业供应链战略规划设计和精准施策。围绕全产业链整合优化，创新供应链组织模式。推进与龙头物流集团、供应链企业建立战略协作，提高供应链协同和配置资源的能力。建立重点产业供应链风险监测、预警、应对工作机制。加强供应链安全国际合作，提升重点产业供应链弹性。</w:t>
      </w:r>
    </w:p>
    <w:tbl>
      <w:tblPr>
        <w:tblStyle w:val="28"/>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7" w:type="dxa"/>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rPr>
              <w:t>专栏7  现代供应链体系建设重点工程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217" w:type="dxa"/>
          </w:tcPr>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打造区域供应链枢纽中心工程。</w:t>
            </w:r>
            <w:r>
              <w:rPr>
                <w:rFonts w:hint="eastAsia" w:ascii="仿宋_GB2312" w:hAnsi="仿宋_GB2312" w:eastAsia="仿宋_GB2312" w:cs="仿宋_GB2312"/>
                <w:sz w:val="28"/>
                <w:szCs w:val="28"/>
              </w:rPr>
              <w:t>以国家物流枢纽为载体，创新和培育国家物流枢纽供应链业务模式，推动物流枢纽从物流要素组织中心向供应链组织中心转变。支持线上线下融合、共同配送、云仓储、众包物流等业共享服务发展。</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打造现代供应链产业集群。</w:t>
            </w:r>
            <w:r>
              <w:rPr>
                <w:rFonts w:hint="eastAsia" w:ascii="仿宋_GB2312" w:hAnsi="仿宋_GB2312" w:eastAsia="仿宋_GB2312" w:cs="仿宋_GB2312"/>
                <w:sz w:val="28"/>
                <w:szCs w:val="28"/>
              </w:rPr>
              <w:t>打造智能终端制造、新能源汽车、先进装备制造、橡胶轮胎等500亿元产业集群。积极承接产业转移，合力打造连接粤港澳大湾区、长江中游城市群、川渝滇黔及东盟国家、“一带一路”沿线地区的跨区域跨境产业链供应链。</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打造数字供应链创新工程。</w:t>
            </w:r>
            <w:r>
              <w:rPr>
                <w:rFonts w:hint="eastAsia" w:ascii="仿宋_GB2312" w:hAnsi="仿宋_GB2312" w:eastAsia="仿宋_GB2312" w:cs="仿宋_GB2312"/>
                <w:sz w:val="28"/>
                <w:szCs w:val="28"/>
              </w:rPr>
              <w:t>优化整合各类要素资源，推动传统产业高端化、智能化、绿色化，提升产业链供应链现代化水平。鼓励供应链全流程业务上线上云上平台，打造数字供应链和产业新生态圈。</w:t>
            </w:r>
          </w:p>
        </w:tc>
      </w:tr>
    </w:tbl>
    <w:p>
      <w:pPr>
        <w:pStyle w:val="4"/>
        <w:adjustRightInd w:val="0"/>
        <w:snapToGrid w:val="0"/>
        <w:spacing w:before="0" w:after="0" w:line="600" w:lineRule="exact"/>
        <w:ind w:firstLine="640" w:firstLineChars="200"/>
        <w:jc w:val="both"/>
        <w:rPr>
          <w:rFonts w:ascii="方正仿宋_GB2312" w:hAnsi="方正仿宋_GB2312" w:eastAsia="方正仿宋_GB2312" w:cs="方正仿宋_GB2312"/>
          <w:b w:val="0"/>
          <w:bCs w:val="0"/>
          <w:sz w:val="32"/>
          <w:szCs w:val="32"/>
        </w:rPr>
      </w:pPr>
      <w:bookmarkStart w:id="55" w:name="_Toc4616"/>
      <w:bookmarkStart w:id="56" w:name="_Toc16797"/>
      <w:r>
        <w:rPr>
          <w:rFonts w:hint="eastAsia" w:ascii="黑体" w:hAnsi="黑体" w:eastAsia="黑体" w:cs="黑体"/>
          <w:b w:val="0"/>
          <w:bCs w:val="0"/>
          <w:sz w:val="32"/>
          <w:szCs w:val="32"/>
        </w:rPr>
        <w:t>七、打造全方位开放合作新高地</w:t>
      </w:r>
      <w:bookmarkEnd w:id="55"/>
      <w:bookmarkEnd w:id="56"/>
    </w:p>
    <w:p>
      <w:pPr>
        <w:numPr>
          <w:ilvl w:val="255"/>
          <w:numId w:val="0"/>
        </w:numPr>
        <w:adjustRightInd w:val="0"/>
        <w:snapToGrid w:val="0"/>
        <w:spacing w:line="600" w:lineRule="exact"/>
        <w:ind w:firstLine="640" w:firstLineChars="200"/>
        <w:jc w:val="both"/>
        <w:rPr>
          <w:rFonts w:ascii="方正仿宋_GB2312" w:hAnsi="方正仿宋_GB2312" w:eastAsia="方正仿宋_GB2312" w:cs="方正仿宋_GB2312"/>
          <w:sz w:val="32"/>
          <w:szCs w:val="32"/>
        </w:rPr>
      </w:pPr>
      <w:r>
        <w:rPr>
          <w:rFonts w:hint="eastAsia" w:ascii="仿宋_GB2312" w:hAnsi="仿宋" w:eastAsia="仿宋_GB2312"/>
          <w:sz w:val="32"/>
          <w:szCs w:val="32"/>
        </w:rPr>
        <w:t>以西部陆海新通道建设为契机，以打造世界级旅游城市为统领，全方位扩大开放。对接国内国际双循环，更好利用两个市场，推动更大范围、更宽领域、更深层次的合作。</w:t>
      </w:r>
    </w:p>
    <w:p>
      <w:pPr>
        <w:pStyle w:val="5"/>
        <w:adjustRightInd w:val="0"/>
        <w:snapToGrid w:val="0"/>
        <w:spacing w:before="0" w:after="0" w:line="600" w:lineRule="exact"/>
        <w:ind w:firstLine="640" w:firstLineChars="200"/>
        <w:jc w:val="both"/>
        <w:rPr>
          <w:rFonts w:hint="eastAsia" w:ascii="黑体" w:hAnsi="黑体" w:eastAsia="黑体" w:cs="黑体"/>
          <w:b w:val="0"/>
          <w:bCs w:val="0"/>
        </w:rPr>
      </w:pPr>
      <w:bookmarkStart w:id="57" w:name="_Toc22123"/>
      <w:bookmarkStart w:id="58" w:name="_Toc28957"/>
      <w:r>
        <w:rPr>
          <w:rFonts w:hint="eastAsia" w:ascii="黑体" w:hAnsi="黑体" w:eastAsia="黑体" w:cs="黑体"/>
          <w:b w:val="0"/>
          <w:bCs w:val="0"/>
        </w:rPr>
        <w:t>（一）加快建设开放共享的现代物流平台</w:t>
      </w:r>
      <w:bookmarkEnd w:id="57"/>
      <w:bookmarkEnd w:id="58"/>
    </w:p>
    <w:p>
      <w:pPr>
        <w:adjustRightInd w:val="0"/>
        <w:snapToGrid w:val="0"/>
        <w:spacing w:line="600" w:lineRule="exact"/>
        <w:ind w:firstLine="643" w:firstLineChars="200"/>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积极融入共建“一带一路”。</w:t>
      </w:r>
      <w:r>
        <w:rPr>
          <w:rFonts w:hint="eastAsia" w:ascii="仿宋_GB2312" w:hAnsi="仿宋" w:eastAsia="仿宋_GB2312"/>
          <w:sz w:val="32"/>
          <w:szCs w:val="32"/>
        </w:rPr>
        <w:t>加强与自贸区主要港口、口岸合作，提高货物通道效率。争取“渝桂新（新加坡）”通道延伸至桂林，连通柳州、南宁、钦北防国家物流枢纽，向南通达东盟主要国家，加强与广西自贸区主要港口、口岸合作，进一步提高货物通关效率，建设“一带一路”重要的区域性商贸物流组织中心城市。</w:t>
      </w:r>
    </w:p>
    <w:p>
      <w:pPr>
        <w:numPr>
          <w:ilvl w:val="255"/>
          <w:numId w:val="0"/>
        </w:numPr>
        <w:adjustRightInd w:val="0"/>
        <w:snapToGrid w:val="0"/>
        <w:spacing w:line="600" w:lineRule="exact"/>
        <w:ind w:firstLine="643" w:firstLineChars="200"/>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升级发展产业开放合作平台。</w:t>
      </w:r>
      <w:r>
        <w:rPr>
          <w:rFonts w:hint="eastAsia" w:ascii="仿宋_GB2312" w:hAnsi="仿宋" w:eastAsia="仿宋_GB2312"/>
          <w:sz w:val="32"/>
          <w:szCs w:val="32"/>
        </w:rPr>
        <w:t>充分发挥海关特殊监管区在保税物流加工、国际贸易中转过程中的功能，打造对外开放合作的重要平台和外向型经济的核心区。依托产业园区，加快申报和创建海关特殊监管区，支持公用型和自用型保税仓建设，有效承接广西自贸区溢出效应；积极推动荔浦保税物流中心（B型）建设，推动在桂林经济开发区申报建设桂林综合保税区。支持苏桥无水港升级发展</w:t>
      </w:r>
      <w:r>
        <w:rPr>
          <w:rFonts w:hint="eastAsia" w:ascii="仿宋_GB2312" w:hAnsi="仿宋" w:eastAsia="仿宋_GB2312"/>
          <w:sz w:val="32"/>
          <w:szCs w:val="32"/>
          <w:lang w:eastAsia="zh-CN"/>
        </w:rPr>
        <w:t>，</w:t>
      </w:r>
      <w:r>
        <w:rPr>
          <w:rFonts w:hint="eastAsia" w:ascii="仿宋_GB2312" w:hAnsi="仿宋" w:eastAsia="仿宋_GB2312"/>
          <w:sz w:val="32"/>
          <w:szCs w:val="32"/>
        </w:rPr>
        <w:t>充分利用无水港优势，支持港口和铁路运输企业在桂林市打造内陆港，提高桂林市的国际物流服务能力，实现周边地区外运货物通过桂林市向沿海各港口进行分拨，沿海港口内运货物通过桂林市进行集散，打造具有区域竞争力的腹地型枢纽港。</w:t>
      </w:r>
    </w:p>
    <w:p>
      <w:pPr>
        <w:numPr>
          <w:ilvl w:val="255"/>
          <w:numId w:val="0"/>
        </w:numPr>
        <w:adjustRightInd w:val="0"/>
        <w:snapToGrid w:val="0"/>
        <w:spacing w:line="600" w:lineRule="exact"/>
        <w:ind w:firstLine="643" w:firstLineChars="200"/>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提升建设桂林口岸。</w:t>
      </w:r>
      <w:r>
        <w:rPr>
          <w:rFonts w:hint="eastAsia" w:ascii="仿宋_GB2312" w:hAnsi="仿宋" w:eastAsia="仿宋_GB2312"/>
          <w:sz w:val="32"/>
          <w:szCs w:val="32"/>
        </w:rPr>
        <w:t>实施桂林机场改扩建项目，推进实施T1航站楼空侧指廊扩建及配套站坪改造项目。争取开放“第五航权+中途分程权”，开通桂林中转国际航线，实施国际国内航线航班倍增工程，争取放宽对药品、HPV等疫苗、医疗器械、特殊医学用途配方食品等进口限制。积极研究申报建设内陆型铁路口岸，合理布局公路港。发挥桂林两江国际机场的优势，发展国际航空物流，推动单一功能的航空货运服务向集成运输、仓储、装卸、信息处理等综合航空物流服务转型，打造一体化运作的航空物流服务平台，增强全货机定班国际航线和包机组织能力。推进国际物流服务一体化，加强与沿线国家在货物国际运输代理、国际冷链物流、跨境物流供应链、互联网+高效物流、物流运营组织等领域合作，探索国际物流发展新模式。</w:t>
      </w:r>
    </w:p>
    <w:p>
      <w:pPr>
        <w:numPr>
          <w:ilvl w:val="255"/>
          <w:numId w:val="0"/>
        </w:numPr>
        <w:adjustRightInd w:val="0"/>
        <w:snapToGrid w:val="0"/>
        <w:spacing w:line="600" w:lineRule="exact"/>
        <w:ind w:firstLine="643" w:firstLineChars="200"/>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打造临空经济区。</w:t>
      </w:r>
      <w:r>
        <w:rPr>
          <w:rFonts w:hint="eastAsia" w:ascii="仿宋_GB2312" w:hAnsi="仿宋" w:eastAsia="仿宋_GB2312"/>
          <w:sz w:val="32"/>
          <w:szCs w:val="32"/>
        </w:rPr>
        <w:t>创新发展“口岸+”临空产业体系。依托航空口岸特点及优势，创新发展“口岸+仓储物流”“口岸+商贸流通”“口岸+会展”“口岸+旅游”“口岸+新业态新模式”等口岸经济模式。申请建设桂林临空经济示范区，提高桂林两江机场货邮吞吐量，积极发展空港物流和货物加工，构建以航空物流、电子信息、装备制造、生物医药和观光农业等为主导的产业集群。推动空港物流园区建设。建设桂林机场航空物流枢纽、培育国内国际货运航线航班等航空货运通道</w:t>
      </w:r>
      <w:r>
        <w:rPr>
          <w:rFonts w:hint="eastAsia" w:ascii="仿宋_GB2312" w:hAnsi="仿宋" w:eastAsia="仿宋_GB2312"/>
          <w:sz w:val="32"/>
          <w:szCs w:val="32"/>
          <w:lang w:eastAsia="zh-CN"/>
        </w:rPr>
        <w:t>，</w:t>
      </w:r>
      <w:r>
        <w:rPr>
          <w:rFonts w:hint="eastAsia" w:ascii="仿宋_GB2312" w:hAnsi="仿宋" w:eastAsia="仿宋_GB2312"/>
          <w:sz w:val="32"/>
          <w:szCs w:val="32"/>
        </w:rPr>
        <w:t>发展国际航空物流，提高航空物流服务能力，增强全货机定班国际航线和包机组织能力。充分发挥桂林进境水果指定口岸优势，加快建设冷链物流体系和中转综合物流基地，提高机场货邮吞吐量，积极发展空港物流和货物加工。</w:t>
      </w:r>
    </w:p>
    <w:p>
      <w:pPr>
        <w:pStyle w:val="5"/>
        <w:adjustRightInd w:val="0"/>
        <w:snapToGrid w:val="0"/>
        <w:spacing w:before="0" w:after="0" w:line="600" w:lineRule="exact"/>
        <w:ind w:firstLine="643" w:firstLineChars="200"/>
        <w:jc w:val="both"/>
        <w:rPr>
          <w:rFonts w:ascii="方正楷体_GB2312" w:hAnsi="方正楷体_GB2312" w:eastAsia="方正楷体_GB2312" w:cs="方正楷体_GB2312"/>
        </w:rPr>
      </w:pPr>
      <w:bookmarkStart w:id="59" w:name="_Toc10996"/>
      <w:bookmarkStart w:id="60" w:name="_Toc162"/>
      <w:r>
        <w:rPr>
          <w:rFonts w:hint="eastAsia" w:ascii="方正楷体_GB2312" w:hAnsi="方正楷体_GB2312" w:eastAsia="方正楷体_GB2312" w:cs="方正楷体_GB2312"/>
        </w:rPr>
        <w:t>（二）推动跨区域物流联动发展</w:t>
      </w:r>
      <w:bookmarkEnd w:id="59"/>
      <w:bookmarkEnd w:id="60"/>
    </w:p>
    <w:p>
      <w:pPr>
        <w:numPr>
          <w:ilvl w:val="255"/>
          <w:numId w:val="0"/>
        </w:numPr>
        <w:adjustRightInd w:val="0"/>
        <w:snapToGrid w:val="0"/>
        <w:spacing w:line="600" w:lineRule="exact"/>
        <w:ind w:firstLine="602"/>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主动对接长江经济带。</w:t>
      </w:r>
      <w:r>
        <w:rPr>
          <w:rFonts w:hint="eastAsia" w:ascii="仿宋_GB2312" w:hAnsi="仿宋" w:eastAsia="仿宋_GB2312"/>
          <w:sz w:val="32"/>
          <w:szCs w:val="32"/>
        </w:rPr>
        <w:t>发挥桂林交通区位和产业优势，加强与湘黔渝赣铁路、公路等干线连接，发展旅游商贸、医药康养、机械装备、轨道交通、电子信息等物流，积极融入长江经济带物流网络。</w:t>
      </w:r>
    </w:p>
    <w:p>
      <w:pPr>
        <w:numPr>
          <w:ilvl w:val="255"/>
          <w:numId w:val="0"/>
        </w:numPr>
        <w:adjustRightInd w:val="0"/>
        <w:snapToGrid w:val="0"/>
        <w:spacing w:line="600" w:lineRule="exact"/>
        <w:ind w:firstLine="643" w:firstLineChars="200"/>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深入对接粤港澳大湾区。</w:t>
      </w:r>
      <w:r>
        <w:rPr>
          <w:rFonts w:hint="eastAsia" w:ascii="仿宋_GB2312" w:hAnsi="仿宋" w:eastAsia="仿宋_GB2312"/>
          <w:sz w:val="32"/>
          <w:szCs w:val="32"/>
        </w:rPr>
        <w:t>以“粤桂画廊”为纽带，全面对接融入粤港澳大湾区建设，加强跨区产业链上下游合作，打造承接东部产业转移物流产业带。推动物流企业集聚和跨区域整合，鼓励共建物流网络、共享物流资源，加快建设桂粤黔湘高铁枢纽物流中心。</w:t>
      </w:r>
    </w:p>
    <w:p>
      <w:pPr>
        <w:pStyle w:val="4"/>
        <w:adjustRightInd w:val="0"/>
        <w:snapToGrid w:val="0"/>
        <w:spacing w:before="0" w:after="0" w:line="600" w:lineRule="atLeast"/>
        <w:ind w:firstLine="640" w:firstLineChars="200"/>
        <w:rPr>
          <w:rFonts w:ascii="黑体" w:hAnsi="黑体" w:eastAsia="黑体" w:cs="黑体"/>
          <w:b w:val="0"/>
          <w:bCs w:val="0"/>
          <w:sz w:val="32"/>
          <w:szCs w:val="32"/>
        </w:rPr>
      </w:pPr>
      <w:bookmarkStart w:id="61" w:name="_Toc22474"/>
      <w:bookmarkStart w:id="62" w:name="_Toc3806"/>
      <w:r>
        <w:rPr>
          <w:rFonts w:hint="eastAsia" w:ascii="黑体" w:hAnsi="黑体" w:eastAsia="黑体" w:cs="黑体"/>
          <w:b w:val="0"/>
          <w:bCs w:val="0"/>
          <w:sz w:val="32"/>
          <w:szCs w:val="32"/>
        </w:rPr>
        <w:t>八、提升现代物流治理能力</w:t>
      </w:r>
      <w:bookmarkEnd w:id="61"/>
      <w:bookmarkEnd w:id="62"/>
    </w:p>
    <w:p>
      <w:pPr>
        <w:pStyle w:val="5"/>
        <w:adjustRightInd w:val="0"/>
        <w:snapToGrid w:val="0"/>
        <w:spacing w:before="0" w:after="0" w:line="600" w:lineRule="atLeast"/>
        <w:ind w:firstLine="640" w:firstLineChars="200"/>
        <w:rPr>
          <w:rFonts w:hint="eastAsia" w:ascii="黑体" w:hAnsi="黑体" w:eastAsia="黑体" w:cs="黑体"/>
          <w:b w:val="0"/>
          <w:bCs w:val="0"/>
        </w:rPr>
      </w:pPr>
      <w:bookmarkStart w:id="63" w:name="_Toc10948"/>
      <w:bookmarkStart w:id="64" w:name="_Toc25044"/>
      <w:r>
        <w:rPr>
          <w:rFonts w:hint="eastAsia" w:ascii="黑体" w:hAnsi="黑体" w:eastAsia="黑体" w:cs="黑体"/>
          <w:b w:val="0"/>
          <w:bCs w:val="0"/>
        </w:rPr>
        <w:t>（一）大力培育市场主体</w:t>
      </w:r>
      <w:bookmarkEnd w:id="63"/>
      <w:bookmarkEnd w:id="64"/>
    </w:p>
    <w:p>
      <w:pPr>
        <w:adjustRightInd w:val="0"/>
        <w:snapToGrid w:val="0"/>
        <w:spacing w:line="600" w:lineRule="atLeast"/>
        <w:ind w:firstLine="643" w:firstLineChars="200"/>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组建国有物流企业。</w:t>
      </w:r>
      <w:r>
        <w:rPr>
          <w:rFonts w:hint="eastAsia" w:ascii="仿宋_GB2312" w:hAnsi="仿宋" w:eastAsia="仿宋_GB2312"/>
          <w:sz w:val="32"/>
          <w:szCs w:val="32"/>
        </w:rPr>
        <w:t>以</w:t>
      </w:r>
      <w:r>
        <w:rPr>
          <w:rFonts w:hint="eastAsia" w:ascii="仿宋_GB2312" w:hAnsi="仿宋" w:eastAsia="仿宋_GB2312"/>
          <w:sz w:val="32"/>
          <w:szCs w:val="32"/>
          <w:lang w:val="en-US" w:eastAsia="zh-CN"/>
        </w:rPr>
        <w:t>桂林</w:t>
      </w:r>
      <w:r>
        <w:rPr>
          <w:rFonts w:hint="eastAsia" w:ascii="仿宋_GB2312" w:hAnsi="仿宋" w:eastAsia="仿宋_GB2312"/>
          <w:sz w:val="32"/>
          <w:szCs w:val="32"/>
        </w:rPr>
        <w:t>交投集团等国有企业为基础，通过国有资产划拨、企业兼并、合资合作、并购、参股等方式组建国有物流集团，重点面向制造业转型升级需求，拓展提升综合服务能力，为电子信息、装备制造、生物医药、生态食品重点领域提供采购物流、入厂物流、交付物流、回收物流等精细物流服务，发挥本土国有物流企业促进物流降本中流砥柱的作用。同时要保障好国有物流集团物流建设用地需求，鼓励到桂林产品销地动态布局物流服务网络。</w:t>
      </w:r>
    </w:p>
    <w:p>
      <w:pPr>
        <w:adjustRightInd w:val="0"/>
        <w:snapToGrid w:val="0"/>
        <w:spacing w:line="600" w:lineRule="atLeast"/>
        <w:ind w:firstLine="643" w:firstLineChars="200"/>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招引优秀物流企业。</w:t>
      </w:r>
      <w:r>
        <w:rPr>
          <w:rFonts w:hint="eastAsia" w:ascii="仿宋_GB2312" w:hAnsi="仿宋" w:eastAsia="仿宋_GB2312"/>
          <w:sz w:val="32"/>
          <w:szCs w:val="32"/>
        </w:rPr>
        <w:t>制定专门招商政策，开展精准招商，实行“一企一议”，着力引进一批技术与模式先进、辐射引领作用显著、资源整合能力强、物流服务网络多、规模和品牌位于行业前列的优秀物流企业落户桂林，带动全市物流企业提升技术水平和管理能力，利用企业的资源平台，降低物流成本，促进物流产业结构整体升级。</w:t>
      </w:r>
    </w:p>
    <w:p>
      <w:pPr>
        <w:adjustRightInd w:val="0"/>
        <w:snapToGrid w:val="0"/>
        <w:spacing w:line="600" w:lineRule="atLeast"/>
        <w:ind w:firstLine="643" w:firstLineChars="200"/>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培育壮大物流企业。</w:t>
      </w:r>
      <w:r>
        <w:rPr>
          <w:rFonts w:hint="eastAsia" w:ascii="仿宋_GB2312" w:hAnsi="仿宋" w:eastAsia="仿宋_GB2312"/>
          <w:sz w:val="32"/>
          <w:szCs w:val="32"/>
        </w:rPr>
        <w:t>鼓励有实力的物流企业进行资源整合和业务创新，引导社会资金加大对物流业的投入，实现外向型扩张，重点培育一批主业突出、综合服务水平高、竞争能力强的龙头物流企业。支持组建紧密合作的物流行业联盟，加强全方位业务合作，引导优秀企业通过品牌和管理输出，开展连锁加盟，加快服务网络的延伸，提高市场份额。</w:t>
      </w:r>
    </w:p>
    <w:p>
      <w:pPr>
        <w:pStyle w:val="5"/>
        <w:adjustRightInd w:val="0"/>
        <w:snapToGrid w:val="0"/>
        <w:spacing w:before="0" w:after="0" w:line="600" w:lineRule="atLeast"/>
        <w:ind w:firstLine="640" w:firstLineChars="200"/>
        <w:rPr>
          <w:rFonts w:hint="eastAsia" w:ascii="黑体" w:hAnsi="黑体" w:eastAsia="黑体" w:cs="黑体"/>
          <w:b w:val="0"/>
          <w:bCs w:val="0"/>
        </w:rPr>
      </w:pPr>
      <w:bookmarkStart w:id="65" w:name="_Toc19536"/>
      <w:bookmarkStart w:id="66" w:name="_Toc8802"/>
      <w:r>
        <w:rPr>
          <w:rFonts w:hint="eastAsia" w:ascii="黑体" w:hAnsi="黑体" w:eastAsia="黑体" w:cs="黑体"/>
          <w:b w:val="0"/>
          <w:bCs w:val="0"/>
        </w:rPr>
        <w:t>（二）推动物流数字化转型</w:t>
      </w:r>
      <w:bookmarkEnd w:id="65"/>
      <w:bookmarkEnd w:id="66"/>
    </w:p>
    <w:p>
      <w:pPr>
        <w:adjustRightInd w:val="0"/>
        <w:snapToGrid w:val="0"/>
        <w:spacing w:line="600" w:lineRule="atLeast"/>
        <w:ind w:firstLine="630" w:firstLineChars="196"/>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加快物流数智化应用。</w:t>
      </w:r>
      <w:r>
        <w:rPr>
          <w:rFonts w:hint="eastAsia" w:ascii="仿宋_GB2312" w:hAnsi="仿宋" w:eastAsia="仿宋_GB2312"/>
          <w:sz w:val="32"/>
          <w:szCs w:val="32"/>
        </w:rPr>
        <w:t>推动5G、大数据、云计算、人工智能、区块链等新一代信息技术在物流领域的应用。加快物流枢纽、物流园区（基地）、港口码头、货运场站等物流基础设施数字化改造升级。加快可穿戴设备、智能快件箱、自动分拣机器人等智能化装备、数字化终端的普及应用。推广“信息系统+货架、托盘、叉车”仓库基本配置技术，推进传统仓储设施的数字化转型。</w:t>
      </w:r>
    </w:p>
    <w:p>
      <w:pPr>
        <w:adjustRightInd w:val="0"/>
        <w:snapToGrid w:val="0"/>
        <w:spacing w:line="600" w:lineRule="atLeast"/>
        <w:ind w:firstLine="630" w:firstLineChars="196"/>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推进物流数字化管理。</w:t>
      </w:r>
      <w:r>
        <w:rPr>
          <w:rFonts w:hint="eastAsia" w:ascii="仿宋_GB2312" w:hAnsi="仿宋" w:eastAsia="仿宋_GB2312"/>
          <w:sz w:val="32"/>
          <w:szCs w:val="32"/>
        </w:rPr>
        <w:t>推动物流企业开展数据“上云”行动，推进车货匹配、运力优化和车路协同等模式，围绕智慧物流关键场景，搭建服务高效的智慧物流信息平台。以数据集中和共享为重点，打通信息壁垒，构建安全高效的政企数据共享机制，完善安全监管标准。建立汇集运输、仓储、交通、税务、银行、保险等多方信息的物流公共“数据池”，推进物流领域的“互联网+政务服务”，形成数据资源互联共享、政府监管精准的智慧化</w:t>
      </w:r>
      <w:r>
        <w:rPr>
          <w:rFonts w:hint="eastAsia" w:ascii="仿宋_GB2312" w:hAnsi="仿宋" w:eastAsia="仿宋_GB2312"/>
          <w:sz w:val="32"/>
          <w:szCs w:val="32"/>
          <w:lang w:eastAsia="zh-CN"/>
        </w:rPr>
        <w:t>治</w:t>
      </w:r>
      <w:r>
        <w:rPr>
          <w:rFonts w:hint="eastAsia" w:ascii="仿宋_GB2312" w:hAnsi="仿宋" w:eastAsia="仿宋_GB2312"/>
          <w:sz w:val="32"/>
          <w:szCs w:val="32"/>
        </w:rPr>
        <w:t>理体系。</w:t>
      </w:r>
    </w:p>
    <w:p>
      <w:pPr>
        <w:adjustRightInd w:val="0"/>
        <w:snapToGrid w:val="0"/>
        <w:spacing w:line="600" w:lineRule="exact"/>
        <w:ind w:firstLine="630" w:firstLineChars="196"/>
        <w:rPr>
          <w:rFonts w:hint="eastAsia" w:ascii="仿宋_GB2312" w:hAnsi="仿宋" w:eastAsia="仿宋_GB2312"/>
          <w:sz w:val="32"/>
          <w:szCs w:val="32"/>
          <w:lang w:eastAsia="zh-CN"/>
        </w:rPr>
      </w:pPr>
      <w:r>
        <w:rPr>
          <w:rFonts w:hint="eastAsia" w:ascii="Times New Roman" w:hAnsi="Times New Roman" w:eastAsia="楷体_GB2312" w:cs="Times New Roman"/>
          <w:b/>
          <w:bCs/>
          <w:color w:val="000000"/>
          <w:kern w:val="0"/>
          <w:sz w:val="32"/>
          <w:szCs w:val="32"/>
          <w:lang w:val="en-US" w:eastAsia="zh-CN" w:bidi="ar-SA"/>
        </w:rPr>
        <w:t>提升社会化物流统计能力。</w:t>
      </w:r>
      <w:r>
        <w:rPr>
          <w:rFonts w:hint="eastAsia" w:ascii="仿宋_GB2312" w:hAnsi="仿宋" w:eastAsia="仿宋_GB2312"/>
          <w:sz w:val="32"/>
          <w:szCs w:val="32"/>
        </w:rPr>
        <w:t>从提高政府治理水平和物流业宏观指导能力的高度，在“十四五”期间建成由市发展改革委指导，</w:t>
      </w:r>
      <w:r>
        <w:rPr>
          <w:rFonts w:hint="eastAsia" w:ascii="仿宋_GB2312" w:hAnsi="仿宋" w:eastAsia="仿宋_GB2312"/>
          <w:sz w:val="32"/>
          <w:szCs w:val="32"/>
          <w:lang w:val="en-US" w:eastAsia="zh-CN"/>
        </w:rPr>
        <w:t>桂林市</w:t>
      </w:r>
      <w:r>
        <w:rPr>
          <w:rFonts w:hint="eastAsia" w:ascii="仿宋_GB2312" w:hAnsi="仿宋" w:eastAsia="仿宋_GB2312"/>
          <w:sz w:val="32"/>
          <w:szCs w:val="32"/>
        </w:rPr>
        <w:t>物流与采购联合会日常运营的覆盖全市规模以上物流企业和相关社会主体的统计机制。在此基础上，接入全区统一的社会化物流统计平台，实现高效、实时物流数据统计，并动态跟踪全市物流业规模指标、运行状态、发展水平，用以优化治理和宏观调控。</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67" w:name="_Toc23845"/>
      <w:bookmarkStart w:id="68" w:name="_Toc25436"/>
      <w:r>
        <w:rPr>
          <w:rFonts w:hint="eastAsia" w:ascii="黑体" w:hAnsi="黑体" w:eastAsia="黑体" w:cs="黑体"/>
          <w:b w:val="0"/>
          <w:bCs w:val="0"/>
        </w:rPr>
        <w:t>（三）打造一流营商环境</w:t>
      </w:r>
      <w:bookmarkEnd w:id="67"/>
      <w:bookmarkEnd w:id="68"/>
    </w:p>
    <w:p>
      <w:pPr>
        <w:numPr>
          <w:ilvl w:val="-1"/>
          <w:numId w:val="0"/>
        </w:numPr>
        <w:adjustRightInd/>
        <w:snapToGrid/>
        <w:spacing w:line="240" w:lineRule="auto"/>
        <w:ind w:firstLine="643" w:firstLineChars="200"/>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持续优化营商环境。</w:t>
      </w:r>
      <w:r>
        <w:rPr>
          <w:rFonts w:hint="eastAsia" w:ascii="仿宋_GB2312" w:hAnsi="仿宋" w:eastAsia="仿宋_GB2312"/>
          <w:sz w:val="32"/>
          <w:szCs w:val="32"/>
        </w:rPr>
        <w:t>深化简政放权、放管结合、优化服务改革。推进行政审批制度改革，加快政务服务“简易办”、承诺审批制度改革，推进政务服务标准化、规范化、便利化。深化“互联网+政务”服务，更好实现一窗受理、限时办结、最多跑一次。强化服务企业意识，营造企业成长良好社会环境。</w:t>
      </w:r>
      <w:r>
        <w:rPr>
          <w:rFonts w:hint="eastAsia" w:ascii="仿宋_GB2312" w:hAnsi="仿宋" w:eastAsia="仿宋_GB2312"/>
          <w:sz w:val="32"/>
          <w:szCs w:val="32"/>
          <w:lang w:val="en-US" w:eastAsia="zh-CN"/>
        </w:rPr>
        <w:t xml:space="preserve">完善城市配送车辆通行、停靠有关标准和技术规范，实现物流管理的标准化、专业化。加强标准化建设，促进商品和要素流通制度环境显著改善。建立负面清单管理模式，为不同所有制主体、境内外主体创造公平、有序的发展环境。加大对引起市场恶性竞争、流通资源失衡企业的处罚力度。 </w:t>
      </w:r>
      <w:r>
        <w:rPr>
          <w:rFonts w:hint="eastAsia" w:ascii="仿宋_GB2312" w:hAnsi="仿宋" w:eastAsia="仿宋_GB2312"/>
          <w:sz w:val="32"/>
          <w:szCs w:val="32"/>
        </w:rPr>
        <w:t>完善政策制定、实施、评估和异议解决机制，建立常态化的市场主体意见征集机制。</w:t>
      </w:r>
    </w:p>
    <w:p>
      <w:pPr>
        <w:numPr>
          <w:ilvl w:val="255"/>
          <w:numId w:val="0"/>
        </w:numPr>
        <w:adjustRightInd w:val="0"/>
        <w:snapToGrid w:val="0"/>
        <w:spacing w:line="600" w:lineRule="atLeast"/>
        <w:ind w:firstLine="602"/>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有效降低企业经营成本。</w:t>
      </w:r>
      <w:r>
        <w:rPr>
          <w:rFonts w:hint="eastAsia" w:ascii="仿宋_GB2312" w:hAnsi="仿宋" w:eastAsia="仿宋_GB2312"/>
          <w:sz w:val="32"/>
          <w:szCs w:val="32"/>
        </w:rPr>
        <w:t>建立惠企政策落实评估机制，全面贯彻落实系列减税降费政策，切实减轻市场主体的税费负担。提高物流规模化、组织化、集约化、智能化水平，有效降低企业成本。严格落实供水、供电、供气、电讯、邮政等公用事业服务收费公示制度，持续降低企业用能成本。</w:t>
      </w:r>
    </w:p>
    <w:p>
      <w:pPr>
        <w:keepNext w:val="0"/>
        <w:keepLines w:val="0"/>
        <w:widowControl/>
        <w:numPr>
          <w:ilvl w:val="255"/>
          <w:numId w:val="0"/>
        </w:numPr>
        <w:suppressLineNumbers w:val="0"/>
        <w:adjustRightInd w:val="0"/>
        <w:snapToGrid w:val="0"/>
        <w:spacing w:line="600" w:lineRule="exact"/>
        <w:ind w:firstLine="602"/>
        <w:jc w:val="both"/>
        <w:rPr>
          <w:rFonts w:hint="eastAsia" w:ascii="仿宋_GB2312" w:hAnsi="仿宋" w:eastAsia="仿宋_GB2312"/>
          <w:sz w:val="32"/>
          <w:szCs w:val="32"/>
          <w:lang w:val="en-US" w:eastAsia="zh-CN"/>
        </w:rPr>
      </w:pPr>
      <w:r>
        <w:rPr>
          <w:rFonts w:hint="eastAsia" w:ascii="Times New Roman" w:hAnsi="Times New Roman" w:eastAsia="楷体_GB2312" w:cs="Times New Roman"/>
          <w:b/>
          <w:bCs/>
          <w:color w:val="000000"/>
          <w:kern w:val="0"/>
          <w:sz w:val="32"/>
          <w:szCs w:val="32"/>
          <w:lang w:val="en-US" w:eastAsia="zh-CN" w:bidi="ar-SA"/>
        </w:rPr>
        <w:t>建设现代物流信用体系。</w:t>
      </w:r>
      <w:r>
        <w:rPr>
          <w:rFonts w:hint="eastAsia" w:ascii="仿宋_GB2312" w:hAnsi="仿宋" w:eastAsia="仿宋_GB2312"/>
          <w:sz w:val="32"/>
          <w:szCs w:val="32"/>
          <w:lang w:val="en-US" w:eastAsia="zh-CN"/>
        </w:rPr>
        <w:t>鼓励发展规范经营、公平竞争、公正独立的物流信用机构。加快建设重要产品追溯体系，建立健全以信用为基础的新型监管机制。积极参与广西物流业信用信息平台建设。建立物流企业信用信息分类监管制度，针对基础物流服务、供应链优化、供应链金融、平台型企业等不同物流企业分别制定信用考核标准，根据信用评价结果，对物流行业实行分类监管。建立物流企业诚信档案和“黑名单”制度，完善物流行业经营主体和从业人员守信联合激励和失信联合惩戒机制，提高企业违法失信成本。</w:t>
      </w:r>
    </w:p>
    <w:p>
      <w:pPr>
        <w:pStyle w:val="2"/>
        <w:rPr>
          <w:rFonts w:hint="eastAsia" w:ascii="仿宋_GB2312" w:hAnsi="仿宋" w:eastAsia="仿宋_GB2312"/>
          <w:sz w:val="32"/>
          <w:szCs w:val="32"/>
          <w:lang w:val="en-US" w:eastAsia="zh-CN"/>
        </w:rPr>
      </w:pPr>
    </w:p>
    <w:p>
      <w:pPr>
        <w:pStyle w:val="3"/>
        <w:rPr>
          <w:rFonts w:hint="eastAsia"/>
          <w:lang w:val="en-US" w:eastAsia="zh-CN"/>
        </w:rPr>
      </w:pPr>
    </w:p>
    <w:p>
      <w:pPr>
        <w:pStyle w:val="5"/>
        <w:keepNext w:val="0"/>
        <w:keepLines w:val="0"/>
        <w:widowControl/>
        <w:suppressLineNumbers w:val="0"/>
        <w:adjustRightInd w:val="0"/>
        <w:snapToGrid w:val="0"/>
        <w:spacing w:before="0" w:after="0" w:line="600" w:lineRule="exact"/>
        <w:ind w:firstLine="640" w:firstLineChars="200"/>
        <w:jc w:val="left"/>
        <w:rPr>
          <w:rFonts w:hint="eastAsia" w:ascii="黑体" w:hAnsi="黑体" w:eastAsia="黑体" w:cs="黑体"/>
          <w:b w:val="0"/>
          <w:bCs w:val="0"/>
        </w:rPr>
      </w:pPr>
      <w:bookmarkStart w:id="69" w:name="_Toc11844"/>
      <w:r>
        <w:rPr>
          <w:rFonts w:hint="eastAsia" w:ascii="黑体" w:hAnsi="黑体" w:eastAsia="黑体" w:cs="黑体"/>
          <w:b w:val="0"/>
          <w:bCs w:val="0"/>
          <w:color w:val="000000"/>
          <w:kern w:val="0"/>
          <w:sz w:val="32"/>
          <w:szCs w:val="32"/>
          <w:lang w:val="en-US" w:eastAsia="zh-CN" w:bidi="ar-SA"/>
        </w:rPr>
        <w:t>（四）推进物流标准化建设</w:t>
      </w:r>
      <w:bookmarkEnd w:id="69"/>
      <w:r>
        <w:rPr>
          <w:rFonts w:hint="eastAsia" w:ascii="黑体" w:hAnsi="黑体" w:eastAsia="黑体" w:cs="黑体"/>
          <w:b w:val="0"/>
          <w:bCs w:val="0"/>
          <w:lang w:val="en-US" w:eastAsia="zh-CN"/>
        </w:rPr>
        <w:t xml:space="preserve"> </w:t>
      </w:r>
    </w:p>
    <w:p>
      <w:pPr>
        <w:keepNext w:val="0"/>
        <w:keepLines w:val="0"/>
        <w:widowControl/>
        <w:numPr>
          <w:ilvl w:val="255"/>
          <w:numId w:val="0"/>
        </w:numPr>
        <w:suppressLineNumbers w:val="0"/>
        <w:adjustRightInd w:val="0"/>
        <w:snapToGrid w:val="0"/>
        <w:spacing w:line="600" w:lineRule="exact"/>
        <w:ind w:firstLine="602"/>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推动物流企业采用国际标准和国内先进标准，积极开展与东盟国家物流标准衔接，将企业物流标准化水平作为扶持物流企业的重要条件之一。积极推动托盘、集装箱、各种物流装卸设施、条形码等通用性较强的物流标准和装备的应用推广。建立政府引导、社会参与、以企业为主的物流标准化工作协调机制。在应急物流、逆向物流、绿色物流、多式联运、物联网物流、城市配送等领域和中医药、冷链、米粉等特色行业开展相关标准研制。结合物流业技术创新与应用，积极参与广西物流技术标准和管理标准制定，推动标准化试点示范工作。</w:t>
      </w:r>
    </w:p>
    <w:p>
      <w:pPr>
        <w:pStyle w:val="4"/>
        <w:adjustRightInd w:val="0"/>
        <w:snapToGrid w:val="0"/>
        <w:spacing w:before="0" w:after="0" w:line="600" w:lineRule="exact"/>
        <w:ind w:firstLine="640" w:firstLineChars="200"/>
        <w:rPr>
          <w:rFonts w:ascii="黑体" w:hAnsi="黑体" w:eastAsia="黑体" w:cs="黑体"/>
          <w:b w:val="0"/>
          <w:bCs w:val="0"/>
          <w:sz w:val="32"/>
          <w:szCs w:val="32"/>
        </w:rPr>
      </w:pPr>
      <w:bookmarkStart w:id="70" w:name="_Toc4771"/>
      <w:bookmarkStart w:id="71" w:name="_Toc22746"/>
      <w:r>
        <w:rPr>
          <w:rFonts w:hint="eastAsia" w:ascii="黑体" w:hAnsi="黑体" w:eastAsia="黑体" w:cs="黑体"/>
          <w:b w:val="0"/>
          <w:bCs w:val="0"/>
          <w:sz w:val="32"/>
          <w:szCs w:val="32"/>
        </w:rPr>
        <w:t>九、保障措施</w:t>
      </w:r>
      <w:bookmarkEnd w:id="70"/>
      <w:bookmarkEnd w:id="71"/>
    </w:p>
    <w:p>
      <w:pPr>
        <w:pStyle w:val="5"/>
        <w:adjustRightInd w:val="0"/>
        <w:snapToGrid w:val="0"/>
        <w:spacing w:before="0" w:after="0" w:line="600" w:lineRule="atLeast"/>
        <w:ind w:firstLine="640" w:firstLineChars="200"/>
        <w:rPr>
          <w:rFonts w:hint="eastAsia" w:ascii="黑体" w:hAnsi="黑体" w:eastAsia="黑体" w:cs="黑体"/>
          <w:b w:val="0"/>
          <w:bCs w:val="0"/>
        </w:rPr>
      </w:pPr>
      <w:bookmarkStart w:id="72" w:name="_Toc2686"/>
      <w:bookmarkStart w:id="73" w:name="_Toc32623"/>
      <w:r>
        <w:rPr>
          <w:rFonts w:hint="eastAsia" w:ascii="黑体" w:hAnsi="黑体" w:eastAsia="黑体" w:cs="黑体"/>
          <w:b w:val="0"/>
          <w:bCs w:val="0"/>
        </w:rPr>
        <w:t>（一）加强领导和组织实施</w:t>
      </w:r>
      <w:bookmarkEnd w:id="72"/>
      <w:bookmarkEnd w:id="73"/>
    </w:p>
    <w:p>
      <w:pPr>
        <w:keepNext w:val="0"/>
        <w:keepLines w:val="0"/>
        <w:widowControl/>
        <w:numPr>
          <w:ilvl w:val="255"/>
          <w:numId w:val="0"/>
        </w:numPr>
        <w:suppressLineNumbers w:val="0"/>
        <w:adjustRightInd w:val="0"/>
        <w:snapToGrid w:val="0"/>
        <w:spacing w:line="600" w:lineRule="exact"/>
        <w:ind w:firstLine="602"/>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强化组织领导，建立由桂林市人民政府牵头，市发展改革委、财政局、交通运输局、工业和信息化局、商务局、农业农村局、自然资源局、邮政管理局和桂林海关等部门组成的桂林市现代物流业发展工作领导小组，统筹推进全市现代物流业发展，抓好规划引导、政策指导、协调推进和重大问题研究。市发展改革委会同有关部门，加强行业综合协调和调控，细化各职能部门任务分工，协调解决规划实施中存在的问题，确保规划落地见效。健全规划年度监测分析-中期评估-总结评估的全过程动态规划评估体系，严格规划动态调整和修订机制。</w:t>
      </w:r>
      <w:r>
        <w:rPr>
          <w:rFonts w:hint="eastAsia" w:ascii="仿宋_GB2312" w:hAnsi="仿宋" w:eastAsia="仿宋_GB2312"/>
          <w:sz w:val="32"/>
          <w:szCs w:val="32"/>
        </w:rPr>
        <w:t>开展公平竞争审查工</w:t>
      </w:r>
      <w:r>
        <w:rPr>
          <w:rFonts w:hint="eastAsia" w:ascii="仿宋_GB2312" w:hAnsi="仿宋" w:eastAsia="仿宋_GB2312"/>
          <w:sz w:val="32"/>
          <w:szCs w:val="32"/>
          <w:lang w:eastAsia="zh-CN"/>
        </w:rPr>
        <w:t>作，</w:t>
      </w:r>
      <w:r>
        <w:rPr>
          <w:rFonts w:hint="eastAsia" w:ascii="仿宋_GB2312" w:hAnsi="仿宋" w:eastAsia="仿宋_GB2312"/>
          <w:sz w:val="32"/>
          <w:szCs w:val="32"/>
          <w:lang w:val="en-US" w:eastAsia="zh-CN"/>
        </w:rPr>
        <w:t>推动行业协会积极参与行业治理，发挥社会监督作用，加强行业自律和规范发展，协助规划落地推进。</w:t>
      </w:r>
    </w:p>
    <w:p>
      <w:pPr>
        <w:pStyle w:val="5"/>
        <w:adjustRightInd w:val="0"/>
        <w:snapToGrid w:val="0"/>
        <w:spacing w:before="0" w:after="0" w:line="600" w:lineRule="atLeast"/>
        <w:ind w:firstLine="640" w:firstLineChars="200"/>
        <w:rPr>
          <w:rFonts w:hint="eastAsia" w:ascii="黑体" w:hAnsi="黑体" w:eastAsia="黑体" w:cs="黑体"/>
          <w:b w:val="0"/>
          <w:bCs w:val="0"/>
        </w:rPr>
      </w:pPr>
      <w:bookmarkStart w:id="74" w:name="_Toc4537"/>
      <w:bookmarkStart w:id="75" w:name="_Toc28535"/>
      <w:r>
        <w:rPr>
          <w:rFonts w:hint="eastAsia" w:ascii="黑体" w:hAnsi="黑体" w:eastAsia="黑体" w:cs="黑体"/>
          <w:b w:val="0"/>
          <w:bCs w:val="0"/>
        </w:rPr>
        <w:t>（二）加大政策支持</w:t>
      </w:r>
      <w:bookmarkEnd w:id="74"/>
      <w:bookmarkEnd w:id="75"/>
    </w:p>
    <w:p>
      <w:pPr>
        <w:keepNext w:val="0"/>
        <w:keepLines w:val="0"/>
        <w:widowControl/>
        <w:numPr>
          <w:ilvl w:val="255"/>
          <w:numId w:val="0"/>
        </w:numPr>
        <w:suppressLineNumbers w:val="0"/>
        <w:adjustRightInd w:val="0"/>
        <w:snapToGrid w:val="0"/>
        <w:spacing w:line="600" w:lineRule="exact"/>
        <w:ind w:firstLine="602"/>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完善物流业政策扶持体系，加强政策储备、研究制定和协调落实。在国土空间规划中统筹保障物流业发展所需合理的用地空间，为物流项目依法依规用地提供规划保障。支持利用工业企业旧厂房、仓库和存量土地资源建设物流设施或提供物流服务。发挥物流创新税收激励作用，按规定落实固定资产加速折旧、研发费用加计扣除和职工教育经费税前扣除等税收优惠政策。按规定落实企业重组相关税收优惠政策，支持有条件的制造企业剥离物流资产成立独资或合资物流企业。对纳入自治区重点发展的物流园区在用地、资金、项目投资等方面给予优先保障。鼓励物流企业应用供应链管理技术和信息技术，对物流信息平台、物流网络建设给予积极扶持。加强物流业信用体系建设，完善物流信用评价、公示、披露、监督、申诉、复核、奖惩等系列制度。加强物流标准制定和宣贯，支持物流标准化设施设备推广、铁路专用线等基础设施建设和农产品冷链等物流新业态新模式发展。</w:t>
      </w:r>
    </w:p>
    <w:p>
      <w:pPr>
        <w:pStyle w:val="5"/>
        <w:adjustRightInd w:val="0"/>
        <w:snapToGrid w:val="0"/>
        <w:spacing w:before="0" w:after="0" w:line="600" w:lineRule="atLeast"/>
        <w:ind w:firstLine="640" w:firstLineChars="200"/>
        <w:rPr>
          <w:rFonts w:hint="eastAsia" w:ascii="黑体" w:hAnsi="黑体" w:eastAsia="黑体" w:cs="黑体"/>
          <w:b w:val="0"/>
          <w:bCs w:val="0"/>
        </w:rPr>
      </w:pPr>
      <w:bookmarkStart w:id="76" w:name="_Toc14127"/>
      <w:bookmarkStart w:id="77" w:name="_Toc26789"/>
      <w:r>
        <w:rPr>
          <w:rFonts w:hint="eastAsia" w:ascii="黑体" w:hAnsi="黑体" w:eastAsia="黑体" w:cs="黑体"/>
          <w:b w:val="0"/>
          <w:bCs w:val="0"/>
        </w:rPr>
        <w:t>（三）拓宽融资渠道</w:t>
      </w:r>
      <w:bookmarkEnd w:id="76"/>
      <w:bookmarkEnd w:id="77"/>
      <w:r>
        <w:rPr>
          <w:rFonts w:hint="eastAsia" w:ascii="黑体" w:hAnsi="黑体" w:eastAsia="黑体" w:cs="黑体"/>
          <w:b w:val="0"/>
          <w:bCs w:val="0"/>
        </w:rPr>
        <w:t xml:space="preserve"> </w:t>
      </w:r>
    </w:p>
    <w:p>
      <w:pPr>
        <w:keepNext w:val="0"/>
        <w:keepLines w:val="0"/>
        <w:widowControl/>
        <w:numPr>
          <w:ilvl w:val="255"/>
          <w:numId w:val="0"/>
        </w:numPr>
        <w:suppressLineNumbers w:val="0"/>
        <w:adjustRightInd w:val="0"/>
        <w:snapToGrid w:val="0"/>
        <w:spacing w:line="600" w:lineRule="exact"/>
        <w:ind w:firstLine="602"/>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创新完善金融保障手段，多渠道增加对物流业的投入，鼓励民间资本进入物流领域。完善金融支持体系，鼓励有条件的企业开展仓单质押、保税仓、存货质押、融资租赁等物流金融业务。引导金融机构对接供应链核心企业，支持开展供应链金融业务，切实减轻中小企业流动资金压力和融资成本负担。引导银行业金融机构加大对物流企业的信贷支持力度。支持大型现代物流企业进入资本市场融资，通过上市、发行企业债券、发行短期融资券、发行中期票据、资产重组、股权置换等方式拓宽融资渠道。</w:t>
      </w:r>
    </w:p>
    <w:p>
      <w:pPr>
        <w:pStyle w:val="5"/>
        <w:adjustRightInd w:val="0"/>
        <w:snapToGrid w:val="0"/>
        <w:spacing w:before="0" w:after="0" w:line="600" w:lineRule="atLeast"/>
        <w:ind w:firstLine="640" w:firstLineChars="200"/>
        <w:rPr>
          <w:rFonts w:hint="eastAsia" w:ascii="黑体" w:hAnsi="黑体" w:eastAsia="黑体" w:cs="黑体"/>
          <w:b w:val="0"/>
          <w:bCs w:val="0"/>
        </w:rPr>
      </w:pPr>
      <w:bookmarkStart w:id="78" w:name="_Toc9852"/>
      <w:bookmarkStart w:id="79" w:name="_Toc7103"/>
      <w:r>
        <w:rPr>
          <w:rFonts w:hint="eastAsia" w:ascii="黑体" w:hAnsi="黑体" w:eastAsia="黑体" w:cs="黑体"/>
          <w:b w:val="0"/>
          <w:bCs w:val="0"/>
        </w:rPr>
        <w:t>（四）夯实人才保障</w:t>
      </w:r>
      <w:bookmarkEnd w:id="78"/>
      <w:bookmarkEnd w:id="79"/>
    </w:p>
    <w:p>
      <w:pPr>
        <w:adjustRightInd w:val="0"/>
        <w:snapToGrid w:val="0"/>
        <w:spacing w:line="600" w:lineRule="exact"/>
        <w:jc w:val="both"/>
        <w:rPr>
          <w:rFonts w:hint="eastAsia" w:ascii="仿宋_GB2312" w:hAnsi="仿宋" w:eastAsia="仿宋_GB2312"/>
          <w:sz w:val="32"/>
          <w:szCs w:val="32"/>
          <w:lang w:val="en-US" w:eastAsia="zh-CN"/>
        </w:rPr>
      </w:pPr>
      <w:r>
        <w:rPr>
          <w:rFonts w:hint="eastAsia" w:ascii="方正仿宋_GB2312" w:hAnsi="方正仿宋_GB2312" w:eastAsia="方正仿宋_GB2312" w:cs="方正仿宋_GB2312"/>
          <w:b/>
          <w:bCs/>
          <w:sz w:val="32"/>
          <w:szCs w:val="32"/>
        </w:rPr>
        <w:t xml:space="preserve">    </w:t>
      </w:r>
      <w:r>
        <w:rPr>
          <w:rFonts w:hint="eastAsia" w:ascii="仿宋_GB2312" w:hAnsi="仿宋" w:eastAsia="仿宋_GB2312"/>
          <w:sz w:val="32"/>
          <w:szCs w:val="32"/>
          <w:lang w:val="en-US" w:eastAsia="zh-CN"/>
        </w:rPr>
        <w:t>完善物流领域高端人才保障激励机制，将物流领域高端人才纳入《桂林市人才引进和培养办法》适用范畴，从资金、住房、子女教育等多方面给予政策扶持。建立物流业发展相关人才引进、培育机制，制定物流紧缺人才培养计划，加强与粤港澳、成渝地区物流人才交流，全方位多渠道引进高端物流人才。坚持产才融合、以产聚才、以才兴产，完善物流人才培养开发体系。研究鼓励企业与高校、科研院所、职业院校（包括技工院校）、行业协会等合作建立产学研基地、实务培训基地，积极探索订单培养、学徒制培训等技能人才培养模式。围绕物流业发展需求，加强供应链管理、冷链物流、跨境物流、电商物流、金融物流等新业态专业人才及物流业高层次经营管理人才的培养。完善在职人员培训体系，积极开展职业人才培训，提升物流行业从业人员的业务素质和专业能力。</w:t>
      </w:r>
    </w:p>
    <w:p>
      <w:pPr>
        <w:pStyle w:val="5"/>
        <w:adjustRightInd w:val="0"/>
        <w:snapToGrid w:val="0"/>
        <w:spacing w:before="0" w:after="0" w:line="600" w:lineRule="atLeast"/>
        <w:ind w:firstLine="640" w:firstLineChars="200"/>
        <w:rPr>
          <w:rFonts w:hint="eastAsia" w:ascii="黑体" w:hAnsi="黑体" w:eastAsia="黑体" w:cs="黑体"/>
          <w:b w:val="0"/>
          <w:bCs w:val="0"/>
        </w:rPr>
      </w:pPr>
      <w:bookmarkStart w:id="80" w:name="_Toc7030"/>
      <w:bookmarkStart w:id="81" w:name="_Toc8626"/>
      <w:r>
        <w:rPr>
          <w:rFonts w:hint="eastAsia" w:ascii="黑体" w:hAnsi="黑体" w:eastAsia="黑体" w:cs="黑体"/>
          <w:b w:val="0"/>
          <w:bCs w:val="0"/>
        </w:rPr>
        <w:t>（五）强化评估督导</w:t>
      </w:r>
      <w:bookmarkEnd w:id="80"/>
      <w:bookmarkEnd w:id="81"/>
    </w:p>
    <w:p>
      <w:pPr>
        <w:adjustRightInd w:val="0"/>
        <w:snapToGrid w:val="0"/>
        <w:spacing w:line="60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做好物流业发展工作任务分解，加强物流重大工程、重大项目建设全过程的监管督查，切实落实规划责任与实施制度。强化规划实施定期评估和考核评价，加强规划实施年度跟踪分析，中期评估和终期总结，完善公众参与机制。构建组织完善、调查科学、技术先进、队伍优良的现代物流统计体系，推进物流统计台账和会计核算科目建设，加强对物流行业、企业、园区有效监测，有效提升政府行业管理水平。</w:t>
      </w:r>
    </w:p>
    <w:p>
      <w:pPr>
        <w:adjustRightInd w:val="0"/>
        <w:snapToGrid w:val="0"/>
        <w:spacing w:line="600" w:lineRule="exact"/>
        <w:jc w:val="both"/>
        <w:rPr>
          <w:rFonts w:ascii="方正仿宋_GB2312" w:hAnsi="方正仿宋_GB2312" w:eastAsia="方正仿宋_GB2312" w:cs="方正仿宋_GB2312"/>
          <w:color w:val="FF0000"/>
          <w:sz w:val="32"/>
          <w:szCs w:val="32"/>
        </w:rPr>
      </w:pPr>
    </w:p>
    <w:p>
      <w:pPr>
        <w:adjustRightInd w:val="0"/>
        <w:snapToGrid w:val="0"/>
        <w:spacing w:line="600" w:lineRule="exact"/>
        <w:jc w:val="both"/>
        <w:rPr>
          <w:rFonts w:ascii="方正仿宋_GB2312" w:hAnsi="方正仿宋_GB2312" w:eastAsia="方正仿宋_GB2312" w:cs="方正仿宋_GB2312"/>
          <w:color w:val="FF0000"/>
          <w:sz w:val="32"/>
          <w:szCs w:val="32"/>
        </w:rPr>
      </w:pPr>
    </w:p>
    <w:p>
      <w:pPr>
        <w:adjustRightInd w:val="0"/>
        <w:snapToGrid w:val="0"/>
        <w:spacing w:line="600" w:lineRule="exact"/>
        <w:jc w:val="both"/>
        <w:rPr>
          <w:rFonts w:ascii="方正仿宋_GB2312" w:hAnsi="方正仿宋_GB2312" w:eastAsia="方正仿宋_GB2312" w:cs="方正仿宋_GB2312"/>
          <w:color w:val="FF0000"/>
          <w:sz w:val="32"/>
          <w:szCs w:val="32"/>
        </w:rPr>
      </w:pPr>
    </w:p>
    <w:p>
      <w:pPr>
        <w:adjustRightInd w:val="0"/>
        <w:snapToGrid w:val="0"/>
        <w:spacing w:line="600" w:lineRule="exact"/>
        <w:jc w:val="both"/>
        <w:rPr>
          <w:rFonts w:ascii="方正仿宋_GB2312" w:hAnsi="方正仿宋_GB2312" w:eastAsia="方正仿宋_GB2312" w:cs="方正仿宋_GB2312"/>
          <w:color w:val="FF0000"/>
          <w:sz w:val="32"/>
          <w:szCs w:val="32"/>
        </w:rPr>
      </w:pPr>
    </w:p>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9CDB21-4A94-4F12-A141-35D47B76604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A628EB7D-F806-4FAF-B7E7-6DB0BBB627C7}"/>
  </w:font>
  <w:font w:name="仿宋">
    <w:panose1 w:val="02010609060101010101"/>
    <w:charset w:val="86"/>
    <w:family w:val="modern"/>
    <w:pitch w:val="default"/>
    <w:sig w:usb0="800002BF" w:usb1="38CF7CFA" w:usb2="00000016" w:usb3="00000000" w:csb0="00040001" w:csb1="00000000"/>
    <w:embedRegular r:id="rId3" w:fontKey="{39E1BAA2-BE87-435F-AAE4-C9438B37BA6A}"/>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4" w:fontKey="{64486A5F-3194-4600-A6A1-246CFDD0FA52}"/>
  </w:font>
  <w:font w:name="楷体_GB2312">
    <w:panose1 w:val="02010609030101010101"/>
    <w:charset w:val="86"/>
    <w:family w:val="modern"/>
    <w:pitch w:val="default"/>
    <w:sig w:usb0="00000001" w:usb1="080E0000" w:usb2="00000000" w:usb3="00000000" w:csb0="00040000" w:csb1="00000000"/>
    <w:embedRegular r:id="rId5" w:fontKey="{0E7A8810-FADA-4572-A823-88C3E28FECB0}"/>
  </w:font>
  <w:font w:name="方正仿宋_GB2312">
    <w:panose1 w:val="02000000000000000000"/>
    <w:charset w:val="86"/>
    <w:family w:val="auto"/>
    <w:pitch w:val="default"/>
    <w:sig w:usb0="A00002BF" w:usb1="184F6CFA" w:usb2="00000012" w:usb3="00000000" w:csb0="00040001" w:csb1="00000000"/>
    <w:embedRegular r:id="rId6" w:fontKey="{A28F85B8-00B8-43AD-AD5F-79B230B35C2D}"/>
  </w:font>
  <w:font w:name="方正楷体_GB2312">
    <w:panose1 w:val="02000000000000000000"/>
    <w:charset w:val="86"/>
    <w:family w:val="auto"/>
    <w:pitch w:val="default"/>
    <w:sig w:usb0="A00002BF" w:usb1="184F6CFA" w:usb2="00000012" w:usb3="00000000" w:csb0="00040001" w:csb1="00000000"/>
    <w:embedRegular r:id="rId7" w:fontKey="{541EA31D-6D1A-43FE-B875-967C9A824ACC}"/>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2"/>
      </w:rPr>
      <w:id w:val="-1895270530"/>
    </w:sdtPr>
    <w:sdtEndPr>
      <w:rPr>
        <w:rStyle w:val="32"/>
      </w:rPr>
    </w:sdtEndPr>
    <w:sdtContent>
      <w:p>
        <w:pPr>
          <w:pStyle w:val="17"/>
          <w:framePr w:wrap="around" w:vAnchor="text" w:hAnchor="margin" w:xAlign="center" w:y="1"/>
          <w:rPr>
            <w:rStyle w:val="32"/>
          </w:rPr>
        </w:pPr>
        <w:r>
          <w:rPr>
            <w:rStyle w:val="32"/>
          </w:rPr>
          <w:fldChar w:fldCharType="begin"/>
        </w:r>
        <w:r>
          <w:rPr>
            <w:rStyle w:val="32"/>
          </w:rPr>
          <w:instrText xml:space="preserve"> PAGE </w:instrText>
        </w:r>
        <w:r>
          <w:rPr>
            <w:rStyle w:val="32"/>
          </w:rPr>
          <w:fldChar w:fldCharType="separate"/>
        </w:r>
        <w:r>
          <w:rPr>
            <w:rStyle w:val="32"/>
          </w:rPr>
          <w:t>- 74 -</w:t>
        </w:r>
        <w:r>
          <w:rPr>
            <w:rStyle w:val="32"/>
          </w:rPr>
          <w:fldChar w:fldCharType="end"/>
        </w:r>
      </w:p>
    </w:sdtContent>
  </w:sdt>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CYp3jDgCAABvBAAADgAAAAAAAAABACAAAAAfAQAAZHJzL2Uyb0RvYy54&#10;bWxQSwUGAAAAAAYABgBZAQAAy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dit="readOnly" w:enforcement="1"/>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0NmI2ZjEwYTZhOWY4ZmE4NzFmN2ZjNzRmZTA2MDgifQ=="/>
  </w:docVars>
  <w:rsids>
    <w:rsidRoot w:val="00851F02"/>
    <w:rsid w:val="0000045B"/>
    <w:rsid w:val="00000780"/>
    <w:rsid w:val="0000092A"/>
    <w:rsid w:val="000019A5"/>
    <w:rsid w:val="00001A22"/>
    <w:rsid w:val="000069DE"/>
    <w:rsid w:val="00007261"/>
    <w:rsid w:val="000101B7"/>
    <w:rsid w:val="00010BFF"/>
    <w:rsid w:val="00010DA1"/>
    <w:rsid w:val="00011357"/>
    <w:rsid w:val="00013937"/>
    <w:rsid w:val="00015067"/>
    <w:rsid w:val="0001534D"/>
    <w:rsid w:val="00015EF0"/>
    <w:rsid w:val="00016037"/>
    <w:rsid w:val="000161D8"/>
    <w:rsid w:val="0002104C"/>
    <w:rsid w:val="000219FB"/>
    <w:rsid w:val="0002214B"/>
    <w:rsid w:val="0002216D"/>
    <w:rsid w:val="000255BA"/>
    <w:rsid w:val="000277F7"/>
    <w:rsid w:val="000316DA"/>
    <w:rsid w:val="000317C9"/>
    <w:rsid w:val="0003245E"/>
    <w:rsid w:val="00032BB7"/>
    <w:rsid w:val="00033105"/>
    <w:rsid w:val="00033494"/>
    <w:rsid w:val="000352D6"/>
    <w:rsid w:val="00035CA9"/>
    <w:rsid w:val="000367D3"/>
    <w:rsid w:val="00037484"/>
    <w:rsid w:val="00037987"/>
    <w:rsid w:val="00040E97"/>
    <w:rsid w:val="00040F46"/>
    <w:rsid w:val="00041190"/>
    <w:rsid w:val="00041EB2"/>
    <w:rsid w:val="00042C90"/>
    <w:rsid w:val="00043AEC"/>
    <w:rsid w:val="000448FC"/>
    <w:rsid w:val="000451D1"/>
    <w:rsid w:val="0004547B"/>
    <w:rsid w:val="000455A4"/>
    <w:rsid w:val="0004576A"/>
    <w:rsid w:val="00045FBF"/>
    <w:rsid w:val="00046CB0"/>
    <w:rsid w:val="000478C5"/>
    <w:rsid w:val="0005034A"/>
    <w:rsid w:val="000503ED"/>
    <w:rsid w:val="00051B28"/>
    <w:rsid w:val="00051F05"/>
    <w:rsid w:val="0005390B"/>
    <w:rsid w:val="00054459"/>
    <w:rsid w:val="00054CAE"/>
    <w:rsid w:val="00054D5D"/>
    <w:rsid w:val="0005531D"/>
    <w:rsid w:val="00055C49"/>
    <w:rsid w:val="00057345"/>
    <w:rsid w:val="00061CD4"/>
    <w:rsid w:val="00062EEA"/>
    <w:rsid w:val="0006318C"/>
    <w:rsid w:val="000632B8"/>
    <w:rsid w:val="00064248"/>
    <w:rsid w:val="00064E5D"/>
    <w:rsid w:val="00065279"/>
    <w:rsid w:val="00065944"/>
    <w:rsid w:val="00065AEE"/>
    <w:rsid w:val="0006651A"/>
    <w:rsid w:val="000665A3"/>
    <w:rsid w:val="0006725E"/>
    <w:rsid w:val="00067CF7"/>
    <w:rsid w:val="00071680"/>
    <w:rsid w:val="00071C03"/>
    <w:rsid w:val="00072896"/>
    <w:rsid w:val="00072DEE"/>
    <w:rsid w:val="000754D6"/>
    <w:rsid w:val="00076C44"/>
    <w:rsid w:val="00077B74"/>
    <w:rsid w:val="00080DDB"/>
    <w:rsid w:val="00082A45"/>
    <w:rsid w:val="00082AC0"/>
    <w:rsid w:val="000830A9"/>
    <w:rsid w:val="00083675"/>
    <w:rsid w:val="00083A1E"/>
    <w:rsid w:val="00083E21"/>
    <w:rsid w:val="00084316"/>
    <w:rsid w:val="000844BF"/>
    <w:rsid w:val="00084CCF"/>
    <w:rsid w:val="00084F66"/>
    <w:rsid w:val="00085596"/>
    <w:rsid w:val="0008568D"/>
    <w:rsid w:val="00085814"/>
    <w:rsid w:val="0008694E"/>
    <w:rsid w:val="00086A30"/>
    <w:rsid w:val="00086E06"/>
    <w:rsid w:val="000879D3"/>
    <w:rsid w:val="0009018C"/>
    <w:rsid w:val="00090BBF"/>
    <w:rsid w:val="00092178"/>
    <w:rsid w:val="0009262A"/>
    <w:rsid w:val="00092CBE"/>
    <w:rsid w:val="000940E8"/>
    <w:rsid w:val="00094335"/>
    <w:rsid w:val="00094B69"/>
    <w:rsid w:val="00094BF6"/>
    <w:rsid w:val="00095B31"/>
    <w:rsid w:val="00095E2C"/>
    <w:rsid w:val="00096418"/>
    <w:rsid w:val="000A07D9"/>
    <w:rsid w:val="000A07E0"/>
    <w:rsid w:val="000A0E8D"/>
    <w:rsid w:val="000A2A56"/>
    <w:rsid w:val="000A2EEF"/>
    <w:rsid w:val="000A3E48"/>
    <w:rsid w:val="000A47C8"/>
    <w:rsid w:val="000A50F2"/>
    <w:rsid w:val="000A6236"/>
    <w:rsid w:val="000A7328"/>
    <w:rsid w:val="000A74C6"/>
    <w:rsid w:val="000B0372"/>
    <w:rsid w:val="000B1455"/>
    <w:rsid w:val="000B1A43"/>
    <w:rsid w:val="000B308E"/>
    <w:rsid w:val="000B33E5"/>
    <w:rsid w:val="000B5568"/>
    <w:rsid w:val="000B7F19"/>
    <w:rsid w:val="000C016F"/>
    <w:rsid w:val="000C06E9"/>
    <w:rsid w:val="000C371F"/>
    <w:rsid w:val="000C4867"/>
    <w:rsid w:val="000C4BD3"/>
    <w:rsid w:val="000C5CD7"/>
    <w:rsid w:val="000C7B63"/>
    <w:rsid w:val="000D0796"/>
    <w:rsid w:val="000D0A8D"/>
    <w:rsid w:val="000D11DD"/>
    <w:rsid w:val="000D12D7"/>
    <w:rsid w:val="000D13D9"/>
    <w:rsid w:val="000D1E2B"/>
    <w:rsid w:val="000D2686"/>
    <w:rsid w:val="000D2C4E"/>
    <w:rsid w:val="000D305E"/>
    <w:rsid w:val="000D437A"/>
    <w:rsid w:val="000D437F"/>
    <w:rsid w:val="000D4526"/>
    <w:rsid w:val="000D54AD"/>
    <w:rsid w:val="000D5B10"/>
    <w:rsid w:val="000D6A79"/>
    <w:rsid w:val="000D6E30"/>
    <w:rsid w:val="000E119E"/>
    <w:rsid w:val="000E1A60"/>
    <w:rsid w:val="000E2E14"/>
    <w:rsid w:val="000E3094"/>
    <w:rsid w:val="000E4191"/>
    <w:rsid w:val="000E45D8"/>
    <w:rsid w:val="000E4D49"/>
    <w:rsid w:val="000E53DA"/>
    <w:rsid w:val="000E53F3"/>
    <w:rsid w:val="000E5B07"/>
    <w:rsid w:val="000E5D4B"/>
    <w:rsid w:val="000E61E2"/>
    <w:rsid w:val="000E7284"/>
    <w:rsid w:val="000E7458"/>
    <w:rsid w:val="000E76CE"/>
    <w:rsid w:val="000F002F"/>
    <w:rsid w:val="000F0D09"/>
    <w:rsid w:val="000F0D46"/>
    <w:rsid w:val="000F0D87"/>
    <w:rsid w:val="000F1252"/>
    <w:rsid w:val="000F1516"/>
    <w:rsid w:val="000F2037"/>
    <w:rsid w:val="000F2640"/>
    <w:rsid w:val="000F2AC7"/>
    <w:rsid w:val="000F2D40"/>
    <w:rsid w:val="000F36FC"/>
    <w:rsid w:val="000F3829"/>
    <w:rsid w:val="000F5339"/>
    <w:rsid w:val="000F60FA"/>
    <w:rsid w:val="000F6101"/>
    <w:rsid w:val="000F6C84"/>
    <w:rsid w:val="000F704F"/>
    <w:rsid w:val="001019CD"/>
    <w:rsid w:val="001025BA"/>
    <w:rsid w:val="001029F5"/>
    <w:rsid w:val="00103010"/>
    <w:rsid w:val="00103508"/>
    <w:rsid w:val="00103551"/>
    <w:rsid w:val="001035C2"/>
    <w:rsid w:val="0010497C"/>
    <w:rsid w:val="00104B3C"/>
    <w:rsid w:val="001059C7"/>
    <w:rsid w:val="001061A6"/>
    <w:rsid w:val="0010775F"/>
    <w:rsid w:val="001112B9"/>
    <w:rsid w:val="0011206C"/>
    <w:rsid w:val="00112B8E"/>
    <w:rsid w:val="00113CC2"/>
    <w:rsid w:val="00115464"/>
    <w:rsid w:val="00115866"/>
    <w:rsid w:val="0011591D"/>
    <w:rsid w:val="00115EF3"/>
    <w:rsid w:val="00116999"/>
    <w:rsid w:val="00116FEF"/>
    <w:rsid w:val="001178EA"/>
    <w:rsid w:val="00117E29"/>
    <w:rsid w:val="00120B01"/>
    <w:rsid w:val="00123F16"/>
    <w:rsid w:val="00125F11"/>
    <w:rsid w:val="0012644E"/>
    <w:rsid w:val="00130555"/>
    <w:rsid w:val="001324D2"/>
    <w:rsid w:val="00132C77"/>
    <w:rsid w:val="001332DE"/>
    <w:rsid w:val="00133993"/>
    <w:rsid w:val="00133B94"/>
    <w:rsid w:val="00133DB3"/>
    <w:rsid w:val="00133DFF"/>
    <w:rsid w:val="00134992"/>
    <w:rsid w:val="00135605"/>
    <w:rsid w:val="00135F43"/>
    <w:rsid w:val="00136695"/>
    <w:rsid w:val="00137FDF"/>
    <w:rsid w:val="001406A0"/>
    <w:rsid w:val="0014140B"/>
    <w:rsid w:val="00142020"/>
    <w:rsid w:val="00142372"/>
    <w:rsid w:val="00142BCB"/>
    <w:rsid w:val="001433E0"/>
    <w:rsid w:val="00143616"/>
    <w:rsid w:val="0014514C"/>
    <w:rsid w:val="00145578"/>
    <w:rsid w:val="00145FA6"/>
    <w:rsid w:val="00150088"/>
    <w:rsid w:val="0015190B"/>
    <w:rsid w:val="0015205D"/>
    <w:rsid w:val="001533CF"/>
    <w:rsid w:val="00153CFF"/>
    <w:rsid w:val="0015425F"/>
    <w:rsid w:val="00155E19"/>
    <w:rsid w:val="001566D4"/>
    <w:rsid w:val="00156D4E"/>
    <w:rsid w:val="0015749F"/>
    <w:rsid w:val="00157A33"/>
    <w:rsid w:val="00157BCC"/>
    <w:rsid w:val="00157C6C"/>
    <w:rsid w:val="0016035C"/>
    <w:rsid w:val="00160440"/>
    <w:rsid w:val="00161993"/>
    <w:rsid w:val="00161E4B"/>
    <w:rsid w:val="001624D2"/>
    <w:rsid w:val="00162EB0"/>
    <w:rsid w:val="00163CA8"/>
    <w:rsid w:val="001643FF"/>
    <w:rsid w:val="00164C97"/>
    <w:rsid w:val="00165FB5"/>
    <w:rsid w:val="00165FB7"/>
    <w:rsid w:val="00166AFE"/>
    <w:rsid w:val="00167C6A"/>
    <w:rsid w:val="001702E7"/>
    <w:rsid w:val="00170BAF"/>
    <w:rsid w:val="00171109"/>
    <w:rsid w:val="001712A3"/>
    <w:rsid w:val="00171757"/>
    <w:rsid w:val="00171E52"/>
    <w:rsid w:val="0017201B"/>
    <w:rsid w:val="00173B6B"/>
    <w:rsid w:val="00173CCC"/>
    <w:rsid w:val="00174643"/>
    <w:rsid w:val="00176708"/>
    <w:rsid w:val="00176D2E"/>
    <w:rsid w:val="00176FEC"/>
    <w:rsid w:val="00181313"/>
    <w:rsid w:val="001819B6"/>
    <w:rsid w:val="00181AE5"/>
    <w:rsid w:val="00181C7A"/>
    <w:rsid w:val="001821C4"/>
    <w:rsid w:val="001835B1"/>
    <w:rsid w:val="00183D6F"/>
    <w:rsid w:val="00184F56"/>
    <w:rsid w:val="00186E3C"/>
    <w:rsid w:val="00192869"/>
    <w:rsid w:val="00192ADE"/>
    <w:rsid w:val="00192B29"/>
    <w:rsid w:val="001930BA"/>
    <w:rsid w:val="00193B1A"/>
    <w:rsid w:val="00193E65"/>
    <w:rsid w:val="00194455"/>
    <w:rsid w:val="00194C3B"/>
    <w:rsid w:val="00196695"/>
    <w:rsid w:val="00196A5D"/>
    <w:rsid w:val="001A2B45"/>
    <w:rsid w:val="001A2F0E"/>
    <w:rsid w:val="001A2FAD"/>
    <w:rsid w:val="001A4690"/>
    <w:rsid w:val="001A5397"/>
    <w:rsid w:val="001A60A7"/>
    <w:rsid w:val="001B0E4C"/>
    <w:rsid w:val="001B28D2"/>
    <w:rsid w:val="001B3CA1"/>
    <w:rsid w:val="001B4AFB"/>
    <w:rsid w:val="001B6365"/>
    <w:rsid w:val="001B67C9"/>
    <w:rsid w:val="001B6987"/>
    <w:rsid w:val="001B785B"/>
    <w:rsid w:val="001C11AA"/>
    <w:rsid w:val="001C18CC"/>
    <w:rsid w:val="001C2A80"/>
    <w:rsid w:val="001C389A"/>
    <w:rsid w:val="001C3A8A"/>
    <w:rsid w:val="001C4487"/>
    <w:rsid w:val="001C5085"/>
    <w:rsid w:val="001C52BB"/>
    <w:rsid w:val="001C6612"/>
    <w:rsid w:val="001C67FC"/>
    <w:rsid w:val="001D06E3"/>
    <w:rsid w:val="001D274D"/>
    <w:rsid w:val="001D5505"/>
    <w:rsid w:val="001D6726"/>
    <w:rsid w:val="001D6A98"/>
    <w:rsid w:val="001D78AF"/>
    <w:rsid w:val="001D7C6B"/>
    <w:rsid w:val="001E0257"/>
    <w:rsid w:val="001E09FD"/>
    <w:rsid w:val="001E0A43"/>
    <w:rsid w:val="001E0CF5"/>
    <w:rsid w:val="001E0EBC"/>
    <w:rsid w:val="001E182E"/>
    <w:rsid w:val="001E1AA2"/>
    <w:rsid w:val="001E358D"/>
    <w:rsid w:val="001E3D53"/>
    <w:rsid w:val="001E3DC1"/>
    <w:rsid w:val="001E4692"/>
    <w:rsid w:val="001E47E4"/>
    <w:rsid w:val="001E50F4"/>
    <w:rsid w:val="001E55F0"/>
    <w:rsid w:val="001E5789"/>
    <w:rsid w:val="001E7263"/>
    <w:rsid w:val="001E7559"/>
    <w:rsid w:val="001F1DE8"/>
    <w:rsid w:val="001F2724"/>
    <w:rsid w:val="001F283A"/>
    <w:rsid w:val="001F41EE"/>
    <w:rsid w:val="001F4881"/>
    <w:rsid w:val="001F4955"/>
    <w:rsid w:val="001F54B2"/>
    <w:rsid w:val="001F598B"/>
    <w:rsid w:val="001F5A40"/>
    <w:rsid w:val="001F5B21"/>
    <w:rsid w:val="001F5C58"/>
    <w:rsid w:val="001F6809"/>
    <w:rsid w:val="001F7A98"/>
    <w:rsid w:val="0020227F"/>
    <w:rsid w:val="00203681"/>
    <w:rsid w:val="00203923"/>
    <w:rsid w:val="00203E2A"/>
    <w:rsid w:val="0020484A"/>
    <w:rsid w:val="00204A66"/>
    <w:rsid w:val="0020593B"/>
    <w:rsid w:val="002061F2"/>
    <w:rsid w:val="00206BD2"/>
    <w:rsid w:val="002076A3"/>
    <w:rsid w:val="00210B4C"/>
    <w:rsid w:val="0021176B"/>
    <w:rsid w:val="00211C8F"/>
    <w:rsid w:val="00211CB2"/>
    <w:rsid w:val="002123BC"/>
    <w:rsid w:val="00213CB7"/>
    <w:rsid w:val="00215790"/>
    <w:rsid w:val="0021698B"/>
    <w:rsid w:val="00217B26"/>
    <w:rsid w:val="002207B1"/>
    <w:rsid w:val="00221126"/>
    <w:rsid w:val="002213E8"/>
    <w:rsid w:val="0022533F"/>
    <w:rsid w:val="00225A62"/>
    <w:rsid w:val="00225C02"/>
    <w:rsid w:val="00226A60"/>
    <w:rsid w:val="00226C84"/>
    <w:rsid w:val="00230056"/>
    <w:rsid w:val="0023034E"/>
    <w:rsid w:val="0023071D"/>
    <w:rsid w:val="00230CD0"/>
    <w:rsid w:val="002316DE"/>
    <w:rsid w:val="00231B89"/>
    <w:rsid w:val="0023218C"/>
    <w:rsid w:val="00232243"/>
    <w:rsid w:val="00232937"/>
    <w:rsid w:val="002333E3"/>
    <w:rsid w:val="0023483F"/>
    <w:rsid w:val="00234873"/>
    <w:rsid w:val="0023500C"/>
    <w:rsid w:val="002355FA"/>
    <w:rsid w:val="00236E27"/>
    <w:rsid w:val="002376CF"/>
    <w:rsid w:val="00237933"/>
    <w:rsid w:val="00237CD9"/>
    <w:rsid w:val="002421C1"/>
    <w:rsid w:val="002428D8"/>
    <w:rsid w:val="00242B42"/>
    <w:rsid w:val="00242D41"/>
    <w:rsid w:val="00244716"/>
    <w:rsid w:val="00244B59"/>
    <w:rsid w:val="0024607E"/>
    <w:rsid w:val="0024668A"/>
    <w:rsid w:val="00247B94"/>
    <w:rsid w:val="002503A7"/>
    <w:rsid w:val="00250C54"/>
    <w:rsid w:val="002517F7"/>
    <w:rsid w:val="0025210A"/>
    <w:rsid w:val="00253597"/>
    <w:rsid w:val="0025415B"/>
    <w:rsid w:val="00254768"/>
    <w:rsid w:val="00254BCB"/>
    <w:rsid w:val="002562D9"/>
    <w:rsid w:val="00256D56"/>
    <w:rsid w:val="00260E00"/>
    <w:rsid w:val="002617FB"/>
    <w:rsid w:val="00262183"/>
    <w:rsid w:val="00262764"/>
    <w:rsid w:val="00263A30"/>
    <w:rsid w:val="00263FB9"/>
    <w:rsid w:val="00264241"/>
    <w:rsid w:val="002642BE"/>
    <w:rsid w:val="00266398"/>
    <w:rsid w:val="00267046"/>
    <w:rsid w:val="002670AB"/>
    <w:rsid w:val="00270081"/>
    <w:rsid w:val="0027016B"/>
    <w:rsid w:val="0027036A"/>
    <w:rsid w:val="00270CFC"/>
    <w:rsid w:val="00270EB5"/>
    <w:rsid w:val="00271982"/>
    <w:rsid w:val="00271ECA"/>
    <w:rsid w:val="00273FE6"/>
    <w:rsid w:val="00274BC3"/>
    <w:rsid w:val="00274DFB"/>
    <w:rsid w:val="002751EA"/>
    <w:rsid w:val="00276AFE"/>
    <w:rsid w:val="002777E6"/>
    <w:rsid w:val="002823FC"/>
    <w:rsid w:val="00282B40"/>
    <w:rsid w:val="00282DD7"/>
    <w:rsid w:val="002837C9"/>
    <w:rsid w:val="002849E5"/>
    <w:rsid w:val="00285328"/>
    <w:rsid w:val="00290191"/>
    <w:rsid w:val="00291FAC"/>
    <w:rsid w:val="002921CC"/>
    <w:rsid w:val="00293CF5"/>
    <w:rsid w:val="002947DE"/>
    <w:rsid w:val="00294AA9"/>
    <w:rsid w:val="00296A2C"/>
    <w:rsid w:val="00296A47"/>
    <w:rsid w:val="00297757"/>
    <w:rsid w:val="002A0F7D"/>
    <w:rsid w:val="002A1AFF"/>
    <w:rsid w:val="002A3677"/>
    <w:rsid w:val="002A428A"/>
    <w:rsid w:val="002A51D2"/>
    <w:rsid w:val="002A58DF"/>
    <w:rsid w:val="002A6827"/>
    <w:rsid w:val="002B00FB"/>
    <w:rsid w:val="002B016C"/>
    <w:rsid w:val="002B0ECA"/>
    <w:rsid w:val="002B1422"/>
    <w:rsid w:val="002B287B"/>
    <w:rsid w:val="002B2FFB"/>
    <w:rsid w:val="002B34F4"/>
    <w:rsid w:val="002B36C2"/>
    <w:rsid w:val="002B4015"/>
    <w:rsid w:val="002B721F"/>
    <w:rsid w:val="002B79C7"/>
    <w:rsid w:val="002C0876"/>
    <w:rsid w:val="002C1F87"/>
    <w:rsid w:val="002C2D56"/>
    <w:rsid w:val="002C2E25"/>
    <w:rsid w:val="002C3806"/>
    <w:rsid w:val="002C3C6A"/>
    <w:rsid w:val="002C4191"/>
    <w:rsid w:val="002C5863"/>
    <w:rsid w:val="002C5ED3"/>
    <w:rsid w:val="002C74D1"/>
    <w:rsid w:val="002D0E6C"/>
    <w:rsid w:val="002D102C"/>
    <w:rsid w:val="002D2D1A"/>
    <w:rsid w:val="002D2FC2"/>
    <w:rsid w:val="002D580D"/>
    <w:rsid w:val="002D5F71"/>
    <w:rsid w:val="002D6E1E"/>
    <w:rsid w:val="002E0050"/>
    <w:rsid w:val="002E0563"/>
    <w:rsid w:val="002E23B2"/>
    <w:rsid w:val="002E2F84"/>
    <w:rsid w:val="002E3151"/>
    <w:rsid w:val="002E38C1"/>
    <w:rsid w:val="002E5509"/>
    <w:rsid w:val="002E5FA8"/>
    <w:rsid w:val="002F0772"/>
    <w:rsid w:val="002F1765"/>
    <w:rsid w:val="002F1CBE"/>
    <w:rsid w:val="002F245B"/>
    <w:rsid w:val="002F26F9"/>
    <w:rsid w:val="002F2A23"/>
    <w:rsid w:val="002F4234"/>
    <w:rsid w:val="002F747A"/>
    <w:rsid w:val="003029FD"/>
    <w:rsid w:val="00302F44"/>
    <w:rsid w:val="00303973"/>
    <w:rsid w:val="00303A17"/>
    <w:rsid w:val="00303FE7"/>
    <w:rsid w:val="00304615"/>
    <w:rsid w:val="0030514B"/>
    <w:rsid w:val="0030705B"/>
    <w:rsid w:val="00310C6A"/>
    <w:rsid w:val="00311489"/>
    <w:rsid w:val="00313A37"/>
    <w:rsid w:val="00314216"/>
    <w:rsid w:val="00315470"/>
    <w:rsid w:val="0031613D"/>
    <w:rsid w:val="003162B6"/>
    <w:rsid w:val="0031797B"/>
    <w:rsid w:val="00322F5C"/>
    <w:rsid w:val="00323897"/>
    <w:rsid w:val="0032395E"/>
    <w:rsid w:val="00323D7B"/>
    <w:rsid w:val="00323E12"/>
    <w:rsid w:val="003258F0"/>
    <w:rsid w:val="00325CCF"/>
    <w:rsid w:val="003264A4"/>
    <w:rsid w:val="00326C78"/>
    <w:rsid w:val="003270BB"/>
    <w:rsid w:val="003304CE"/>
    <w:rsid w:val="00331129"/>
    <w:rsid w:val="003320E8"/>
    <w:rsid w:val="003337B6"/>
    <w:rsid w:val="0033515B"/>
    <w:rsid w:val="00337E20"/>
    <w:rsid w:val="0034048A"/>
    <w:rsid w:val="00340E66"/>
    <w:rsid w:val="00340FEF"/>
    <w:rsid w:val="00341ECE"/>
    <w:rsid w:val="003433AE"/>
    <w:rsid w:val="00344EAB"/>
    <w:rsid w:val="00344F7C"/>
    <w:rsid w:val="00345973"/>
    <w:rsid w:val="00346892"/>
    <w:rsid w:val="00346EEB"/>
    <w:rsid w:val="003502D6"/>
    <w:rsid w:val="00351017"/>
    <w:rsid w:val="003516E8"/>
    <w:rsid w:val="00351991"/>
    <w:rsid w:val="00351E10"/>
    <w:rsid w:val="00352066"/>
    <w:rsid w:val="00352C13"/>
    <w:rsid w:val="00353FF6"/>
    <w:rsid w:val="003541F6"/>
    <w:rsid w:val="00354A40"/>
    <w:rsid w:val="00354E83"/>
    <w:rsid w:val="00355C47"/>
    <w:rsid w:val="003572FF"/>
    <w:rsid w:val="003576BF"/>
    <w:rsid w:val="00357CEE"/>
    <w:rsid w:val="00360133"/>
    <w:rsid w:val="00360200"/>
    <w:rsid w:val="0036133F"/>
    <w:rsid w:val="003614B1"/>
    <w:rsid w:val="0036225D"/>
    <w:rsid w:val="00363713"/>
    <w:rsid w:val="00365246"/>
    <w:rsid w:val="00365716"/>
    <w:rsid w:val="00365D81"/>
    <w:rsid w:val="0036640B"/>
    <w:rsid w:val="003674EF"/>
    <w:rsid w:val="00372DED"/>
    <w:rsid w:val="003733FC"/>
    <w:rsid w:val="00375B9F"/>
    <w:rsid w:val="00375F03"/>
    <w:rsid w:val="00376A0C"/>
    <w:rsid w:val="00377042"/>
    <w:rsid w:val="0037776A"/>
    <w:rsid w:val="00380521"/>
    <w:rsid w:val="0038093A"/>
    <w:rsid w:val="00381109"/>
    <w:rsid w:val="003818BF"/>
    <w:rsid w:val="00382A68"/>
    <w:rsid w:val="00383578"/>
    <w:rsid w:val="00383DBB"/>
    <w:rsid w:val="003844FD"/>
    <w:rsid w:val="00385164"/>
    <w:rsid w:val="0038718E"/>
    <w:rsid w:val="003876C0"/>
    <w:rsid w:val="00387D1C"/>
    <w:rsid w:val="00390B7F"/>
    <w:rsid w:val="003917D6"/>
    <w:rsid w:val="0039186B"/>
    <w:rsid w:val="00392478"/>
    <w:rsid w:val="00393C58"/>
    <w:rsid w:val="0039407F"/>
    <w:rsid w:val="00395183"/>
    <w:rsid w:val="00395ADC"/>
    <w:rsid w:val="003A053D"/>
    <w:rsid w:val="003A087D"/>
    <w:rsid w:val="003A0906"/>
    <w:rsid w:val="003A0DD4"/>
    <w:rsid w:val="003A3D66"/>
    <w:rsid w:val="003A44BE"/>
    <w:rsid w:val="003A5226"/>
    <w:rsid w:val="003A5C95"/>
    <w:rsid w:val="003A6212"/>
    <w:rsid w:val="003A6275"/>
    <w:rsid w:val="003A6628"/>
    <w:rsid w:val="003A6A61"/>
    <w:rsid w:val="003A6A78"/>
    <w:rsid w:val="003A6BC9"/>
    <w:rsid w:val="003A769F"/>
    <w:rsid w:val="003A7C8C"/>
    <w:rsid w:val="003B0558"/>
    <w:rsid w:val="003B1048"/>
    <w:rsid w:val="003B1BE5"/>
    <w:rsid w:val="003B20D4"/>
    <w:rsid w:val="003B2702"/>
    <w:rsid w:val="003B36EE"/>
    <w:rsid w:val="003B3C9D"/>
    <w:rsid w:val="003B404E"/>
    <w:rsid w:val="003B427A"/>
    <w:rsid w:val="003B44B4"/>
    <w:rsid w:val="003B469A"/>
    <w:rsid w:val="003B6A60"/>
    <w:rsid w:val="003B7FE5"/>
    <w:rsid w:val="003C064D"/>
    <w:rsid w:val="003C121E"/>
    <w:rsid w:val="003C18D0"/>
    <w:rsid w:val="003C1A12"/>
    <w:rsid w:val="003C1D31"/>
    <w:rsid w:val="003C222E"/>
    <w:rsid w:val="003C3BD1"/>
    <w:rsid w:val="003C421F"/>
    <w:rsid w:val="003C50EB"/>
    <w:rsid w:val="003C6B13"/>
    <w:rsid w:val="003D017A"/>
    <w:rsid w:val="003D0623"/>
    <w:rsid w:val="003D1AA1"/>
    <w:rsid w:val="003D1FDB"/>
    <w:rsid w:val="003D247A"/>
    <w:rsid w:val="003D289D"/>
    <w:rsid w:val="003D4731"/>
    <w:rsid w:val="003D57C3"/>
    <w:rsid w:val="003D6010"/>
    <w:rsid w:val="003D79D4"/>
    <w:rsid w:val="003D7D5C"/>
    <w:rsid w:val="003E098B"/>
    <w:rsid w:val="003E1104"/>
    <w:rsid w:val="003E1929"/>
    <w:rsid w:val="003E1AF2"/>
    <w:rsid w:val="003E327C"/>
    <w:rsid w:val="003E3A76"/>
    <w:rsid w:val="003E3FFA"/>
    <w:rsid w:val="003E4B1A"/>
    <w:rsid w:val="003E505C"/>
    <w:rsid w:val="003E5D97"/>
    <w:rsid w:val="003E6C79"/>
    <w:rsid w:val="003E77C7"/>
    <w:rsid w:val="003E7B04"/>
    <w:rsid w:val="003F274F"/>
    <w:rsid w:val="003F36F6"/>
    <w:rsid w:val="003F3754"/>
    <w:rsid w:val="003F542E"/>
    <w:rsid w:val="003F5C25"/>
    <w:rsid w:val="003F6521"/>
    <w:rsid w:val="00400631"/>
    <w:rsid w:val="004021F9"/>
    <w:rsid w:val="00402AFA"/>
    <w:rsid w:val="0040313F"/>
    <w:rsid w:val="00403442"/>
    <w:rsid w:val="00404198"/>
    <w:rsid w:val="004046E8"/>
    <w:rsid w:val="00406E55"/>
    <w:rsid w:val="00406F43"/>
    <w:rsid w:val="004076A6"/>
    <w:rsid w:val="00407DA1"/>
    <w:rsid w:val="004100F9"/>
    <w:rsid w:val="00410C97"/>
    <w:rsid w:val="00411893"/>
    <w:rsid w:val="0041215C"/>
    <w:rsid w:val="0041230A"/>
    <w:rsid w:val="0041262E"/>
    <w:rsid w:val="00412AB9"/>
    <w:rsid w:val="004134A2"/>
    <w:rsid w:val="00414233"/>
    <w:rsid w:val="004158DA"/>
    <w:rsid w:val="00415B26"/>
    <w:rsid w:val="004160C2"/>
    <w:rsid w:val="004174FC"/>
    <w:rsid w:val="004203D8"/>
    <w:rsid w:val="0042355E"/>
    <w:rsid w:val="004241C3"/>
    <w:rsid w:val="004243CB"/>
    <w:rsid w:val="004247B7"/>
    <w:rsid w:val="00426BDF"/>
    <w:rsid w:val="004272E5"/>
    <w:rsid w:val="00433958"/>
    <w:rsid w:val="0043523D"/>
    <w:rsid w:val="0043692B"/>
    <w:rsid w:val="00437371"/>
    <w:rsid w:val="0044028B"/>
    <w:rsid w:val="00440E33"/>
    <w:rsid w:val="00442318"/>
    <w:rsid w:val="004436E4"/>
    <w:rsid w:val="00443907"/>
    <w:rsid w:val="0044491D"/>
    <w:rsid w:val="004453C5"/>
    <w:rsid w:val="00446441"/>
    <w:rsid w:val="00446458"/>
    <w:rsid w:val="00447321"/>
    <w:rsid w:val="00447F54"/>
    <w:rsid w:val="0045360E"/>
    <w:rsid w:val="004547DA"/>
    <w:rsid w:val="00455910"/>
    <w:rsid w:val="00457DD9"/>
    <w:rsid w:val="004607D2"/>
    <w:rsid w:val="004618E9"/>
    <w:rsid w:val="00463CD8"/>
    <w:rsid w:val="00464556"/>
    <w:rsid w:val="00464616"/>
    <w:rsid w:val="00464E7B"/>
    <w:rsid w:val="004656DA"/>
    <w:rsid w:val="00465D01"/>
    <w:rsid w:val="00465D42"/>
    <w:rsid w:val="00465D99"/>
    <w:rsid w:val="00465F78"/>
    <w:rsid w:val="00466859"/>
    <w:rsid w:val="00466C58"/>
    <w:rsid w:val="00471065"/>
    <w:rsid w:val="00471F03"/>
    <w:rsid w:val="004737E4"/>
    <w:rsid w:val="00473CE8"/>
    <w:rsid w:val="00474C39"/>
    <w:rsid w:val="0047502F"/>
    <w:rsid w:val="0047598D"/>
    <w:rsid w:val="004759C2"/>
    <w:rsid w:val="00476998"/>
    <w:rsid w:val="00476C76"/>
    <w:rsid w:val="00477653"/>
    <w:rsid w:val="004777FE"/>
    <w:rsid w:val="00477BE8"/>
    <w:rsid w:val="0048072F"/>
    <w:rsid w:val="004816CA"/>
    <w:rsid w:val="00482481"/>
    <w:rsid w:val="00482B37"/>
    <w:rsid w:val="004835ED"/>
    <w:rsid w:val="00483744"/>
    <w:rsid w:val="0048428A"/>
    <w:rsid w:val="00484400"/>
    <w:rsid w:val="00486D32"/>
    <w:rsid w:val="004875EF"/>
    <w:rsid w:val="00487D85"/>
    <w:rsid w:val="0049051F"/>
    <w:rsid w:val="004922DB"/>
    <w:rsid w:val="00492A13"/>
    <w:rsid w:val="0049330A"/>
    <w:rsid w:val="004939E5"/>
    <w:rsid w:val="00493D07"/>
    <w:rsid w:val="004953A6"/>
    <w:rsid w:val="0049712F"/>
    <w:rsid w:val="0049725F"/>
    <w:rsid w:val="004A09C3"/>
    <w:rsid w:val="004A14CE"/>
    <w:rsid w:val="004A1E66"/>
    <w:rsid w:val="004A275A"/>
    <w:rsid w:val="004A2CCF"/>
    <w:rsid w:val="004A2E4E"/>
    <w:rsid w:val="004A4335"/>
    <w:rsid w:val="004A60FB"/>
    <w:rsid w:val="004A6618"/>
    <w:rsid w:val="004A698A"/>
    <w:rsid w:val="004A703C"/>
    <w:rsid w:val="004B064D"/>
    <w:rsid w:val="004B074F"/>
    <w:rsid w:val="004B1709"/>
    <w:rsid w:val="004B171F"/>
    <w:rsid w:val="004B1B58"/>
    <w:rsid w:val="004B2E58"/>
    <w:rsid w:val="004B3117"/>
    <w:rsid w:val="004B36F1"/>
    <w:rsid w:val="004B391F"/>
    <w:rsid w:val="004B474F"/>
    <w:rsid w:val="004B4859"/>
    <w:rsid w:val="004B72DA"/>
    <w:rsid w:val="004B741D"/>
    <w:rsid w:val="004C13AA"/>
    <w:rsid w:val="004C1644"/>
    <w:rsid w:val="004C254B"/>
    <w:rsid w:val="004C31C8"/>
    <w:rsid w:val="004C345C"/>
    <w:rsid w:val="004C3E51"/>
    <w:rsid w:val="004C51EA"/>
    <w:rsid w:val="004C54DB"/>
    <w:rsid w:val="004C5708"/>
    <w:rsid w:val="004C5B32"/>
    <w:rsid w:val="004C6053"/>
    <w:rsid w:val="004C6409"/>
    <w:rsid w:val="004C6EBF"/>
    <w:rsid w:val="004C7174"/>
    <w:rsid w:val="004C77F7"/>
    <w:rsid w:val="004C7890"/>
    <w:rsid w:val="004D156A"/>
    <w:rsid w:val="004D17B2"/>
    <w:rsid w:val="004D1CC5"/>
    <w:rsid w:val="004D244B"/>
    <w:rsid w:val="004D29D3"/>
    <w:rsid w:val="004D2EB5"/>
    <w:rsid w:val="004D31BE"/>
    <w:rsid w:val="004D3BF0"/>
    <w:rsid w:val="004D41C3"/>
    <w:rsid w:val="004D5666"/>
    <w:rsid w:val="004D5C9A"/>
    <w:rsid w:val="004D5F68"/>
    <w:rsid w:val="004D6032"/>
    <w:rsid w:val="004D796E"/>
    <w:rsid w:val="004E0EE6"/>
    <w:rsid w:val="004E11F7"/>
    <w:rsid w:val="004E3900"/>
    <w:rsid w:val="004E3916"/>
    <w:rsid w:val="004E407C"/>
    <w:rsid w:val="004E409E"/>
    <w:rsid w:val="004E40D6"/>
    <w:rsid w:val="004E474B"/>
    <w:rsid w:val="004E590A"/>
    <w:rsid w:val="004E7C82"/>
    <w:rsid w:val="004E7E7E"/>
    <w:rsid w:val="004F1AA9"/>
    <w:rsid w:val="004F20CF"/>
    <w:rsid w:val="004F2901"/>
    <w:rsid w:val="004F2922"/>
    <w:rsid w:val="004F3CA6"/>
    <w:rsid w:val="004F44F0"/>
    <w:rsid w:val="004F553F"/>
    <w:rsid w:val="004F5684"/>
    <w:rsid w:val="004F5B17"/>
    <w:rsid w:val="004F6C87"/>
    <w:rsid w:val="005006FE"/>
    <w:rsid w:val="00500F29"/>
    <w:rsid w:val="00502004"/>
    <w:rsid w:val="0050207B"/>
    <w:rsid w:val="00502972"/>
    <w:rsid w:val="00505645"/>
    <w:rsid w:val="0050564F"/>
    <w:rsid w:val="005060BC"/>
    <w:rsid w:val="0050684B"/>
    <w:rsid w:val="0050747E"/>
    <w:rsid w:val="005103BD"/>
    <w:rsid w:val="00510471"/>
    <w:rsid w:val="00510AB4"/>
    <w:rsid w:val="00510BE6"/>
    <w:rsid w:val="005112E0"/>
    <w:rsid w:val="00511841"/>
    <w:rsid w:val="0051209E"/>
    <w:rsid w:val="00512584"/>
    <w:rsid w:val="005126F1"/>
    <w:rsid w:val="00512CC9"/>
    <w:rsid w:val="00513977"/>
    <w:rsid w:val="00513DB3"/>
    <w:rsid w:val="00515122"/>
    <w:rsid w:val="0051555F"/>
    <w:rsid w:val="00516882"/>
    <w:rsid w:val="005212FE"/>
    <w:rsid w:val="0052132B"/>
    <w:rsid w:val="005223E1"/>
    <w:rsid w:val="005225C2"/>
    <w:rsid w:val="005244B4"/>
    <w:rsid w:val="00524765"/>
    <w:rsid w:val="00524B7F"/>
    <w:rsid w:val="00525ECF"/>
    <w:rsid w:val="00530399"/>
    <w:rsid w:val="00531777"/>
    <w:rsid w:val="005344F7"/>
    <w:rsid w:val="00536CCB"/>
    <w:rsid w:val="00537946"/>
    <w:rsid w:val="0054008D"/>
    <w:rsid w:val="00540FF4"/>
    <w:rsid w:val="0054165D"/>
    <w:rsid w:val="005418C1"/>
    <w:rsid w:val="005425DD"/>
    <w:rsid w:val="005427C3"/>
    <w:rsid w:val="00542CBD"/>
    <w:rsid w:val="005460D5"/>
    <w:rsid w:val="00547657"/>
    <w:rsid w:val="00547AFE"/>
    <w:rsid w:val="0055005B"/>
    <w:rsid w:val="005501B5"/>
    <w:rsid w:val="0055057B"/>
    <w:rsid w:val="00550AAC"/>
    <w:rsid w:val="00551C63"/>
    <w:rsid w:val="00551D17"/>
    <w:rsid w:val="00552EEF"/>
    <w:rsid w:val="00553697"/>
    <w:rsid w:val="00553B2C"/>
    <w:rsid w:val="0055430D"/>
    <w:rsid w:val="0055540E"/>
    <w:rsid w:val="00555EC3"/>
    <w:rsid w:val="005573C7"/>
    <w:rsid w:val="0055765E"/>
    <w:rsid w:val="00557C67"/>
    <w:rsid w:val="00561EDD"/>
    <w:rsid w:val="00564BD4"/>
    <w:rsid w:val="00565E1F"/>
    <w:rsid w:val="005676CC"/>
    <w:rsid w:val="00567C01"/>
    <w:rsid w:val="00567C38"/>
    <w:rsid w:val="00570640"/>
    <w:rsid w:val="00570B01"/>
    <w:rsid w:val="00570B9F"/>
    <w:rsid w:val="00570E9B"/>
    <w:rsid w:val="00572A7F"/>
    <w:rsid w:val="00574D5D"/>
    <w:rsid w:val="00575F64"/>
    <w:rsid w:val="005760D5"/>
    <w:rsid w:val="00576231"/>
    <w:rsid w:val="0057689F"/>
    <w:rsid w:val="00577171"/>
    <w:rsid w:val="00582FF3"/>
    <w:rsid w:val="00583086"/>
    <w:rsid w:val="00583241"/>
    <w:rsid w:val="00583907"/>
    <w:rsid w:val="005864ED"/>
    <w:rsid w:val="0058721A"/>
    <w:rsid w:val="00587333"/>
    <w:rsid w:val="005874CA"/>
    <w:rsid w:val="005875B4"/>
    <w:rsid w:val="0058786C"/>
    <w:rsid w:val="0058786E"/>
    <w:rsid w:val="005905E0"/>
    <w:rsid w:val="00590F73"/>
    <w:rsid w:val="00591AE1"/>
    <w:rsid w:val="00593960"/>
    <w:rsid w:val="00594490"/>
    <w:rsid w:val="005A10F1"/>
    <w:rsid w:val="005A1BF0"/>
    <w:rsid w:val="005A1FF7"/>
    <w:rsid w:val="005A2088"/>
    <w:rsid w:val="005A33BF"/>
    <w:rsid w:val="005A35A5"/>
    <w:rsid w:val="005A37EB"/>
    <w:rsid w:val="005A3D99"/>
    <w:rsid w:val="005A44D8"/>
    <w:rsid w:val="005A4ED4"/>
    <w:rsid w:val="005A60E8"/>
    <w:rsid w:val="005A676A"/>
    <w:rsid w:val="005A6EBE"/>
    <w:rsid w:val="005A7C5F"/>
    <w:rsid w:val="005B0D97"/>
    <w:rsid w:val="005B13A1"/>
    <w:rsid w:val="005B18D1"/>
    <w:rsid w:val="005B32BE"/>
    <w:rsid w:val="005B340F"/>
    <w:rsid w:val="005B3CA0"/>
    <w:rsid w:val="005B4E8B"/>
    <w:rsid w:val="005B51C6"/>
    <w:rsid w:val="005B6E37"/>
    <w:rsid w:val="005B6EEE"/>
    <w:rsid w:val="005B71DD"/>
    <w:rsid w:val="005C045F"/>
    <w:rsid w:val="005C15CC"/>
    <w:rsid w:val="005C20AA"/>
    <w:rsid w:val="005C2852"/>
    <w:rsid w:val="005C3781"/>
    <w:rsid w:val="005C590E"/>
    <w:rsid w:val="005C78AA"/>
    <w:rsid w:val="005D1518"/>
    <w:rsid w:val="005D277C"/>
    <w:rsid w:val="005D2FE3"/>
    <w:rsid w:val="005D3A68"/>
    <w:rsid w:val="005D4062"/>
    <w:rsid w:val="005D5666"/>
    <w:rsid w:val="005D7546"/>
    <w:rsid w:val="005D7799"/>
    <w:rsid w:val="005D7A7A"/>
    <w:rsid w:val="005E0081"/>
    <w:rsid w:val="005E08DC"/>
    <w:rsid w:val="005E0E68"/>
    <w:rsid w:val="005E1384"/>
    <w:rsid w:val="005E1D36"/>
    <w:rsid w:val="005E205F"/>
    <w:rsid w:val="005E220C"/>
    <w:rsid w:val="005E2ABB"/>
    <w:rsid w:val="005E2DF7"/>
    <w:rsid w:val="005E3782"/>
    <w:rsid w:val="005E395F"/>
    <w:rsid w:val="005E5AB9"/>
    <w:rsid w:val="005E6118"/>
    <w:rsid w:val="005E7C41"/>
    <w:rsid w:val="005E7FB1"/>
    <w:rsid w:val="005F08CC"/>
    <w:rsid w:val="005F0981"/>
    <w:rsid w:val="005F0E5A"/>
    <w:rsid w:val="005F139C"/>
    <w:rsid w:val="005F1DC9"/>
    <w:rsid w:val="005F2B88"/>
    <w:rsid w:val="005F3497"/>
    <w:rsid w:val="005F45EC"/>
    <w:rsid w:val="005F74C9"/>
    <w:rsid w:val="006005B1"/>
    <w:rsid w:val="0060075D"/>
    <w:rsid w:val="00601264"/>
    <w:rsid w:val="00603F9A"/>
    <w:rsid w:val="00604249"/>
    <w:rsid w:val="006042A3"/>
    <w:rsid w:val="0060477E"/>
    <w:rsid w:val="00604B5E"/>
    <w:rsid w:val="00604EDE"/>
    <w:rsid w:val="006050F4"/>
    <w:rsid w:val="006069D8"/>
    <w:rsid w:val="00610DE9"/>
    <w:rsid w:val="00612124"/>
    <w:rsid w:val="0061376B"/>
    <w:rsid w:val="00614239"/>
    <w:rsid w:val="006149BA"/>
    <w:rsid w:val="006155A4"/>
    <w:rsid w:val="006173BC"/>
    <w:rsid w:val="006174D4"/>
    <w:rsid w:val="0062028D"/>
    <w:rsid w:val="00620C49"/>
    <w:rsid w:val="00622E9D"/>
    <w:rsid w:val="006234CF"/>
    <w:rsid w:val="006235F7"/>
    <w:rsid w:val="006238A6"/>
    <w:rsid w:val="00624871"/>
    <w:rsid w:val="00626CFC"/>
    <w:rsid w:val="00627C5B"/>
    <w:rsid w:val="00627F7E"/>
    <w:rsid w:val="00630499"/>
    <w:rsid w:val="00630C41"/>
    <w:rsid w:val="00631267"/>
    <w:rsid w:val="006322A3"/>
    <w:rsid w:val="00633436"/>
    <w:rsid w:val="00633AB8"/>
    <w:rsid w:val="00634FCB"/>
    <w:rsid w:val="00635746"/>
    <w:rsid w:val="006357C3"/>
    <w:rsid w:val="00636DE5"/>
    <w:rsid w:val="006375A4"/>
    <w:rsid w:val="00637A4A"/>
    <w:rsid w:val="00640413"/>
    <w:rsid w:val="006421BD"/>
    <w:rsid w:val="006427EF"/>
    <w:rsid w:val="00642EF0"/>
    <w:rsid w:val="00645FCF"/>
    <w:rsid w:val="0064636F"/>
    <w:rsid w:val="00646FA5"/>
    <w:rsid w:val="006500AD"/>
    <w:rsid w:val="006502C1"/>
    <w:rsid w:val="00650517"/>
    <w:rsid w:val="00650DA8"/>
    <w:rsid w:val="0065138B"/>
    <w:rsid w:val="006515C4"/>
    <w:rsid w:val="00652CB8"/>
    <w:rsid w:val="006549FF"/>
    <w:rsid w:val="006556C8"/>
    <w:rsid w:val="00655EF2"/>
    <w:rsid w:val="0065777A"/>
    <w:rsid w:val="00657B3B"/>
    <w:rsid w:val="00657F8B"/>
    <w:rsid w:val="006603A8"/>
    <w:rsid w:val="0066076A"/>
    <w:rsid w:val="00662B08"/>
    <w:rsid w:val="00662DDF"/>
    <w:rsid w:val="00663119"/>
    <w:rsid w:val="00663D60"/>
    <w:rsid w:val="00663EF2"/>
    <w:rsid w:val="00665C46"/>
    <w:rsid w:val="0066689C"/>
    <w:rsid w:val="0067208D"/>
    <w:rsid w:val="006721E5"/>
    <w:rsid w:val="006725F2"/>
    <w:rsid w:val="00673095"/>
    <w:rsid w:val="006731D2"/>
    <w:rsid w:val="00673725"/>
    <w:rsid w:val="006737FD"/>
    <w:rsid w:val="0067422E"/>
    <w:rsid w:val="006743D9"/>
    <w:rsid w:val="0067594D"/>
    <w:rsid w:val="0067798F"/>
    <w:rsid w:val="00681B3C"/>
    <w:rsid w:val="006824D4"/>
    <w:rsid w:val="00682596"/>
    <w:rsid w:val="006829E0"/>
    <w:rsid w:val="00683A8B"/>
    <w:rsid w:val="00684B1F"/>
    <w:rsid w:val="00684BF1"/>
    <w:rsid w:val="0068600D"/>
    <w:rsid w:val="00686589"/>
    <w:rsid w:val="00686BF8"/>
    <w:rsid w:val="00690F56"/>
    <w:rsid w:val="006911E5"/>
    <w:rsid w:val="00691899"/>
    <w:rsid w:val="00691E87"/>
    <w:rsid w:val="00693B3B"/>
    <w:rsid w:val="00694303"/>
    <w:rsid w:val="0069534B"/>
    <w:rsid w:val="00696903"/>
    <w:rsid w:val="0069709D"/>
    <w:rsid w:val="006A0138"/>
    <w:rsid w:val="006A0C5B"/>
    <w:rsid w:val="006A15B6"/>
    <w:rsid w:val="006A2A0D"/>
    <w:rsid w:val="006A425F"/>
    <w:rsid w:val="006A449C"/>
    <w:rsid w:val="006A6D04"/>
    <w:rsid w:val="006A7008"/>
    <w:rsid w:val="006A73E6"/>
    <w:rsid w:val="006B006B"/>
    <w:rsid w:val="006B024A"/>
    <w:rsid w:val="006B4182"/>
    <w:rsid w:val="006B41D8"/>
    <w:rsid w:val="006B6135"/>
    <w:rsid w:val="006B710C"/>
    <w:rsid w:val="006B75FF"/>
    <w:rsid w:val="006B792E"/>
    <w:rsid w:val="006B7ECE"/>
    <w:rsid w:val="006C0780"/>
    <w:rsid w:val="006C122B"/>
    <w:rsid w:val="006C2802"/>
    <w:rsid w:val="006C2F9C"/>
    <w:rsid w:val="006C308B"/>
    <w:rsid w:val="006C3CBE"/>
    <w:rsid w:val="006C3D4F"/>
    <w:rsid w:val="006C3F3B"/>
    <w:rsid w:val="006C4692"/>
    <w:rsid w:val="006C4F11"/>
    <w:rsid w:val="006C5085"/>
    <w:rsid w:val="006C57E4"/>
    <w:rsid w:val="006C642B"/>
    <w:rsid w:val="006C6C78"/>
    <w:rsid w:val="006D1009"/>
    <w:rsid w:val="006D29B6"/>
    <w:rsid w:val="006D4ACF"/>
    <w:rsid w:val="006D5231"/>
    <w:rsid w:val="006D6A14"/>
    <w:rsid w:val="006E035B"/>
    <w:rsid w:val="006E153D"/>
    <w:rsid w:val="006E156D"/>
    <w:rsid w:val="006E2D36"/>
    <w:rsid w:val="006E45E8"/>
    <w:rsid w:val="006E4BFE"/>
    <w:rsid w:val="006E6027"/>
    <w:rsid w:val="006E6153"/>
    <w:rsid w:val="006E617D"/>
    <w:rsid w:val="006E6A75"/>
    <w:rsid w:val="006F0D9F"/>
    <w:rsid w:val="006F1872"/>
    <w:rsid w:val="006F193D"/>
    <w:rsid w:val="006F1E5D"/>
    <w:rsid w:val="006F2328"/>
    <w:rsid w:val="006F2458"/>
    <w:rsid w:val="006F24F1"/>
    <w:rsid w:val="006F3B03"/>
    <w:rsid w:val="006F4781"/>
    <w:rsid w:val="006F58A7"/>
    <w:rsid w:val="006F5EF6"/>
    <w:rsid w:val="006F6D0C"/>
    <w:rsid w:val="00700D0B"/>
    <w:rsid w:val="00700FC2"/>
    <w:rsid w:val="007016CE"/>
    <w:rsid w:val="00701D74"/>
    <w:rsid w:val="00702FBD"/>
    <w:rsid w:val="00706EBE"/>
    <w:rsid w:val="007076B1"/>
    <w:rsid w:val="007101B2"/>
    <w:rsid w:val="00710854"/>
    <w:rsid w:val="00712121"/>
    <w:rsid w:val="00712B4D"/>
    <w:rsid w:val="00712FE2"/>
    <w:rsid w:val="0071359E"/>
    <w:rsid w:val="00713E41"/>
    <w:rsid w:val="00713EBC"/>
    <w:rsid w:val="00714646"/>
    <w:rsid w:val="0071507E"/>
    <w:rsid w:val="007155A1"/>
    <w:rsid w:val="00715CEE"/>
    <w:rsid w:val="00720C54"/>
    <w:rsid w:val="007223BA"/>
    <w:rsid w:val="00724A9A"/>
    <w:rsid w:val="0072529F"/>
    <w:rsid w:val="00725BEF"/>
    <w:rsid w:val="00727C47"/>
    <w:rsid w:val="0073022B"/>
    <w:rsid w:val="00730A2B"/>
    <w:rsid w:val="00730FA0"/>
    <w:rsid w:val="007335AB"/>
    <w:rsid w:val="00734D64"/>
    <w:rsid w:val="007417B0"/>
    <w:rsid w:val="00741E03"/>
    <w:rsid w:val="007420B8"/>
    <w:rsid w:val="00742BAD"/>
    <w:rsid w:val="00742CFB"/>
    <w:rsid w:val="00743151"/>
    <w:rsid w:val="00744AEE"/>
    <w:rsid w:val="00744DB0"/>
    <w:rsid w:val="00750984"/>
    <w:rsid w:val="00750F56"/>
    <w:rsid w:val="00752077"/>
    <w:rsid w:val="00754A7C"/>
    <w:rsid w:val="00754AD4"/>
    <w:rsid w:val="0075547B"/>
    <w:rsid w:val="007564ED"/>
    <w:rsid w:val="00756521"/>
    <w:rsid w:val="00757D9A"/>
    <w:rsid w:val="0076005F"/>
    <w:rsid w:val="007604F0"/>
    <w:rsid w:val="00762B23"/>
    <w:rsid w:val="00762D60"/>
    <w:rsid w:val="00763091"/>
    <w:rsid w:val="007633A7"/>
    <w:rsid w:val="007633BE"/>
    <w:rsid w:val="007639E8"/>
    <w:rsid w:val="00764EF9"/>
    <w:rsid w:val="00765E2C"/>
    <w:rsid w:val="00766354"/>
    <w:rsid w:val="00766B87"/>
    <w:rsid w:val="00766C50"/>
    <w:rsid w:val="00766DC5"/>
    <w:rsid w:val="007706DF"/>
    <w:rsid w:val="007718C6"/>
    <w:rsid w:val="007722BD"/>
    <w:rsid w:val="007731FB"/>
    <w:rsid w:val="00773CFE"/>
    <w:rsid w:val="00773EA4"/>
    <w:rsid w:val="00774101"/>
    <w:rsid w:val="00775625"/>
    <w:rsid w:val="00776320"/>
    <w:rsid w:val="00776458"/>
    <w:rsid w:val="007767B4"/>
    <w:rsid w:val="00776DB6"/>
    <w:rsid w:val="00781354"/>
    <w:rsid w:val="00782894"/>
    <w:rsid w:val="00782A2B"/>
    <w:rsid w:val="00783B2F"/>
    <w:rsid w:val="007842F5"/>
    <w:rsid w:val="00784639"/>
    <w:rsid w:val="00784E0F"/>
    <w:rsid w:val="00784F37"/>
    <w:rsid w:val="00785ED7"/>
    <w:rsid w:val="007860D5"/>
    <w:rsid w:val="00786F80"/>
    <w:rsid w:val="007914B3"/>
    <w:rsid w:val="0079162C"/>
    <w:rsid w:val="00791B8E"/>
    <w:rsid w:val="00791C54"/>
    <w:rsid w:val="00794119"/>
    <w:rsid w:val="00794275"/>
    <w:rsid w:val="007945AF"/>
    <w:rsid w:val="00796063"/>
    <w:rsid w:val="00796BCD"/>
    <w:rsid w:val="00796C7B"/>
    <w:rsid w:val="00796EE2"/>
    <w:rsid w:val="007A032E"/>
    <w:rsid w:val="007A03C5"/>
    <w:rsid w:val="007A13C2"/>
    <w:rsid w:val="007A146A"/>
    <w:rsid w:val="007A18AA"/>
    <w:rsid w:val="007A23B1"/>
    <w:rsid w:val="007A373F"/>
    <w:rsid w:val="007A4A95"/>
    <w:rsid w:val="007A57E0"/>
    <w:rsid w:val="007A6499"/>
    <w:rsid w:val="007A7359"/>
    <w:rsid w:val="007B06D1"/>
    <w:rsid w:val="007B085E"/>
    <w:rsid w:val="007B0D83"/>
    <w:rsid w:val="007B0E08"/>
    <w:rsid w:val="007B1084"/>
    <w:rsid w:val="007B1178"/>
    <w:rsid w:val="007B1906"/>
    <w:rsid w:val="007B3F88"/>
    <w:rsid w:val="007B413E"/>
    <w:rsid w:val="007B4CCF"/>
    <w:rsid w:val="007B5156"/>
    <w:rsid w:val="007B6F8B"/>
    <w:rsid w:val="007C0B78"/>
    <w:rsid w:val="007C1FA9"/>
    <w:rsid w:val="007C2C62"/>
    <w:rsid w:val="007C2D48"/>
    <w:rsid w:val="007C451A"/>
    <w:rsid w:val="007C6BBE"/>
    <w:rsid w:val="007C6D9B"/>
    <w:rsid w:val="007C703F"/>
    <w:rsid w:val="007D04F1"/>
    <w:rsid w:val="007D1D76"/>
    <w:rsid w:val="007D2026"/>
    <w:rsid w:val="007D28B3"/>
    <w:rsid w:val="007D436B"/>
    <w:rsid w:val="007D63CC"/>
    <w:rsid w:val="007D6ECD"/>
    <w:rsid w:val="007D7746"/>
    <w:rsid w:val="007E0CD1"/>
    <w:rsid w:val="007E29A7"/>
    <w:rsid w:val="007E3D8C"/>
    <w:rsid w:val="007E43B0"/>
    <w:rsid w:val="007E530C"/>
    <w:rsid w:val="007E5610"/>
    <w:rsid w:val="007E57ED"/>
    <w:rsid w:val="007E6C37"/>
    <w:rsid w:val="007E7369"/>
    <w:rsid w:val="007E7767"/>
    <w:rsid w:val="007E7D87"/>
    <w:rsid w:val="007F2370"/>
    <w:rsid w:val="007F3929"/>
    <w:rsid w:val="007F6211"/>
    <w:rsid w:val="007F68D1"/>
    <w:rsid w:val="0080041C"/>
    <w:rsid w:val="00800B4E"/>
    <w:rsid w:val="0080118B"/>
    <w:rsid w:val="008011B9"/>
    <w:rsid w:val="00801B7B"/>
    <w:rsid w:val="008021F7"/>
    <w:rsid w:val="0080255D"/>
    <w:rsid w:val="008025B7"/>
    <w:rsid w:val="008033E8"/>
    <w:rsid w:val="0080377D"/>
    <w:rsid w:val="0080392F"/>
    <w:rsid w:val="00804855"/>
    <w:rsid w:val="0080594B"/>
    <w:rsid w:val="0080640E"/>
    <w:rsid w:val="00807891"/>
    <w:rsid w:val="00810427"/>
    <w:rsid w:val="00811116"/>
    <w:rsid w:val="00811508"/>
    <w:rsid w:val="00811752"/>
    <w:rsid w:val="00813176"/>
    <w:rsid w:val="00816BDB"/>
    <w:rsid w:val="0081746E"/>
    <w:rsid w:val="00817FCB"/>
    <w:rsid w:val="00820138"/>
    <w:rsid w:val="008202DF"/>
    <w:rsid w:val="00820F0A"/>
    <w:rsid w:val="0082289B"/>
    <w:rsid w:val="00823B6F"/>
    <w:rsid w:val="00823CCE"/>
    <w:rsid w:val="00824057"/>
    <w:rsid w:val="008256A7"/>
    <w:rsid w:val="0082582B"/>
    <w:rsid w:val="008277DD"/>
    <w:rsid w:val="00830C77"/>
    <w:rsid w:val="008320A6"/>
    <w:rsid w:val="0083217F"/>
    <w:rsid w:val="008332C3"/>
    <w:rsid w:val="00833E15"/>
    <w:rsid w:val="00833E25"/>
    <w:rsid w:val="008346E6"/>
    <w:rsid w:val="00835DC3"/>
    <w:rsid w:val="00840962"/>
    <w:rsid w:val="0084200B"/>
    <w:rsid w:val="008425A2"/>
    <w:rsid w:val="00842F01"/>
    <w:rsid w:val="00843798"/>
    <w:rsid w:val="00844AB2"/>
    <w:rsid w:val="008450CD"/>
    <w:rsid w:val="00847959"/>
    <w:rsid w:val="00851F02"/>
    <w:rsid w:val="00851F10"/>
    <w:rsid w:val="00852034"/>
    <w:rsid w:val="008520CE"/>
    <w:rsid w:val="0085288E"/>
    <w:rsid w:val="0085438A"/>
    <w:rsid w:val="008543DA"/>
    <w:rsid w:val="008543F6"/>
    <w:rsid w:val="0085583D"/>
    <w:rsid w:val="00855A2D"/>
    <w:rsid w:val="008573C5"/>
    <w:rsid w:val="00861033"/>
    <w:rsid w:val="00861B54"/>
    <w:rsid w:val="00862A67"/>
    <w:rsid w:val="00862F2B"/>
    <w:rsid w:val="008630D1"/>
    <w:rsid w:val="0086312D"/>
    <w:rsid w:val="008635E5"/>
    <w:rsid w:val="00863A01"/>
    <w:rsid w:val="00865082"/>
    <w:rsid w:val="00865EFD"/>
    <w:rsid w:val="0086614D"/>
    <w:rsid w:val="0086616A"/>
    <w:rsid w:val="0086654C"/>
    <w:rsid w:val="0087146F"/>
    <w:rsid w:val="00872C5B"/>
    <w:rsid w:val="00873FD4"/>
    <w:rsid w:val="0087411D"/>
    <w:rsid w:val="0087429F"/>
    <w:rsid w:val="008746D1"/>
    <w:rsid w:val="00874874"/>
    <w:rsid w:val="00874D53"/>
    <w:rsid w:val="00875263"/>
    <w:rsid w:val="0087550B"/>
    <w:rsid w:val="008757A2"/>
    <w:rsid w:val="00875AC1"/>
    <w:rsid w:val="008763B6"/>
    <w:rsid w:val="00876598"/>
    <w:rsid w:val="008771A2"/>
    <w:rsid w:val="008805F0"/>
    <w:rsid w:val="00881B62"/>
    <w:rsid w:val="0088272F"/>
    <w:rsid w:val="00882B49"/>
    <w:rsid w:val="00883928"/>
    <w:rsid w:val="00883B07"/>
    <w:rsid w:val="008841D9"/>
    <w:rsid w:val="00884852"/>
    <w:rsid w:val="00887C10"/>
    <w:rsid w:val="00887DCE"/>
    <w:rsid w:val="008902BE"/>
    <w:rsid w:val="008902E2"/>
    <w:rsid w:val="00890452"/>
    <w:rsid w:val="008911D3"/>
    <w:rsid w:val="00891DB1"/>
    <w:rsid w:val="00891ED9"/>
    <w:rsid w:val="008921D7"/>
    <w:rsid w:val="0089537C"/>
    <w:rsid w:val="008953C1"/>
    <w:rsid w:val="00895A8E"/>
    <w:rsid w:val="00897AEB"/>
    <w:rsid w:val="008A0F70"/>
    <w:rsid w:val="008A3952"/>
    <w:rsid w:val="008A480F"/>
    <w:rsid w:val="008A7179"/>
    <w:rsid w:val="008A799C"/>
    <w:rsid w:val="008B0B68"/>
    <w:rsid w:val="008B20F1"/>
    <w:rsid w:val="008B24D9"/>
    <w:rsid w:val="008B3B81"/>
    <w:rsid w:val="008B3DFF"/>
    <w:rsid w:val="008B4415"/>
    <w:rsid w:val="008B5BDB"/>
    <w:rsid w:val="008B5F9E"/>
    <w:rsid w:val="008B6023"/>
    <w:rsid w:val="008B7710"/>
    <w:rsid w:val="008C3596"/>
    <w:rsid w:val="008C53FC"/>
    <w:rsid w:val="008C5B43"/>
    <w:rsid w:val="008C794D"/>
    <w:rsid w:val="008C7E41"/>
    <w:rsid w:val="008D2ECF"/>
    <w:rsid w:val="008D46FB"/>
    <w:rsid w:val="008D4983"/>
    <w:rsid w:val="008D553B"/>
    <w:rsid w:val="008D603F"/>
    <w:rsid w:val="008D6320"/>
    <w:rsid w:val="008D63CE"/>
    <w:rsid w:val="008D6895"/>
    <w:rsid w:val="008E0EA0"/>
    <w:rsid w:val="008E2684"/>
    <w:rsid w:val="008E2A20"/>
    <w:rsid w:val="008E324B"/>
    <w:rsid w:val="008E372B"/>
    <w:rsid w:val="008E4933"/>
    <w:rsid w:val="008E576E"/>
    <w:rsid w:val="008E6551"/>
    <w:rsid w:val="008E75B9"/>
    <w:rsid w:val="008E7F6B"/>
    <w:rsid w:val="008F007B"/>
    <w:rsid w:val="008F0FE5"/>
    <w:rsid w:val="008F1973"/>
    <w:rsid w:val="008F2D97"/>
    <w:rsid w:val="008F358E"/>
    <w:rsid w:val="008F3BF2"/>
    <w:rsid w:val="008F3CE2"/>
    <w:rsid w:val="008F5111"/>
    <w:rsid w:val="008F5B7B"/>
    <w:rsid w:val="008F5EFE"/>
    <w:rsid w:val="008F6861"/>
    <w:rsid w:val="008F7087"/>
    <w:rsid w:val="00900F55"/>
    <w:rsid w:val="009012A2"/>
    <w:rsid w:val="00902774"/>
    <w:rsid w:val="00903195"/>
    <w:rsid w:val="00903289"/>
    <w:rsid w:val="00903859"/>
    <w:rsid w:val="00904186"/>
    <w:rsid w:val="00905401"/>
    <w:rsid w:val="009058EA"/>
    <w:rsid w:val="00906418"/>
    <w:rsid w:val="00906965"/>
    <w:rsid w:val="009077E7"/>
    <w:rsid w:val="009111BB"/>
    <w:rsid w:val="0091124F"/>
    <w:rsid w:val="00911F03"/>
    <w:rsid w:val="009126E5"/>
    <w:rsid w:val="00912E18"/>
    <w:rsid w:val="00912F8A"/>
    <w:rsid w:val="00913B0E"/>
    <w:rsid w:val="009152C1"/>
    <w:rsid w:val="009161BE"/>
    <w:rsid w:val="00917D7C"/>
    <w:rsid w:val="00921DE9"/>
    <w:rsid w:val="00922A9E"/>
    <w:rsid w:val="00922E81"/>
    <w:rsid w:val="00923D24"/>
    <w:rsid w:val="009240F0"/>
    <w:rsid w:val="00924F85"/>
    <w:rsid w:val="009252CF"/>
    <w:rsid w:val="00925F37"/>
    <w:rsid w:val="0092662C"/>
    <w:rsid w:val="00926CE7"/>
    <w:rsid w:val="0092799B"/>
    <w:rsid w:val="00927DDD"/>
    <w:rsid w:val="00930610"/>
    <w:rsid w:val="009306E9"/>
    <w:rsid w:val="00930CD1"/>
    <w:rsid w:val="00931BED"/>
    <w:rsid w:val="00931FC3"/>
    <w:rsid w:val="00933746"/>
    <w:rsid w:val="0093580F"/>
    <w:rsid w:val="00937B33"/>
    <w:rsid w:val="00937E8A"/>
    <w:rsid w:val="0094003A"/>
    <w:rsid w:val="0094016E"/>
    <w:rsid w:val="009404A5"/>
    <w:rsid w:val="00942970"/>
    <w:rsid w:val="0094360D"/>
    <w:rsid w:val="009449AF"/>
    <w:rsid w:val="0094521A"/>
    <w:rsid w:val="0094654F"/>
    <w:rsid w:val="0095024B"/>
    <w:rsid w:val="0095078E"/>
    <w:rsid w:val="00950B4F"/>
    <w:rsid w:val="00950D38"/>
    <w:rsid w:val="00950F91"/>
    <w:rsid w:val="009519A0"/>
    <w:rsid w:val="00952018"/>
    <w:rsid w:val="009530CA"/>
    <w:rsid w:val="009560E0"/>
    <w:rsid w:val="00956738"/>
    <w:rsid w:val="0095703A"/>
    <w:rsid w:val="009572FA"/>
    <w:rsid w:val="009602BC"/>
    <w:rsid w:val="00960BAA"/>
    <w:rsid w:val="00961585"/>
    <w:rsid w:val="0096164D"/>
    <w:rsid w:val="009616AA"/>
    <w:rsid w:val="0096291A"/>
    <w:rsid w:val="0096380E"/>
    <w:rsid w:val="009640B0"/>
    <w:rsid w:val="00964269"/>
    <w:rsid w:val="009654C5"/>
    <w:rsid w:val="00965960"/>
    <w:rsid w:val="009659BB"/>
    <w:rsid w:val="00966637"/>
    <w:rsid w:val="009667DC"/>
    <w:rsid w:val="0097074E"/>
    <w:rsid w:val="00970942"/>
    <w:rsid w:val="00971F30"/>
    <w:rsid w:val="00972DEE"/>
    <w:rsid w:val="009739D9"/>
    <w:rsid w:val="00973BC2"/>
    <w:rsid w:val="00974395"/>
    <w:rsid w:val="009752B4"/>
    <w:rsid w:val="00975D22"/>
    <w:rsid w:val="00976086"/>
    <w:rsid w:val="009764F4"/>
    <w:rsid w:val="009766F2"/>
    <w:rsid w:val="00976897"/>
    <w:rsid w:val="009776AB"/>
    <w:rsid w:val="00977923"/>
    <w:rsid w:val="0098148D"/>
    <w:rsid w:val="0098190C"/>
    <w:rsid w:val="00981C57"/>
    <w:rsid w:val="00981FAC"/>
    <w:rsid w:val="009824F4"/>
    <w:rsid w:val="00982DF9"/>
    <w:rsid w:val="009830D3"/>
    <w:rsid w:val="00984B47"/>
    <w:rsid w:val="00985086"/>
    <w:rsid w:val="00985336"/>
    <w:rsid w:val="00986774"/>
    <w:rsid w:val="0098694E"/>
    <w:rsid w:val="009869B1"/>
    <w:rsid w:val="009871AE"/>
    <w:rsid w:val="0099243A"/>
    <w:rsid w:val="00994A76"/>
    <w:rsid w:val="00994D28"/>
    <w:rsid w:val="0099661C"/>
    <w:rsid w:val="00996BFF"/>
    <w:rsid w:val="0099709D"/>
    <w:rsid w:val="0099752E"/>
    <w:rsid w:val="00997FE9"/>
    <w:rsid w:val="009A18D6"/>
    <w:rsid w:val="009A19CB"/>
    <w:rsid w:val="009A21F9"/>
    <w:rsid w:val="009A278F"/>
    <w:rsid w:val="009A2B3E"/>
    <w:rsid w:val="009A41A3"/>
    <w:rsid w:val="009A5C8B"/>
    <w:rsid w:val="009A6EE1"/>
    <w:rsid w:val="009A7121"/>
    <w:rsid w:val="009A7249"/>
    <w:rsid w:val="009A7AE1"/>
    <w:rsid w:val="009B0047"/>
    <w:rsid w:val="009B0FDC"/>
    <w:rsid w:val="009B1777"/>
    <w:rsid w:val="009B3DA4"/>
    <w:rsid w:val="009B4500"/>
    <w:rsid w:val="009B4AD6"/>
    <w:rsid w:val="009B5B50"/>
    <w:rsid w:val="009B5EC6"/>
    <w:rsid w:val="009B6A03"/>
    <w:rsid w:val="009C042D"/>
    <w:rsid w:val="009C06AF"/>
    <w:rsid w:val="009C0825"/>
    <w:rsid w:val="009C095B"/>
    <w:rsid w:val="009C0CB2"/>
    <w:rsid w:val="009C1778"/>
    <w:rsid w:val="009C26E2"/>
    <w:rsid w:val="009C4030"/>
    <w:rsid w:val="009C48B6"/>
    <w:rsid w:val="009C55CD"/>
    <w:rsid w:val="009C600D"/>
    <w:rsid w:val="009C636C"/>
    <w:rsid w:val="009C63FD"/>
    <w:rsid w:val="009C6E43"/>
    <w:rsid w:val="009C6F3E"/>
    <w:rsid w:val="009D0FF3"/>
    <w:rsid w:val="009D1665"/>
    <w:rsid w:val="009D1CA9"/>
    <w:rsid w:val="009D1FC9"/>
    <w:rsid w:val="009D3690"/>
    <w:rsid w:val="009D3712"/>
    <w:rsid w:val="009D5EB3"/>
    <w:rsid w:val="009D6BFF"/>
    <w:rsid w:val="009D785F"/>
    <w:rsid w:val="009E0DB6"/>
    <w:rsid w:val="009E6644"/>
    <w:rsid w:val="009E6738"/>
    <w:rsid w:val="009E6AE1"/>
    <w:rsid w:val="009F128A"/>
    <w:rsid w:val="009F1339"/>
    <w:rsid w:val="009F1F66"/>
    <w:rsid w:val="009F1FDF"/>
    <w:rsid w:val="009F2954"/>
    <w:rsid w:val="009F3056"/>
    <w:rsid w:val="009F309B"/>
    <w:rsid w:val="009F3880"/>
    <w:rsid w:val="009F54C3"/>
    <w:rsid w:val="009F6D77"/>
    <w:rsid w:val="009F7A49"/>
    <w:rsid w:val="009F7BC2"/>
    <w:rsid w:val="00A003A0"/>
    <w:rsid w:val="00A006B2"/>
    <w:rsid w:val="00A039ED"/>
    <w:rsid w:val="00A05586"/>
    <w:rsid w:val="00A05C62"/>
    <w:rsid w:val="00A060F1"/>
    <w:rsid w:val="00A06441"/>
    <w:rsid w:val="00A06626"/>
    <w:rsid w:val="00A06D68"/>
    <w:rsid w:val="00A079D4"/>
    <w:rsid w:val="00A07A70"/>
    <w:rsid w:val="00A07CD3"/>
    <w:rsid w:val="00A11102"/>
    <w:rsid w:val="00A11570"/>
    <w:rsid w:val="00A11963"/>
    <w:rsid w:val="00A124F0"/>
    <w:rsid w:val="00A1317C"/>
    <w:rsid w:val="00A13482"/>
    <w:rsid w:val="00A14190"/>
    <w:rsid w:val="00A14502"/>
    <w:rsid w:val="00A15163"/>
    <w:rsid w:val="00A15445"/>
    <w:rsid w:val="00A15BB2"/>
    <w:rsid w:val="00A170AE"/>
    <w:rsid w:val="00A20F59"/>
    <w:rsid w:val="00A217FE"/>
    <w:rsid w:val="00A21BFB"/>
    <w:rsid w:val="00A22A56"/>
    <w:rsid w:val="00A22F55"/>
    <w:rsid w:val="00A23BB4"/>
    <w:rsid w:val="00A23BF7"/>
    <w:rsid w:val="00A24578"/>
    <w:rsid w:val="00A24A5C"/>
    <w:rsid w:val="00A276BA"/>
    <w:rsid w:val="00A315F0"/>
    <w:rsid w:val="00A32201"/>
    <w:rsid w:val="00A3283B"/>
    <w:rsid w:val="00A32E49"/>
    <w:rsid w:val="00A33231"/>
    <w:rsid w:val="00A34C01"/>
    <w:rsid w:val="00A35218"/>
    <w:rsid w:val="00A35BFC"/>
    <w:rsid w:val="00A35CA5"/>
    <w:rsid w:val="00A40733"/>
    <w:rsid w:val="00A40CA2"/>
    <w:rsid w:val="00A4175F"/>
    <w:rsid w:val="00A43182"/>
    <w:rsid w:val="00A43548"/>
    <w:rsid w:val="00A43712"/>
    <w:rsid w:val="00A4437B"/>
    <w:rsid w:val="00A44A8A"/>
    <w:rsid w:val="00A45830"/>
    <w:rsid w:val="00A46EB9"/>
    <w:rsid w:val="00A47C93"/>
    <w:rsid w:val="00A50359"/>
    <w:rsid w:val="00A50C49"/>
    <w:rsid w:val="00A521D4"/>
    <w:rsid w:val="00A53007"/>
    <w:rsid w:val="00A54492"/>
    <w:rsid w:val="00A544E2"/>
    <w:rsid w:val="00A548B0"/>
    <w:rsid w:val="00A54DC6"/>
    <w:rsid w:val="00A552DA"/>
    <w:rsid w:val="00A553B8"/>
    <w:rsid w:val="00A55565"/>
    <w:rsid w:val="00A574AF"/>
    <w:rsid w:val="00A57BE3"/>
    <w:rsid w:val="00A57F62"/>
    <w:rsid w:val="00A600AA"/>
    <w:rsid w:val="00A600BE"/>
    <w:rsid w:val="00A60767"/>
    <w:rsid w:val="00A61D31"/>
    <w:rsid w:val="00A629E6"/>
    <w:rsid w:val="00A63BEB"/>
    <w:rsid w:val="00A64959"/>
    <w:rsid w:val="00A6553F"/>
    <w:rsid w:val="00A65678"/>
    <w:rsid w:val="00A6647D"/>
    <w:rsid w:val="00A672B1"/>
    <w:rsid w:val="00A67DFA"/>
    <w:rsid w:val="00A67F10"/>
    <w:rsid w:val="00A709F5"/>
    <w:rsid w:val="00A71889"/>
    <w:rsid w:val="00A72AE4"/>
    <w:rsid w:val="00A72B8E"/>
    <w:rsid w:val="00A73BE6"/>
    <w:rsid w:val="00A76FB9"/>
    <w:rsid w:val="00A77265"/>
    <w:rsid w:val="00A77816"/>
    <w:rsid w:val="00A77EB9"/>
    <w:rsid w:val="00A81BAB"/>
    <w:rsid w:val="00A81C87"/>
    <w:rsid w:val="00A82C38"/>
    <w:rsid w:val="00A834C8"/>
    <w:rsid w:val="00A83889"/>
    <w:rsid w:val="00A8503C"/>
    <w:rsid w:val="00A8553F"/>
    <w:rsid w:val="00A85BAA"/>
    <w:rsid w:val="00A85C1B"/>
    <w:rsid w:val="00A85EC6"/>
    <w:rsid w:val="00A86375"/>
    <w:rsid w:val="00A87750"/>
    <w:rsid w:val="00A90159"/>
    <w:rsid w:val="00A9248F"/>
    <w:rsid w:val="00A92A91"/>
    <w:rsid w:val="00A95262"/>
    <w:rsid w:val="00A96392"/>
    <w:rsid w:val="00A96477"/>
    <w:rsid w:val="00A969BD"/>
    <w:rsid w:val="00A96C62"/>
    <w:rsid w:val="00A96C7B"/>
    <w:rsid w:val="00A97B2A"/>
    <w:rsid w:val="00AA2620"/>
    <w:rsid w:val="00AA3493"/>
    <w:rsid w:val="00AA377C"/>
    <w:rsid w:val="00AA426B"/>
    <w:rsid w:val="00AA5088"/>
    <w:rsid w:val="00AA54D0"/>
    <w:rsid w:val="00AA6739"/>
    <w:rsid w:val="00AA7962"/>
    <w:rsid w:val="00AA7A9F"/>
    <w:rsid w:val="00AA7D05"/>
    <w:rsid w:val="00AA7D4A"/>
    <w:rsid w:val="00AB29C8"/>
    <w:rsid w:val="00AB2DEE"/>
    <w:rsid w:val="00AB4052"/>
    <w:rsid w:val="00AB4080"/>
    <w:rsid w:val="00AB4326"/>
    <w:rsid w:val="00AB4503"/>
    <w:rsid w:val="00AB487D"/>
    <w:rsid w:val="00AB6098"/>
    <w:rsid w:val="00AB65E1"/>
    <w:rsid w:val="00AB70E9"/>
    <w:rsid w:val="00AB79E7"/>
    <w:rsid w:val="00AC00AC"/>
    <w:rsid w:val="00AC0E52"/>
    <w:rsid w:val="00AC1F48"/>
    <w:rsid w:val="00AC222B"/>
    <w:rsid w:val="00AC29B0"/>
    <w:rsid w:val="00AC487A"/>
    <w:rsid w:val="00AC4A7B"/>
    <w:rsid w:val="00AC4C02"/>
    <w:rsid w:val="00AC50EA"/>
    <w:rsid w:val="00AC58B2"/>
    <w:rsid w:val="00AC64F3"/>
    <w:rsid w:val="00AC73B2"/>
    <w:rsid w:val="00AD2297"/>
    <w:rsid w:val="00AD28F1"/>
    <w:rsid w:val="00AD2C0A"/>
    <w:rsid w:val="00AD34BC"/>
    <w:rsid w:val="00AD3C84"/>
    <w:rsid w:val="00AD4B07"/>
    <w:rsid w:val="00AD6A51"/>
    <w:rsid w:val="00AD6BB5"/>
    <w:rsid w:val="00AD7678"/>
    <w:rsid w:val="00AD7B44"/>
    <w:rsid w:val="00AD7C88"/>
    <w:rsid w:val="00AE0219"/>
    <w:rsid w:val="00AE163E"/>
    <w:rsid w:val="00AE1DD4"/>
    <w:rsid w:val="00AE2127"/>
    <w:rsid w:val="00AE25F0"/>
    <w:rsid w:val="00AE2611"/>
    <w:rsid w:val="00AE2FE7"/>
    <w:rsid w:val="00AE30B6"/>
    <w:rsid w:val="00AE4799"/>
    <w:rsid w:val="00AE5759"/>
    <w:rsid w:val="00AE5963"/>
    <w:rsid w:val="00AE604E"/>
    <w:rsid w:val="00AE6483"/>
    <w:rsid w:val="00AE691F"/>
    <w:rsid w:val="00AE7264"/>
    <w:rsid w:val="00AE7289"/>
    <w:rsid w:val="00AE74BA"/>
    <w:rsid w:val="00AF12BE"/>
    <w:rsid w:val="00AF26CC"/>
    <w:rsid w:val="00AF3119"/>
    <w:rsid w:val="00AF3242"/>
    <w:rsid w:val="00AF5471"/>
    <w:rsid w:val="00AF7C58"/>
    <w:rsid w:val="00B00900"/>
    <w:rsid w:val="00B01145"/>
    <w:rsid w:val="00B026FA"/>
    <w:rsid w:val="00B03869"/>
    <w:rsid w:val="00B03AD2"/>
    <w:rsid w:val="00B04F6E"/>
    <w:rsid w:val="00B056C7"/>
    <w:rsid w:val="00B066BE"/>
    <w:rsid w:val="00B06E68"/>
    <w:rsid w:val="00B07468"/>
    <w:rsid w:val="00B12F02"/>
    <w:rsid w:val="00B12F83"/>
    <w:rsid w:val="00B12FA2"/>
    <w:rsid w:val="00B135ED"/>
    <w:rsid w:val="00B14CD5"/>
    <w:rsid w:val="00B14E2D"/>
    <w:rsid w:val="00B15ED9"/>
    <w:rsid w:val="00B1679F"/>
    <w:rsid w:val="00B17034"/>
    <w:rsid w:val="00B173EB"/>
    <w:rsid w:val="00B2062C"/>
    <w:rsid w:val="00B20A26"/>
    <w:rsid w:val="00B21CBB"/>
    <w:rsid w:val="00B22515"/>
    <w:rsid w:val="00B22662"/>
    <w:rsid w:val="00B227FA"/>
    <w:rsid w:val="00B22B27"/>
    <w:rsid w:val="00B248C9"/>
    <w:rsid w:val="00B2572E"/>
    <w:rsid w:val="00B30F79"/>
    <w:rsid w:val="00B31027"/>
    <w:rsid w:val="00B3194B"/>
    <w:rsid w:val="00B319A4"/>
    <w:rsid w:val="00B31CD6"/>
    <w:rsid w:val="00B31F8E"/>
    <w:rsid w:val="00B32556"/>
    <w:rsid w:val="00B35209"/>
    <w:rsid w:val="00B35505"/>
    <w:rsid w:val="00B3598C"/>
    <w:rsid w:val="00B36D41"/>
    <w:rsid w:val="00B37280"/>
    <w:rsid w:val="00B406C7"/>
    <w:rsid w:val="00B409E6"/>
    <w:rsid w:val="00B420F7"/>
    <w:rsid w:val="00B4255A"/>
    <w:rsid w:val="00B42BC8"/>
    <w:rsid w:val="00B42DD4"/>
    <w:rsid w:val="00B43AFF"/>
    <w:rsid w:val="00B453EA"/>
    <w:rsid w:val="00B45503"/>
    <w:rsid w:val="00B4764B"/>
    <w:rsid w:val="00B50108"/>
    <w:rsid w:val="00B510DA"/>
    <w:rsid w:val="00B51999"/>
    <w:rsid w:val="00B52844"/>
    <w:rsid w:val="00B53D48"/>
    <w:rsid w:val="00B544F2"/>
    <w:rsid w:val="00B54508"/>
    <w:rsid w:val="00B54A3D"/>
    <w:rsid w:val="00B54BE9"/>
    <w:rsid w:val="00B54DBD"/>
    <w:rsid w:val="00B55A1F"/>
    <w:rsid w:val="00B566F8"/>
    <w:rsid w:val="00B56888"/>
    <w:rsid w:val="00B569B8"/>
    <w:rsid w:val="00B56C72"/>
    <w:rsid w:val="00B570EF"/>
    <w:rsid w:val="00B60558"/>
    <w:rsid w:val="00B623E3"/>
    <w:rsid w:val="00B63896"/>
    <w:rsid w:val="00B65B01"/>
    <w:rsid w:val="00B662AA"/>
    <w:rsid w:val="00B66607"/>
    <w:rsid w:val="00B66E5F"/>
    <w:rsid w:val="00B7021E"/>
    <w:rsid w:val="00B70DE5"/>
    <w:rsid w:val="00B70ED9"/>
    <w:rsid w:val="00B71AC3"/>
    <w:rsid w:val="00B72742"/>
    <w:rsid w:val="00B72F54"/>
    <w:rsid w:val="00B7387D"/>
    <w:rsid w:val="00B73F4D"/>
    <w:rsid w:val="00B80111"/>
    <w:rsid w:val="00B80CB5"/>
    <w:rsid w:val="00B81AB0"/>
    <w:rsid w:val="00B820ED"/>
    <w:rsid w:val="00B82486"/>
    <w:rsid w:val="00B82E27"/>
    <w:rsid w:val="00B830AD"/>
    <w:rsid w:val="00B831AB"/>
    <w:rsid w:val="00B83719"/>
    <w:rsid w:val="00B8380E"/>
    <w:rsid w:val="00B8398D"/>
    <w:rsid w:val="00B83D76"/>
    <w:rsid w:val="00B841AF"/>
    <w:rsid w:val="00B84439"/>
    <w:rsid w:val="00B8566A"/>
    <w:rsid w:val="00B85EA2"/>
    <w:rsid w:val="00B8661F"/>
    <w:rsid w:val="00B9044A"/>
    <w:rsid w:val="00B906DD"/>
    <w:rsid w:val="00B9180B"/>
    <w:rsid w:val="00B920DD"/>
    <w:rsid w:val="00B921F3"/>
    <w:rsid w:val="00B922DF"/>
    <w:rsid w:val="00B94136"/>
    <w:rsid w:val="00B9415D"/>
    <w:rsid w:val="00B94899"/>
    <w:rsid w:val="00B9499A"/>
    <w:rsid w:val="00B95080"/>
    <w:rsid w:val="00B9530E"/>
    <w:rsid w:val="00B962AA"/>
    <w:rsid w:val="00B97147"/>
    <w:rsid w:val="00BA034F"/>
    <w:rsid w:val="00BA0B4D"/>
    <w:rsid w:val="00BA12C1"/>
    <w:rsid w:val="00BA31FD"/>
    <w:rsid w:val="00BA34C8"/>
    <w:rsid w:val="00BA3D8C"/>
    <w:rsid w:val="00BA4474"/>
    <w:rsid w:val="00BA4971"/>
    <w:rsid w:val="00BA5980"/>
    <w:rsid w:val="00BA7647"/>
    <w:rsid w:val="00BA781E"/>
    <w:rsid w:val="00BB0163"/>
    <w:rsid w:val="00BB18A0"/>
    <w:rsid w:val="00BB18AE"/>
    <w:rsid w:val="00BB371D"/>
    <w:rsid w:val="00BB3FBB"/>
    <w:rsid w:val="00BB44A7"/>
    <w:rsid w:val="00BB4DB9"/>
    <w:rsid w:val="00BB72AA"/>
    <w:rsid w:val="00BC03DA"/>
    <w:rsid w:val="00BC0544"/>
    <w:rsid w:val="00BC063B"/>
    <w:rsid w:val="00BC0C04"/>
    <w:rsid w:val="00BC0F7A"/>
    <w:rsid w:val="00BC15F1"/>
    <w:rsid w:val="00BC1BA1"/>
    <w:rsid w:val="00BC1E97"/>
    <w:rsid w:val="00BC2143"/>
    <w:rsid w:val="00BC2C7D"/>
    <w:rsid w:val="00BC4C67"/>
    <w:rsid w:val="00BC6123"/>
    <w:rsid w:val="00BC7957"/>
    <w:rsid w:val="00BD09A3"/>
    <w:rsid w:val="00BD0CEF"/>
    <w:rsid w:val="00BD11EA"/>
    <w:rsid w:val="00BD14C2"/>
    <w:rsid w:val="00BD2401"/>
    <w:rsid w:val="00BD27B4"/>
    <w:rsid w:val="00BD2F3B"/>
    <w:rsid w:val="00BD48FE"/>
    <w:rsid w:val="00BD4D80"/>
    <w:rsid w:val="00BD4D9B"/>
    <w:rsid w:val="00BD4F2E"/>
    <w:rsid w:val="00BD5B69"/>
    <w:rsid w:val="00BD5BDF"/>
    <w:rsid w:val="00BE0FEE"/>
    <w:rsid w:val="00BE1EA0"/>
    <w:rsid w:val="00BE3536"/>
    <w:rsid w:val="00BE3A2D"/>
    <w:rsid w:val="00BE3D7A"/>
    <w:rsid w:val="00BE6BD5"/>
    <w:rsid w:val="00BE74CD"/>
    <w:rsid w:val="00BF0276"/>
    <w:rsid w:val="00BF08C6"/>
    <w:rsid w:val="00BF28E0"/>
    <w:rsid w:val="00BF4174"/>
    <w:rsid w:val="00BF4767"/>
    <w:rsid w:val="00BF75A1"/>
    <w:rsid w:val="00BF7925"/>
    <w:rsid w:val="00BF7E23"/>
    <w:rsid w:val="00C010BF"/>
    <w:rsid w:val="00C02627"/>
    <w:rsid w:val="00C02738"/>
    <w:rsid w:val="00C03F32"/>
    <w:rsid w:val="00C0440B"/>
    <w:rsid w:val="00C04479"/>
    <w:rsid w:val="00C05BB0"/>
    <w:rsid w:val="00C069AC"/>
    <w:rsid w:val="00C06C87"/>
    <w:rsid w:val="00C10AC7"/>
    <w:rsid w:val="00C10ADA"/>
    <w:rsid w:val="00C10F7A"/>
    <w:rsid w:val="00C110BE"/>
    <w:rsid w:val="00C1314C"/>
    <w:rsid w:val="00C131B4"/>
    <w:rsid w:val="00C134AC"/>
    <w:rsid w:val="00C14561"/>
    <w:rsid w:val="00C14728"/>
    <w:rsid w:val="00C14AF0"/>
    <w:rsid w:val="00C15348"/>
    <w:rsid w:val="00C155E4"/>
    <w:rsid w:val="00C16ABB"/>
    <w:rsid w:val="00C16D2A"/>
    <w:rsid w:val="00C20AA4"/>
    <w:rsid w:val="00C218CF"/>
    <w:rsid w:val="00C21CAA"/>
    <w:rsid w:val="00C22375"/>
    <w:rsid w:val="00C22927"/>
    <w:rsid w:val="00C23072"/>
    <w:rsid w:val="00C23996"/>
    <w:rsid w:val="00C259A8"/>
    <w:rsid w:val="00C276EA"/>
    <w:rsid w:val="00C307A7"/>
    <w:rsid w:val="00C3092A"/>
    <w:rsid w:val="00C30A69"/>
    <w:rsid w:val="00C30AB8"/>
    <w:rsid w:val="00C30B7D"/>
    <w:rsid w:val="00C3504D"/>
    <w:rsid w:val="00C35916"/>
    <w:rsid w:val="00C37829"/>
    <w:rsid w:val="00C379D3"/>
    <w:rsid w:val="00C422BE"/>
    <w:rsid w:val="00C433D9"/>
    <w:rsid w:val="00C439A0"/>
    <w:rsid w:val="00C44151"/>
    <w:rsid w:val="00C45AFC"/>
    <w:rsid w:val="00C470B6"/>
    <w:rsid w:val="00C50213"/>
    <w:rsid w:val="00C52549"/>
    <w:rsid w:val="00C526BE"/>
    <w:rsid w:val="00C5302F"/>
    <w:rsid w:val="00C5394D"/>
    <w:rsid w:val="00C53D6E"/>
    <w:rsid w:val="00C53F0C"/>
    <w:rsid w:val="00C5453B"/>
    <w:rsid w:val="00C54B1A"/>
    <w:rsid w:val="00C5624D"/>
    <w:rsid w:val="00C56573"/>
    <w:rsid w:val="00C574BE"/>
    <w:rsid w:val="00C57768"/>
    <w:rsid w:val="00C60AEB"/>
    <w:rsid w:val="00C6116D"/>
    <w:rsid w:val="00C62029"/>
    <w:rsid w:val="00C6503B"/>
    <w:rsid w:val="00C65705"/>
    <w:rsid w:val="00C65D25"/>
    <w:rsid w:val="00C66DD6"/>
    <w:rsid w:val="00C679B9"/>
    <w:rsid w:val="00C702BF"/>
    <w:rsid w:val="00C7030F"/>
    <w:rsid w:val="00C70B48"/>
    <w:rsid w:val="00C70CA8"/>
    <w:rsid w:val="00C70EC4"/>
    <w:rsid w:val="00C724C0"/>
    <w:rsid w:val="00C7258A"/>
    <w:rsid w:val="00C750C8"/>
    <w:rsid w:val="00C75281"/>
    <w:rsid w:val="00C754F3"/>
    <w:rsid w:val="00C75573"/>
    <w:rsid w:val="00C75A9B"/>
    <w:rsid w:val="00C8021E"/>
    <w:rsid w:val="00C8088E"/>
    <w:rsid w:val="00C81116"/>
    <w:rsid w:val="00C817C8"/>
    <w:rsid w:val="00C8262D"/>
    <w:rsid w:val="00C8278E"/>
    <w:rsid w:val="00C834DA"/>
    <w:rsid w:val="00C83546"/>
    <w:rsid w:val="00C83D7E"/>
    <w:rsid w:val="00C84201"/>
    <w:rsid w:val="00C85BE9"/>
    <w:rsid w:val="00C85C17"/>
    <w:rsid w:val="00C86033"/>
    <w:rsid w:val="00C864C2"/>
    <w:rsid w:val="00C867E9"/>
    <w:rsid w:val="00C86913"/>
    <w:rsid w:val="00C86D9E"/>
    <w:rsid w:val="00C86E34"/>
    <w:rsid w:val="00C86E55"/>
    <w:rsid w:val="00C87229"/>
    <w:rsid w:val="00C8733B"/>
    <w:rsid w:val="00C87892"/>
    <w:rsid w:val="00C87968"/>
    <w:rsid w:val="00C87F37"/>
    <w:rsid w:val="00C90E71"/>
    <w:rsid w:val="00C9409F"/>
    <w:rsid w:val="00C94397"/>
    <w:rsid w:val="00C94B5E"/>
    <w:rsid w:val="00C94DB0"/>
    <w:rsid w:val="00C959DF"/>
    <w:rsid w:val="00C96787"/>
    <w:rsid w:val="00CA06B2"/>
    <w:rsid w:val="00CA11BC"/>
    <w:rsid w:val="00CA194D"/>
    <w:rsid w:val="00CA2193"/>
    <w:rsid w:val="00CA26EC"/>
    <w:rsid w:val="00CA29BF"/>
    <w:rsid w:val="00CA4668"/>
    <w:rsid w:val="00CA4EBA"/>
    <w:rsid w:val="00CB0B9A"/>
    <w:rsid w:val="00CB22B7"/>
    <w:rsid w:val="00CB2946"/>
    <w:rsid w:val="00CB2A2B"/>
    <w:rsid w:val="00CB3136"/>
    <w:rsid w:val="00CB3521"/>
    <w:rsid w:val="00CB3D15"/>
    <w:rsid w:val="00CB3EE0"/>
    <w:rsid w:val="00CB4285"/>
    <w:rsid w:val="00CB473D"/>
    <w:rsid w:val="00CB513B"/>
    <w:rsid w:val="00CB5902"/>
    <w:rsid w:val="00CB78B3"/>
    <w:rsid w:val="00CC0FAB"/>
    <w:rsid w:val="00CC2625"/>
    <w:rsid w:val="00CC26CC"/>
    <w:rsid w:val="00CC274E"/>
    <w:rsid w:val="00CC3D8C"/>
    <w:rsid w:val="00CC458A"/>
    <w:rsid w:val="00CC4848"/>
    <w:rsid w:val="00CC4858"/>
    <w:rsid w:val="00CC4973"/>
    <w:rsid w:val="00CC4DAF"/>
    <w:rsid w:val="00CC6506"/>
    <w:rsid w:val="00CC6E00"/>
    <w:rsid w:val="00CC76C7"/>
    <w:rsid w:val="00CD1256"/>
    <w:rsid w:val="00CD1536"/>
    <w:rsid w:val="00CD155F"/>
    <w:rsid w:val="00CD2684"/>
    <w:rsid w:val="00CD28A7"/>
    <w:rsid w:val="00CD344C"/>
    <w:rsid w:val="00CD354D"/>
    <w:rsid w:val="00CD48D3"/>
    <w:rsid w:val="00CD4B21"/>
    <w:rsid w:val="00CD5A91"/>
    <w:rsid w:val="00CD5BFA"/>
    <w:rsid w:val="00CE08A6"/>
    <w:rsid w:val="00CE1915"/>
    <w:rsid w:val="00CE1A3F"/>
    <w:rsid w:val="00CE1AD9"/>
    <w:rsid w:val="00CE28A9"/>
    <w:rsid w:val="00CE43BF"/>
    <w:rsid w:val="00CE452C"/>
    <w:rsid w:val="00CE511E"/>
    <w:rsid w:val="00CE62A3"/>
    <w:rsid w:val="00CF085C"/>
    <w:rsid w:val="00CF1A96"/>
    <w:rsid w:val="00CF3418"/>
    <w:rsid w:val="00CF4348"/>
    <w:rsid w:val="00CF5A20"/>
    <w:rsid w:val="00CF6662"/>
    <w:rsid w:val="00CF6AE7"/>
    <w:rsid w:val="00CF7156"/>
    <w:rsid w:val="00CF766B"/>
    <w:rsid w:val="00D00860"/>
    <w:rsid w:val="00D00E1C"/>
    <w:rsid w:val="00D01465"/>
    <w:rsid w:val="00D01852"/>
    <w:rsid w:val="00D0253F"/>
    <w:rsid w:val="00D028D2"/>
    <w:rsid w:val="00D03EB5"/>
    <w:rsid w:val="00D041CD"/>
    <w:rsid w:val="00D04CC4"/>
    <w:rsid w:val="00D05287"/>
    <w:rsid w:val="00D05352"/>
    <w:rsid w:val="00D061E8"/>
    <w:rsid w:val="00D06306"/>
    <w:rsid w:val="00D069FB"/>
    <w:rsid w:val="00D11E4E"/>
    <w:rsid w:val="00D12492"/>
    <w:rsid w:val="00D128F9"/>
    <w:rsid w:val="00D13E20"/>
    <w:rsid w:val="00D14338"/>
    <w:rsid w:val="00D15E71"/>
    <w:rsid w:val="00D16545"/>
    <w:rsid w:val="00D179AD"/>
    <w:rsid w:val="00D17DC9"/>
    <w:rsid w:val="00D201A5"/>
    <w:rsid w:val="00D20308"/>
    <w:rsid w:val="00D20C5A"/>
    <w:rsid w:val="00D22801"/>
    <w:rsid w:val="00D2712C"/>
    <w:rsid w:val="00D27756"/>
    <w:rsid w:val="00D277F2"/>
    <w:rsid w:val="00D303D5"/>
    <w:rsid w:val="00D30E2B"/>
    <w:rsid w:val="00D32102"/>
    <w:rsid w:val="00D34596"/>
    <w:rsid w:val="00D348E8"/>
    <w:rsid w:val="00D34BD1"/>
    <w:rsid w:val="00D3573F"/>
    <w:rsid w:val="00D36181"/>
    <w:rsid w:val="00D37ADC"/>
    <w:rsid w:val="00D40871"/>
    <w:rsid w:val="00D4101E"/>
    <w:rsid w:val="00D419CA"/>
    <w:rsid w:val="00D41A65"/>
    <w:rsid w:val="00D41F17"/>
    <w:rsid w:val="00D4202B"/>
    <w:rsid w:val="00D42BE1"/>
    <w:rsid w:val="00D439B9"/>
    <w:rsid w:val="00D4432F"/>
    <w:rsid w:val="00D449D0"/>
    <w:rsid w:val="00D456F1"/>
    <w:rsid w:val="00D479F0"/>
    <w:rsid w:val="00D51676"/>
    <w:rsid w:val="00D5191A"/>
    <w:rsid w:val="00D51A6E"/>
    <w:rsid w:val="00D51B6A"/>
    <w:rsid w:val="00D52261"/>
    <w:rsid w:val="00D523D8"/>
    <w:rsid w:val="00D52BE9"/>
    <w:rsid w:val="00D52F22"/>
    <w:rsid w:val="00D53681"/>
    <w:rsid w:val="00D55190"/>
    <w:rsid w:val="00D55602"/>
    <w:rsid w:val="00D56609"/>
    <w:rsid w:val="00D56A4F"/>
    <w:rsid w:val="00D56F9E"/>
    <w:rsid w:val="00D57598"/>
    <w:rsid w:val="00D57714"/>
    <w:rsid w:val="00D5796C"/>
    <w:rsid w:val="00D60244"/>
    <w:rsid w:val="00D60B56"/>
    <w:rsid w:val="00D64442"/>
    <w:rsid w:val="00D65C88"/>
    <w:rsid w:val="00D66201"/>
    <w:rsid w:val="00D67AE3"/>
    <w:rsid w:val="00D67F09"/>
    <w:rsid w:val="00D70EE6"/>
    <w:rsid w:val="00D71561"/>
    <w:rsid w:val="00D72D1D"/>
    <w:rsid w:val="00D7315E"/>
    <w:rsid w:val="00D73202"/>
    <w:rsid w:val="00D7428B"/>
    <w:rsid w:val="00D744F1"/>
    <w:rsid w:val="00D74C97"/>
    <w:rsid w:val="00D757A5"/>
    <w:rsid w:val="00D76375"/>
    <w:rsid w:val="00D77B56"/>
    <w:rsid w:val="00D77CE5"/>
    <w:rsid w:val="00D804F3"/>
    <w:rsid w:val="00D809F3"/>
    <w:rsid w:val="00D819B9"/>
    <w:rsid w:val="00D82952"/>
    <w:rsid w:val="00D82C1E"/>
    <w:rsid w:val="00D84978"/>
    <w:rsid w:val="00D8587B"/>
    <w:rsid w:val="00D85F82"/>
    <w:rsid w:val="00D86EFA"/>
    <w:rsid w:val="00D8783A"/>
    <w:rsid w:val="00D911D8"/>
    <w:rsid w:val="00D917C7"/>
    <w:rsid w:val="00D92135"/>
    <w:rsid w:val="00D92CD6"/>
    <w:rsid w:val="00D95351"/>
    <w:rsid w:val="00D97535"/>
    <w:rsid w:val="00DA04F1"/>
    <w:rsid w:val="00DA1312"/>
    <w:rsid w:val="00DA21A8"/>
    <w:rsid w:val="00DA5B2A"/>
    <w:rsid w:val="00DA62EE"/>
    <w:rsid w:val="00DB0131"/>
    <w:rsid w:val="00DB0448"/>
    <w:rsid w:val="00DB0525"/>
    <w:rsid w:val="00DB1591"/>
    <w:rsid w:val="00DB2246"/>
    <w:rsid w:val="00DB2BB6"/>
    <w:rsid w:val="00DB6817"/>
    <w:rsid w:val="00DB6AD0"/>
    <w:rsid w:val="00DB7692"/>
    <w:rsid w:val="00DC1806"/>
    <w:rsid w:val="00DC1B41"/>
    <w:rsid w:val="00DC2916"/>
    <w:rsid w:val="00DC2DF2"/>
    <w:rsid w:val="00DC3F86"/>
    <w:rsid w:val="00DC4262"/>
    <w:rsid w:val="00DC49EC"/>
    <w:rsid w:val="00DC5CCD"/>
    <w:rsid w:val="00DC5D09"/>
    <w:rsid w:val="00DC6CEA"/>
    <w:rsid w:val="00DC7B65"/>
    <w:rsid w:val="00DD25A0"/>
    <w:rsid w:val="00DD260D"/>
    <w:rsid w:val="00DD2F26"/>
    <w:rsid w:val="00DD38B9"/>
    <w:rsid w:val="00DD3ADE"/>
    <w:rsid w:val="00DD4199"/>
    <w:rsid w:val="00DD47DA"/>
    <w:rsid w:val="00DD4BC0"/>
    <w:rsid w:val="00DD4FAD"/>
    <w:rsid w:val="00DD5079"/>
    <w:rsid w:val="00DD528B"/>
    <w:rsid w:val="00DD556E"/>
    <w:rsid w:val="00DD5880"/>
    <w:rsid w:val="00DD7ADF"/>
    <w:rsid w:val="00DE12D1"/>
    <w:rsid w:val="00DE17A8"/>
    <w:rsid w:val="00DE32F0"/>
    <w:rsid w:val="00DE3B9B"/>
    <w:rsid w:val="00DE603A"/>
    <w:rsid w:val="00DE6BB4"/>
    <w:rsid w:val="00DF088F"/>
    <w:rsid w:val="00DF1FAC"/>
    <w:rsid w:val="00DF22D8"/>
    <w:rsid w:val="00DF2CEC"/>
    <w:rsid w:val="00DF3848"/>
    <w:rsid w:val="00DF4091"/>
    <w:rsid w:val="00DF4904"/>
    <w:rsid w:val="00DF5443"/>
    <w:rsid w:val="00DF790B"/>
    <w:rsid w:val="00DF7B30"/>
    <w:rsid w:val="00DF7EC6"/>
    <w:rsid w:val="00E0023B"/>
    <w:rsid w:val="00E01A10"/>
    <w:rsid w:val="00E0330B"/>
    <w:rsid w:val="00E03C56"/>
    <w:rsid w:val="00E03CEB"/>
    <w:rsid w:val="00E03FCC"/>
    <w:rsid w:val="00E04163"/>
    <w:rsid w:val="00E04E29"/>
    <w:rsid w:val="00E0578B"/>
    <w:rsid w:val="00E06130"/>
    <w:rsid w:val="00E06C34"/>
    <w:rsid w:val="00E07069"/>
    <w:rsid w:val="00E10743"/>
    <w:rsid w:val="00E113D5"/>
    <w:rsid w:val="00E12AB8"/>
    <w:rsid w:val="00E14A5E"/>
    <w:rsid w:val="00E159D0"/>
    <w:rsid w:val="00E15A96"/>
    <w:rsid w:val="00E15DF6"/>
    <w:rsid w:val="00E161A9"/>
    <w:rsid w:val="00E177FF"/>
    <w:rsid w:val="00E20567"/>
    <w:rsid w:val="00E20A3D"/>
    <w:rsid w:val="00E211C7"/>
    <w:rsid w:val="00E21CDA"/>
    <w:rsid w:val="00E2213C"/>
    <w:rsid w:val="00E22239"/>
    <w:rsid w:val="00E2465B"/>
    <w:rsid w:val="00E2498B"/>
    <w:rsid w:val="00E25036"/>
    <w:rsid w:val="00E25EEB"/>
    <w:rsid w:val="00E26780"/>
    <w:rsid w:val="00E27E82"/>
    <w:rsid w:val="00E27F42"/>
    <w:rsid w:val="00E321CE"/>
    <w:rsid w:val="00E333C9"/>
    <w:rsid w:val="00E33727"/>
    <w:rsid w:val="00E345C9"/>
    <w:rsid w:val="00E34658"/>
    <w:rsid w:val="00E35349"/>
    <w:rsid w:val="00E35C0C"/>
    <w:rsid w:val="00E36038"/>
    <w:rsid w:val="00E37A51"/>
    <w:rsid w:val="00E40112"/>
    <w:rsid w:val="00E40D87"/>
    <w:rsid w:val="00E41322"/>
    <w:rsid w:val="00E42161"/>
    <w:rsid w:val="00E42B88"/>
    <w:rsid w:val="00E44587"/>
    <w:rsid w:val="00E44DED"/>
    <w:rsid w:val="00E455C6"/>
    <w:rsid w:val="00E472FB"/>
    <w:rsid w:val="00E47CBF"/>
    <w:rsid w:val="00E51169"/>
    <w:rsid w:val="00E513EE"/>
    <w:rsid w:val="00E54E4E"/>
    <w:rsid w:val="00E555A2"/>
    <w:rsid w:val="00E5582A"/>
    <w:rsid w:val="00E559A0"/>
    <w:rsid w:val="00E5664E"/>
    <w:rsid w:val="00E56B90"/>
    <w:rsid w:val="00E572B3"/>
    <w:rsid w:val="00E572EB"/>
    <w:rsid w:val="00E600F5"/>
    <w:rsid w:val="00E60306"/>
    <w:rsid w:val="00E604C2"/>
    <w:rsid w:val="00E61423"/>
    <w:rsid w:val="00E62930"/>
    <w:rsid w:val="00E63245"/>
    <w:rsid w:val="00E633B1"/>
    <w:rsid w:val="00E6413F"/>
    <w:rsid w:val="00E64332"/>
    <w:rsid w:val="00E65AA6"/>
    <w:rsid w:val="00E6770A"/>
    <w:rsid w:val="00E67FDD"/>
    <w:rsid w:val="00E72006"/>
    <w:rsid w:val="00E747AA"/>
    <w:rsid w:val="00E74FED"/>
    <w:rsid w:val="00E7567C"/>
    <w:rsid w:val="00E76A57"/>
    <w:rsid w:val="00E77429"/>
    <w:rsid w:val="00E80C55"/>
    <w:rsid w:val="00E8127E"/>
    <w:rsid w:val="00E81691"/>
    <w:rsid w:val="00E82C19"/>
    <w:rsid w:val="00E83612"/>
    <w:rsid w:val="00E842AC"/>
    <w:rsid w:val="00E851D3"/>
    <w:rsid w:val="00E856D5"/>
    <w:rsid w:val="00E8593B"/>
    <w:rsid w:val="00E85C29"/>
    <w:rsid w:val="00E87804"/>
    <w:rsid w:val="00E87D45"/>
    <w:rsid w:val="00E87E43"/>
    <w:rsid w:val="00E9042F"/>
    <w:rsid w:val="00E915FE"/>
    <w:rsid w:val="00E93265"/>
    <w:rsid w:val="00E937A5"/>
    <w:rsid w:val="00E93E4E"/>
    <w:rsid w:val="00E957B9"/>
    <w:rsid w:val="00E9731A"/>
    <w:rsid w:val="00E97CCD"/>
    <w:rsid w:val="00EA04D4"/>
    <w:rsid w:val="00EA2227"/>
    <w:rsid w:val="00EA54F3"/>
    <w:rsid w:val="00EA5520"/>
    <w:rsid w:val="00EA5E62"/>
    <w:rsid w:val="00EB0A8D"/>
    <w:rsid w:val="00EB1CBE"/>
    <w:rsid w:val="00EB4E4B"/>
    <w:rsid w:val="00EB4FB9"/>
    <w:rsid w:val="00EB50FF"/>
    <w:rsid w:val="00EB512B"/>
    <w:rsid w:val="00EB5CEC"/>
    <w:rsid w:val="00EB62FF"/>
    <w:rsid w:val="00EB64CD"/>
    <w:rsid w:val="00EB6DB0"/>
    <w:rsid w:val="00EB6EAB"/>
    <w:rsid w:val="00EB7ADE"/>
    <w:rsid w:val="00EC003F"/>
    <w:rsid w:val="00EC12DB"/>
    <w:rsid w:val="00EC1D2C"/>
    <w:rsid w:val="00EC3B6B"/>
    <w:rsid w:val="00EC478C"/>
    <w:rsid w:val="00EC5FDA"/>
    <w:rsid w:val="00EC6BFC"/>
    <w:rsid w:val="00EC6CEE"/>
    <w:rsid w:val="00EC6DD3"/>
    <w:rsid w:val="00EC6E1A"/>
    <w:rsid w:val="00ED003C"/>
    <w:rsid w:val="00ED0066"/>
    <w:rsid w:val="00ED0A48"/>
    <w:rsid w:val="00ED12B9"/>
    <w:rsid w:val="00ED199C"/>
    <w:rsid w:val="00ED2BED"/>
    <w:rsid w:val="00ED5BF2"/>
    <w:rsid w:val="00ED6771"/>
    <w:rsid w:val="00ED682C"/>
    <w:rsid w:val="00ED6A55"/>
    <w:rsid w:val="00ED74D0"/>
    <w:rsid w:val="00EE123E"/>
    <w:rsid w:val="00EE1468"/>
    <w:rsid w:val="00EE29F1"/>
    <w:rsid w:val="00EE36C1"/>
    <w:rsid w:val="00EE39E3"/>
    <w:rsid w:val="00EE48A6"/>
    <w:rsid w:val="00EE4C10"/>
    <w:rsid w:val="00EE50A5"/>
    <w:rsid w:val="00EE54FA"/>
    <w:rsid w:val="00EE5C98"/>
    <w:rsid w:val="00EE713C"/>
    <w:rsid w:val="00EE7487"/>
    <w:rsid w:val="00EE7980"/>
    <w:rsid w:val="00EE7BA0"/>
    <w:rsid w:val="00EE7CCD"/>
    <w:rsid w:val="00EF03CD"/>
    <w:rsid w:val="00EF06F2"/>
    <w:rsid w:val="00EF0B4A"/>
    <w:rsid w:val="00EF0B69"/>
    <w:rsid w:val="00EF0CF4"/>
    <w:rsid w:val="00EF0D81"/>
    <w:rsid w:val="00EF1DD4"/>
    <w:rsid w:val="00EF1E7F"/>
    <w:rsid w:val="00EF31BA"/>
    <w:rsid w:val="00EF3353"/>
    <w:rsid w:val="00EF3562"/>
    <w:rsid w:val="00EF6E5D"/>
    <w:rsid w:val="00EF776C"/>
    <w:rsid w:val="00F01625"/>
    <w:rsid w:val="00F017D9"/>
    <w:rsid w:val="00F02187"/>
    <w:rsid w:val="00F02324"/>
    <w:rsid w:val="00F04614"/>
    <w:rsid w:val="00F0461D"/>
    <w:rsid w:val="00F04FF9"/>
    <w:rsid w:val="00F052AC"/>
    <w:rsid w:val="00F05848"/>
    <w:rsid w:val="00F06120"/>
    <w:rsid w:val="00F0645C"/>
    <w:rsid w:val="00F064FF"/>
    <w:rsid w:val="00F069B8"/>
    <w:rsid w:val="00F078F1"/>
    <w:rsid w:val="00F10FFE"/>
    <w:rsid w:val="00F13C96"/>
    <w:rsid w:val="00F14B25"/>
    <w:rsid w:val="00F176E5"/>
    <w:rsid w:val="00F1771B"/>
    <w:rsid w:val="00F20255"/>
    <w:rsid w:val="00F20AB0"/>
    <w:rsid w:val="00F20EA4"/>
    <w:rsid w:val="00F20F67"/>
    <w:rsid w:val="00F219E4"/>
    <w:rsid w:val="00F22CBF"/>
    <w:rsid w:val="00F23161"/>
    <w:rsid w:val="00F2678F"/>
    <w:rsid w:val="00F26F24"/>
    <w:rsid w:val="00F27493"/>
    <w:rsid w:val="00F27FE4"/>
    <w:rsid w:val="00F314FC"/>
    <w:rsid w:val="00F345EA"/>
    <w:rsid w:val="00F35190"/>
    <w:rsid w:val="00F379E4"/>
    <w:rsid w:val="00F4025B"/>
    <w:rsid w:val="00F418C6"/>
    <w:rsid w:val="00F433AA"/>
    <w:rsid w:val="00F44BB0"/>
    <w:rsid w:val="00F45008"/>
    <w:rsid w:val="00F45101"/>
    <w:rsid w:val="00F45253"/>
    <w:rsid w:val="00F456F2"/>
    <w:rsid w:val="00F458AD"/>
    <w:rsid w:val="00F4692C"/>
    <w:rsid w:val="00F4706E"/>
    <w:rsid w:val="00F50E0F"/>
    <w:rsid w:val="00F5161B"/>
    <w:rsid w:val="00F52352"/>
    <w:rsid w:val="00F53569"/>
    <w:rsid w:val="00F5380E"/>
    <w:rsid w:val="00F53961"/>
    <w:rsid w:val="00F545E1"/>
    <w:rsid w:val="00F54EA0"/>
    <w:rsid w:val="00F579B6"/>
    <w:rsid w:val="00F57F0F"/>
    <w:rsid w:val="00F600F7"/>
    <w:rsid w:val="00F61191"/>
    <w:rsid w:val="00F61366"/>
    <w:rsid w:val="00F61A9F"/>
    <w:rsid w:val="00F62C0E"/>
    <w:rsid w:val="00F63B08"/>
    <w:rsid w:val="00F64116"/>
    <w:rsid w:val="00F64BE0"/>
    <w:rsid w:val="00F650AC"/>
    <w:rsid w:val="00F6572C"/>
    <w:rsid w:val="00F65899"/>
    <w:rsid w:val="00F6597D"/>
    <w:rsid w:val="00F672B3"/>
    <w:rsid w:val="00F67739"/>
    <w:rsid w:val="00F67A37"/>
    <w:rsid w:val="00F67E47"/>
    <w:rsid w:val="00F72264"/>
    <w:rsid w:val="00F72781"/>
    <w:rsid w:val="00F74520"/>
    <w:rsid w:val="00F74B36"/>
    <w:rsid w:val="00F74D6E"/>
    <w:rsid w:val="00F76918"/>
    <w:rsid w:val="00F77253"/>
    <w:rsid w:val="00F776A9"/>
    <w:rsid w:val="00F80F8B"/>
    <w:rsid w:val="00F81F03"/>
    <w:rsid w:val="00F83D62"/>
    <w:rsid w:val="00F84E53"/>
    <w:rsid w:val="00F84EC7"/>
    <w:rsid w:val="00F85252"/>
    <w:rsid w:val="00F8589C"/>
    <w:rsid w:val="00F858AE"/>
    <w:rsid w:val="00F869FD"/>
    <w:rsid w:val="00F86C36"/>
    <w:rsid w:val="00F86D65"/>
    <w:rsid w:val="00F87B4B"/>
    <w:rsid w:val="00F91616"/>
    <w:rsid w:val="00F93739"/>
    <w:rsid w:val="00F94B18"/>
    <w:rsid w:val="00F9518D"/>
    <w:rsid w:val="00F9541F"/>
    <w:rsid w:val="00F95522"/>
    <w:rsid w:val="00F956AB"/>
    <w:rsid w:val="00F95F59"/>
    <w:rsid w:val="00F966FE"/>
    <w:rsid w:val="00F96B8D"/>
    <w:rsid w:val="00F97014"/>
    <w:rsid w:val="00F978C5"/>
    <w:rsid w:val="00FA04FE"/>
    <w:rsid w:val="00FA1271"/>
    <w:rsid w:val="00FA1CE7"/>
    <w:rsid w:val="00FA3226"/>
    <w:rsid w:val="00FA3BB8"/>
    <w:rsid w:val="00FA4339"/>
    <w:rsid w:val="00FA437F"/>
    <w:rsid w:val="00FA4C57"/>
    <w:rsid w:val="00FA5091"/>
    <w:rsid w:val="00FA5C77"/>
    <w:rsid w:val="00FA66F3"/>
    <w:rsid w:val="00FB06F2"/>
    <w:rsid w:val="00FB0D00"/>
    <w:rsid w:val="00FB0FB1"/>
    <w:rsid w:val="00FB1A3C"/>
    <w:rsid w:val="00FB21E2"/>
    <w:rsid w:val="00FB2B71"/>
    <w:rsid w:val="00FB2F75"/>
    <w:rsid w:val="00FB34F2"/>
    <w:rsid w:val="00FB399A"/>
    <w:rsid w:val="00FB430E"/>
    <w:rsid w:val="00FB441A"/>
    <w:rsid w:val="00FB546B"/>
    <w:rsid w:val="00FB54B8"/>
    <w:rsid w:val="00FB6AFD"/>
    <w:rsid w:val="00FB6F93"/>
    <w:rsid w:val="00FC03E3"/>
    <w:rsid w:val="00FC03F0"/>
    <w:rsid w:val="00FC106C"/>
    <w:rsid w:val="00FC14E5"/>
    <w:rsid w:val="00FC16A0"/>
    <w:rsid w:val="00FC16A4"/>
    <w:rsid w:val="00FC1F4F"/>
    <w:rsid w:val="00FC2230"/>
    <w:rsid w:val="00FC2AB4"/>
    <w:rsid w:val="00FC2B17"/>
    <w:rsid w:val="00FC404E"/>
    <w:rsid w:val="00FC4682"/>
    <w:rsid w:val="00FC4F4F"/>
    <w:rsid w:val="00FC51F5"/>
    <w:rsid w:val="00FC6ACA"/>
    <w:rsid w:val="00FC7136"/>
    <w:rsid w:val="00FC7C9F"/>
    <w:rsid w:val="00FD010B"/>
    <w:rsid w:val="00FD36C9"/>
    <w:rsid w:val="00FD3EA1"/>
    <w:rsid w:val="00FD491E"/>
    <w:rsid w:val="00FD4EC9"/>
    <w:rsid w:val="00FD50D9"/>
    <w:rsid w:val="00FD687E"/>
    <w:rsid w:val="00FD7AE5"/>
    <w:rsid w:val="00FD7EB4"/>
    <w:rsid w:val="00FE0BB4"/>
    <w:rsid w:val="00FE1744"/>
    <w:rsid w:val="00FE253B"/>
    <w:rsid w:val="00FE282A"/>
    <w:rsid w:val="00FE320F"/>
    <w:rsid w:val="00FE3677"/>
    <w:rsid w:val="00FE3688"/>
    <w:rsid w:val="00FE440C"/>
    <w:rsid w:val="00FE4476"/>
    <w:rsid w:val="00FE4C98"/>
    <w:rsid w:val="00FE54EE"/>
    <w:rsid w:val="00FE5E83"/>
    <w:rsid w:val="00FE65BC"/>
    <w:rsid w:val="00FE6BBD"/>
    <w:rsid w:val="00FF089A"/>
    <w:rsid w:val="00FF10F8"/>
    <w:rsid w:val="00FF16B6"/>
    <w:rsid w:val="00FF3F90"/>
    <w:rsid w:val="00FF50A5"/>
    <w:rsid w:val="00FF50BA"/>
    <w:rsid w:val="00FF66BA"/>
    <w:rsid w:val="00FF7186"/>
    <w:rsid w:val="00FF7542"/>
    <w:rsid w:val="017D59FC"/>
    <w:rsid w:val="0187693D"/>
    <w:rsid w:val="018F5FBC"/>
    <w:rsid w:val="01CA7841"/>
    <w:rsid w:val="020A5C52"/>
    <w:rsid w:val="031A6301"/>
    <w:rsid w:val="03DE5572"/>
    <w:rsid w:val="04952D8D"/>
    <w:rsid w:val="04E327BE"/>
    <w:rsid w:val="06D90733"/>
    <w:rsid w:val="06DD36AB"/>
    <w:rsid w:val="07783E8F"/>
    <w:rsid w:val="07B7154F"/>
    <w:rsid w:val="07C419D7"/>
    <w:rsid w:val="08242DED"/>
    <w:rsid w:val="088F6D5B"/>
    <w:rsid w:val="08CD7A58"/>
    <w:rsid w:val="0908312D"/>
    <w:rsid w:val="0A0A45B7"/>
    <w:rsid w:val="0A444303"/>
    <w:rsid w:val="0A646286"/>
    <w:rsid w:val="0A9F0F23"/>
    <w:rsid w:val="0AB9041F"/>
    <w:rsid w:val="0AEC7C9C"/>
    <w:rsid w:val="0B434A24"/>
    <w:rsid w:val="0B9F5E55"/>
    <w:rsid w:val="0BAB6752"/>
    <w:rsid w:val="0D2176C4"/>
    <w:rsid w:val="0D470418"/>
    <w:rsid w:val="0E3912A3"/>
    <w:rsid w:val="0E620A4F"/>
    <w:rsid w:val="0E7B7E3D"/>
    <w:rsid w:val="0EB6137B"/>
    <w:rsid w:val="0EC54BAF"/>
    <w:rsid w:val="0ED361A2"/>
    <w:rsid w:val="0EDA4185"/>
    <w:rsid w:val="0EDC3442"/>
    <w:rsid w:val="0F0A39A9"/>
    <w:rsid w:val="0F3151EB"/>
    <w:rsid w:val="0F6F7C6C"/>
    <w:rsid w:val="0F9D6397"/>
    <w:rsid w:val="0FF86F28"/>
    <w:rsid w:val="10181180"/>
    <w:rsid w:val="102760A3"/>
    <w:rsid w:val="102E121B"/>
    <w:rsid w:val="10B51D58"/>
    <w:rsid w:val="10C048CE"/>
    <w:rsid w:val="11614DCB"/>
    <w:rsid w:val="116367E8"/>
    <w:rsid w:val="11CE746F"/>
    <w:rsid w:val="123148B4"/>
    <w:rsid w:val="12564C6F"/>
    <w:rsid w:val="125C195F"/>
    <w:rsid w:val="12AB4294"/>
    <w:rsid w:val="12D0421C"/>
    <w:rsid w:val="13582B3A"/>
    <w:rsid w:val="13887691"/>
    <w:rsid w:val="144D7576"/>
    <w:rsid w:val="14642574"/>
    <w:rsid w:val="14F4632F"/>
    <w:rsid w:val="150C56B3"/>
    <w:rsid w:val="150D32A2"/>
    <w:rsid w:val="154A3849"/>
    <w:rsid w:val="15576AF5"/>
    <w:rsid w:val="15743757"/>
    <w:rsid w:val="15B13325"/>
    <w:rsid w:val="15DB093F"/>
    <w:rsid w:val="15EF4CD7"/>
    <w:rsid w:val="15F84B59"/>
    <w:rsid w:val="16174285"/>
    <w:rsid w:val="164C3535"/>
    <w:rsid w:val="16810DB3"/>
    <w:rsid w:val="16A937C6"/>
    <w:rsid w:val="17093762"/>
    <w:rsid w:val="171F4E63"/>
    <w:rsid w:val="178533AF"/>
    <w:rsid w:val="179C5ECC"/>
    <w:rsid w:val="17E23512"/>
    <w:rsid w:val="17E60813"/>
    <w:rsid w:val="18563504"/>
    <w:rsid w:val="188F6681"/>
    <w:rsid w:val="191E24BC"/>
    <w:rsid w:val="1A04117C"/>
    <w:rsid w:val="1A932E20"/>
    <w:rsid w:val="1B796CE8"/>
    <w:rsid w:val="1BB61E1F"/>
    <w:rsid w:val="1BED0A5D"/>
    <w:rsid w:val="1C6F106F"/>
    <w:rsid w:val="1CCB1C90"/>
    <w:rsid w:val="1CF2036F"/>
    <w:rsid w:val="1D1C7FF6"/>
    <w:rsid w:val="1EB24A69"/>
    <w:rsid w:val="1EB612B2"/>
    <w:rsid w:val="1EE95587"/>
    <w:rsid w:val="1F2A248C"/>
    <w:rsid w:val="1F2D6D25"/>
    <w:rsid w:val="203E42B5"/>
    <w:rsid w:val="2046679D"/>
    <w:rsid w:val="20BF3DE7"/>
    <w:rsid w:val="21070C6C"/>
    <w:rsid w:val="21560C2C"/>
    <w:rsid w:val="21746B44"/>
    <w:rsid w:val="21CB6EC8"/>
    <w:rsid w:val="220A6C21"/>
    <w:rsid w:val="22C813CF"/>
    <w:rsid w:val="230355D1"/>
    <w:rsid w:val="237F59E3"/>
    <w:rsid w:val="24120D5E"/>
    <w:rsid w:val="24B819DD"/>
    <w:rsid w:val="25326195"/>
    <w:rsid w:val="256D4A72"/>
    <w:rsid w:val="25C50E52"/>
    <w:rsid w:val="26DA74A9"/>
    <w:rsid w:val="271D7375"/>
    <w:rsid w:val="279B63EB"/>
    <w:rsid w:val="28210B5E"/>
    <w:rsid w:val="28F55244"/>
    <w:rsid w:val="2A4B17EC"/>
    <w:rsid w:val="2A524269"/>
    <w:rsid w:val="2ADE1515"/>
    <w:rsid w:val="2B687960"/>
    <w:rsid w:val="2C0C5960"/>
    <w:rsid w:val="2C0F64C6"/>
    <w:rsid w:val="2CBF6101"/>
    <w:rsid w:val="2CC2422E"/>
    <w:rsid w:val="2CFE65D2"/>
    <w:rsid w:val="2D942040"/>
    <w:rsid w:val="2DB00908"/>
    <w:rsid w:val="2DBC77FD"/>
    <w:rsid w:val="2DEC4D80"/>
    <w:rsid w:val="2DF81986"/>
    <w:rsid w:val="2E1E5A05"/>
    <w:rsid w:val="2ECC70E3"/>
    <w:rsid w:val="2ED16D84"/>
    <w:rsid w:val="2EFB5F9C"/>
    <w:rsid w:val="2F2604BB"/>
    <w:rsid w:val="2FB27E41"/>
    <w:rsid w:val="301B25DC"/>
    <w:rsid w:val="302838BF"/>
    <w:rsid w:val="3094555B"/>
    <w:rsid w:val="30F13BF6"/>
    <w:rsid w:val="315B03D5"/>
    <w:rsid w:val="316041E0"/>
    <w:rsid w:val="31E61F30"/>
    <w:rsid w:val="3207648F"/>
    <w:rsid w:val="33070422"/>
    <w:rsid w:val="33610110"/>
    <w:rsid w:val="33DF7444"/>
    <w:rsid w:val="34485F35"/>
    <w:rsid w:val="34534B56"/>
    <w:rsid w:val="347D4660"/>
    <w:rsid w:val="349E31C8"/>
    <w:rsid w:val="356435BA"/>
    <w:rsid w:val="3580619B"/>
    <w:rsid w:val="35A507FA"/>
    <w:rsid w:val="360A4BC5"/>
    <w:rsid w:val="36107E5A"/>
    <w:rsid w:val="362D3A94"/>
    <w:rsid w:val="37843B51"/>
    <w:rsid w:val="37AB2AC3"/>
    <w:rsid w:val="37F74BF0"/>
    <w:rsid w:val="3875346C"/>
    <w:rsid w:val="389B4011"/>
    <w:rsid w:val="38C33879"/>
    <w:rsid w:val="38D24052"/>
    <w:rsid w:val="39702235"/>
    <w:rsid w:val="39AF3C8D"/>
    <w:rsid w:val="3A2B0CF2"/>
    <w:rsid w:val="3A4F2881"/>
    <w:rsid w:val="3AA84BEE"/>
    <w:rsid w:val="3AEF08BF"/>
    <w:rsid w:val="3B3805BC"/>
    <w:rsid w:val="3B41167C"/>
    <w:rsid w:val="3B9E5FEE"/>
    <w:rsid w:val="3BC9719C"/>
    <w:rsid w:val="3BCC0D0E"/>
    <w:rsid w:val="3BE71CDE"/>
    <w:rsid w:val="3C573C98"/>
    <w:rsid w:val="3C7379C8"/>
    <w:rsid w:val="3CEA750B"/>
    <w:rsid w:val="3D007922"/>
    <w:rsid w:val="3D4511A9"/>
    <w:rsid w:val="3E0E4E73"/>
    <w:rsid w:val="3EAE36CE"/>
    <w:rsid w:val="3ECE3256"/>
    <w:rsid w:val="3F033FEC"/>
    <w:rsid w:val="3F284CB8"/>
    <w:rsid w:val="3F7165F6"/>
    <w:rsid w:val="3FA606FA"/>
    <w:rsid w:val="3FB33C42"/>
    <w:rsid w:val="3FB6147F"/>
    <w:rsid w:val="3FC50E1A"/>
    <w:rsid w:val="3FE12863"/>
    <w:rsid w:val="3FE63CA9"/>
    <w:rsid w:val="40A97CBD"/>
    <w:rsid w:val="40DA4B06"/>
    <w:rsid w:val="410E0AAF"/>
    <w:rsid w:val="411270DA"/>
    <w:rsid w:val="41716121"/>
    <w:rsid w:val="418303F6"/>
    <w:rsid w:val="418B74A3"/>
    <w:rsid w:val="419D20B6"/>
    <w:rsid w:val="41A50990"/>
    <w:rsid w:val="42150C34"/>
    <w:rsid w:val="422639AC"/>
    <w:rsid w:val="426630E9"/>
    <w:rsid w:val="42D246AC"/>
    <w:rsid w:val="433856DB"/>
    <w:rsid w:val="4387391C"/>
    <w:rsid w:val="44937D0E"/>
    <w:rsid w:val="44FF249F"/>
    <w:rsid w:val="454859DC"/>
    <w:rsid w:val="457D0AFB"/>
    <w:rsid w:val="467E162F"/>
    <w:rsid w:val="46FD4904"/>
    <w:rsid w:val="483F30B7"/>
    <w:rsid w:val="4901159C"/>
    <w:rsid w:val="49125584"/>
    <w:rsid w:val="496F153D"/>
    <w:rsid w:val="49AF2C2B"/>
    <w:rsid w:val="4A2418FE"/>
    <w:rsid w:val="4B404CCB"/>
    <w:rsid w:val="4B603FCD"/>
    <w:rsid w:val="4B9E059D"/>
    <w:rsid w:val="4BEB6DB4"/>
    <w:rsid w:val="4C3A7FC6"/>
    <w:rsid w:val="4C9B10E2"/>
    <w:rsid w:val="4CAC7A71"/>
    <w:rsid w:val="4D071645"/>
    <w:rsid w:val="4D2D7DC5"/>
    <w:rsid w:val="4D37267B"/>
    <w:rsid w:val="4D6E111A"/>
    <w:rsid w:val="4D6F3807"/>
    <w:rsid w:val="4EBF1FCC"/>
    <w:rsid w:val="4F1C1CC8"/>
    <w:rsid w:val="4FF32AC4"/>
    <w:rsid w:val="50365213"/>
    <w:rsid w:val="505F4408"/>
    <w:rsid w:val="50731918"/>
    <w:rsid w:val="509F2F50"/>
    <w:rsid w:val="51B25B6B"/>
    <w:rsid w:val="51BD7F46"/>
    <w:rsid w:val="51FD314F"/>
    <w:rsid w:val="5230390E"/>
    <w:rsid w:val="52CC3047"/>
    <w:rsid w:val="53152D97"/>
    <w:rsid w:val="531E79D9"/>
    <w:rsid w:val="53C92685"/>
    <w:rsid w:val="53E9144C"/>
    <w:rsid w:val="53FC31CB"/>
    <w:rsid w:val="54492F04"/>
    <w:rsid w:val="54F53A19"/>
    <w:rsid w:val="54FC6196"/>
    <w:rsid w:val="55C4150A"/>
    <w:rsid w:val="55CE1E4B"/>
    <w:rsid w:val="5624250A"/>
    <w:rsid w:val="56AD4123"/>
    <w:rsid w:val="56DB5D8A"/>
    <w:rsid w:val="572B0F62"/>
    <w:rsid w:val="579056F0"/>
    <w:rsid w:val="57B70E4B"/>
    <w:rsid w:val="57CD4167"/>
    <w:rsid w:val="58DA08AA"/>
    <w:rsid w:val="59C8311F"/>
    <w:rsid w:val="59D167B2"/>
    <w:rsid w:val="59D9069E"/>
    <w:rsid w:val="5A2B1366"/>
    <w:rsid w:val="5A3D42AE"/>
    <w:rsid w:val="5A790ABE"/>
    <w:rsid w:val="5A8E4A9D"/>
    <w:rsid w:val="5B192E5E"/>
    <w:rsid w:val="5B1C6F9A"/>
    <w:rsid w:val="5B205BC8"/>
    <w:rsid w:val="5C112242"/>
    <w:rsid w:val="5C511609"/>
    <w:rsid w:val="5C7C1F48"/>
    <w:rsid w:val="5D173B04"/>
    <w:rsid w:val="5D802E73"/>
    <w:rsid w:val="5E1B201D"/>
    <w:rsid w:val="5E5D7D7F"/>
    <w:rsid w:val="5EE963D5"/>
    <w:rsid w:val="5EEE7194"/>
    <w:rsid w:val="5F253634"/>
    <w:rsid w:val="5F580FF4"/>
    <w:rsid w:val="5F787CE4"/>
    <w:rsid w:val="5F8A7BD7"/>
    <w:rsid w:val="5FDE11FF"/>
    <w:rsid w:val="615A174A"/>
    <w:rsid w:val="61796F2D"/>
    <w:rsid w:val="61830C60"/>
    <w:rsid w:val="622175BE"/>
    <w:rsid w:val="62443AB8"/>
    <w:rsid w:val="624A53BB"/>
    <w:rsid w:val="62935CD9"/>
    <w:rsid w:val="632F5295"/>
    <w:rsid w:val="63433C5B"/>
    <w:rsid w:val="6361383A"/>
    <w:rsid w:val="63672DED"/>
    <w:rsid w:val="63D478CB"/>
    <w:rsid w:val="64506979"/>
    <w:rsid w:val="6461745A"/>
    <w:rsid w:val="64A80939"/>
    <w:rsid w:val="655428C8"/>
    <w:rsid w:val="65867EC9"/>
    <w:rsid w:val="662C757B"/>
    <w:rsid w:val="662F46D5"/>
    <w:rsid w:val="664361E8"/>
    <w:rsid w:val="66451C65"/>
    <w:rsid w:val="6647435C"/>
    <w:rsid w:val="66F64979"/>
    <w:rsid w:val="67E3051E"/>
    <w:rsid w:val="67FD5A72"/>
    <w:rsid w:val="6886771B"/>
    <w:rsid w:val="689623DD"/>
    <w:rsid w:val="689E69E6"/>
    <w:rsid w:val="690A58EB"/>
    <w:rsid w:val="690D116F"/>
    <w:rsid w:val="69157E90"/>
    <w:rsid w:val="69444904"/>
    <w:rsid w:val="697C5B63"/>
    <w:rsid w:val="6994310F"/>
    <w:rsid w:val="6A2F2E39"/>
    <w:rsid w:val="6A390548"/>
    <w:rsid w:val="6A484D9B"/>
    <w:rsid w:val="6AD54168"/>
    <w:rsid w:val="6AE36963"/>
    <w:rsid w:val="6AE96DCD"/>
    <w:rsid w:val="6AEB2E8F"/>
    <w:rsid w:val="6B4B54D5"/>
    <w:rsid w:val="6BA8651E"/>
    <w:rsid w:val="6BCC3B3B"/>
    <w:rsid w:val="6C8378DB"/>
    <w:rsid w:val="6D353FBB"/>
    <w:rsid w:val="6D4B2C6F"/>
    <w:rsid w:val="6DAC289B"/>
    <w:rsid w:val="6E3916CF"/>
    <w:rsid w:val="6E473443"/>
    <w:rsid w:val="6E9B63A3"/>
    <w:rsid w:val="6EC76A06"/>
    <w:rsid w:val="6EDA7A35"/>
    <w:rsid w:val="6EF25595"/>
    <w:rsid w:val="6F36281B"/>
    <w:rsid w:val="6F370307"/>
    <w:rsid w:val="6F3B4FAB"/>
    <w:rsid w:val="70264574"/>
    <w:rsid w:val="70BF5656"/>
    <w:rsid w:val="70D60DCF"/>
    <w:rsid w:val="7157077D"/>
    <w:rsid w:val="71753EF1"/>
    <w:rsid w:val="719A265E"/>
    <w:rsid w:val="72C4038F"/>
    <w:rsid w:val="72D75C76"/>
    <w:rsid w:val="72F313B5"/>
    <w:rsid w:val="731A0FAC"/>
    <w:rsid w:val="731D646F"/>
    <w:rsid w:val="732975BF"/>
    <w:rsid w:val="739C2375"/>
    <w:rsid w:val="73CB797F"/>
    <w:rsid w:val="73FC4B30"/>
    <w:rsid w:val="7454699F"/>
    <w:rsid w:val="74674AFB"/>
    <w:rsid w:val="75691279"/>
    <w:rsid w:val="757060B0"/>
    <w:rsid w:val="758C1E54"/>
    <w:rsid w:val="75F3689B"/>
    <w:rsid w:val="76087742"/>
    <w:rsid w:val="76207A7F"/>
    <w:rsid w:val="76B1324D"/>
    <w:rsid w:val="76B42C7E"/>
    <w:rsid w:val="7715227F"/>
    <w:rsid w:val="771B1C3E"/>
    <w:rsid w:val="77523BB7"/>
    <w:rsid w:val="777C07B1"/>
    <w:rsid w:val="77A574CC"/>
    <w:rsid w:val="77FC391B"/>
    <w:rsid w:val="78C5385C"/>
    <w:rsid w:val="792E68DE"/>
    <w:rsid w:val="797B508B"/>
    <w:rsid w:val="79BA50CC"/>
    <w:rsid w:val="7A915B58"/>
    <w:rsid w:val="7AC0718B"/>
    <w:rsid w:val="7AE67AF1"/>
    <w:rsid w:val="7B057E23"/>
    <w:rsid w:val="7B4C763F"/>
    <w:rsid w:val="7B6B6AF2"/>
    <w:rsid w:val="7BE454F6"/>
    <w:rsid w:val="7C2A575B"/>
    <w:rsid w:val="7C2F1A12"/>
    <w:rsid w:val="7CAD511A"/>
    <w:rsid w:val="7D075496"/>
    <w:rsid w:val="7D376A12"/>
    <w:rsid w:val="7D5E6A44"/>
    <w:rsid w:val="7D6873B9"/>
    <w:rsid w:val="7D7800F3"/>
    <w:rsid w:val="7D9E3559"/>
    <w:rsid w:val="7E1D1D46"/>
    <w:rsid w:val="7E35174F"/>
    <w:rsid w:val="7E57732E"/>
    <w:rsid w:val="7F070FF5"/>
    <w:rsid w:val="7F466F8A"/>
    <w:rsid w:val="7F5807D4"/>
    <w:rsid w:val="7FA92D69"/>
    <w:rsid w:val="7FD20574"/>
    <w:rsid w:val="7FD460FD"/>
    <w:rsid w:val="7FEB5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8"/>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3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39"/>
    <w:unhideWhenUsed/>
    <w:qFormat/>
    <w:uiPriority w:val="9"/>
    <w:pPr>
      <w:keepNext/>
      <w:keepLines/>
      <w:spacing w:before="280" w:after="290" w:line="376" w:lineRule="auto"/>
      <w:outlineLvl w:val="4"/>
    </w:pPr>
    <w:rPr>
      <w:b/>
      <w:bCs/>
      <w:sz w:val="28"/>
      <w:szCs w:val="28"/>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44"/>
    <w:qFormat/>
    <w:uiPriority w:val="0"/>
    <w:pPr>
      <w:widowControl w:val="0"/>
      <w:jc w:val="both"/>
    </w:pPr>
    <w:rPr>
      <w:rFonts w:ascii="Times New Roman" w:hAnsi="Times New Roman" w:cs="Times New Roman"/>
      <w:kern w:val="2"/>
      <w:sz w:val="21"/>
      <w:szCs w:val="22"/>
    </w:rPr>
  </w:style>
  <w:style w:type="paragraph" w:styleId="3">
    <w:name w:val="Title"/>
    <w:basedOn w:val="1"/>
    <w:next w:val="1"/>
    <w:qFormat/>
    <w:uiPriority w:val="0"/>
    <w:pPr>
      <w:jc w:val="center"/>
      <w:outlineLvl w:val="0"/>
    </w:pPr>
    <w:rPr>
      <w:rFonts w:ascii="Arial" w:hAnsi="Arial"/>
      <w:b/>
      <w:sz w:val="32"/>
    </w:rPr>
  </w:style>
  <w:style w:type="paragraph" w:styleId="9">
    <w:name w:val="toc 7"/>
    <w:basedOn w:val="1"/>
    <w:next w:val="1"/>
    <w:unhideWhenUsed/>
    <w:qFormat/>
    <w:uiPriority w:val="39"/>
    <w:pPr>
      <w:ind w:left="1440"/>
    </w:pPr>
    <w:rPr>
      <w:rFonts w:asciiTheme="minorHAnsi" w:eastAsiaTheme="minorHAnsi"/>
      <w:sz w:val="20"/>
      <w:szCs w:val="20"/>
    </w:rPr>
  </w:style>
  <w:style w:type="paragraph" w:styleId="10">
    <w:name w:val="Normal Indent"/>
    <w:basedOn w:val="1"/>
    <w:unhideWhenUsed/>
    <w:qFormat/>
    <w:uiPriority w:val="0"/>
    <w:pPr>
      <w:ind w:firstLine="420"/>
    </w:pPr>
    <w:rPr>
      <w:rFonts w:eastAsia="仿宋_GB2312" w:cs="Times New Roman"/>
      <w:sz w:val="32"/>
    </w:rPr>
  </w:style>
  <w:style w:type="paragraph" w:styleId="11">
    <w:name w:val="annotation text"/>
    <w:basedOn w:val="1"/>
    <w:link w:val="54"/>
    <w:unhideWhenUsed/>
    <w:qFormat/>
    <w:uiPriority w:val="99"/>
  </w:style>
  <w:style w:type="paragraph" w:styleId="12">
    <w:name w:val="Block Text"/>
    <w:basedOn w:val="1"/>
    <w:qFormat/>
    <w:uiPriority w:val="99"/>
    <w:pPr>
      <w:spacing w:after="120"/>
      <w:ind w:left="1440" w:leftChars="700" w:right="1440" w:rightChars="700"/>
    </w:pPr>
  </w:style>
  <w:style w:type="paragraph" w:styleId="13">
    <w:name w:val="toc 5"/>
    <w:basedOn w:val="1"/>
    <w:next w:val="1"/>
    <w:unhideWhenUsed/>
    <w:qFormat/>
    <w:uiPriority w:val="39"/>
    <w:pPr>
      <w:ind w:left="960"/>
    </w:pPr>
    <w:rPr>
      <w:rFonts w:asciiTheme="minorHAnsi" w:eastAsiaTheme="minorHAnsi"/>
      <w:sz w:val="20"/>
      <w:szCs w:val="20"/>
    </w:rPr>
  </w:style>
  <w:style w:type="paragraph" w:styleId="14">
    <w:name w:val="toc 3"/>
    <w:basedOn w:val="1"/>
    <w:next w:val="1"/>
    <w:unhideWhenUsed/>
    <w:qFormat/>
    <w:uiPriority w:val="39"/>
    <w:pPr>
      <w:ind w:left="480"/>
    </w:pPr>
    <w:rPr>
      <w:rFonts w:asciiTheme="minorHAnsi" w:eastAsiaTheme="minorHAnsi"/>
      <w:sz w:val="20"/>
      <w:szCs w:val="20"/>
    </w:rPr>
  </w:style>
  <w:style w:type="paragraph" w:styleId="15">
    <w:name w:val="toc 8"/>
    <w:basedOn w:val="1"/>
    <w:next w:val="1"/>
    <w:unhideWhenUsed/>
    <w:qFormat/>
    <w:uiPriority w:val="39"/>
    <w:pPr>
      <w:ind w:left="1680"/>
    </w:pPr>
    <w:rPr>
      <w:rFonts w:asciiTheme="minorHAnsi" w:eastAsiaTheme="minorHAnsi"/>
      <w:sz w:val="20"/>
      <w:szCs w:val="20"/>
    </w:rPr>
  </w:style>
  <w:style w:type="paragraph" w:styleId="16">
    <w:name w:val="Balloon Text"/>
    <w:basedOn w:val="1"/>
    <w:link w:val="53"/>
    <w:unhideWhenUsed/>
    <w:qFormat/>
    <w:uiPriority w:val="99"/>
    <w:rPr>
      <w:sz w:val="18"/>
      <w:szCs w:val="18"/>
    </w:rPr>
  </w:style>
  <w:style w:type="paragraph" w:styleId="17">
    <w:name w:val="footer"/>
    <w:basedOn w:val="1"/>
    <w:link w:val="40"/>
    <w:unhideWhenUsed/>
    <w:qFormat/>
    <w:uiPriority w:val="99"/>
    <w:pPr>
      <w:tabs>
        <w:tab w:val="center" w:pos="4153"/>
        <w:tab w:val="right" w:pos="8306"/>
      </w:tabs>
      <w:snapToGrid w:val="0"/>
    </w:pPr>
    <w:rPr>
      <w:sz w:val="18"/>
      <w:szCs w:val="18"/>
    </w:rPr>
  </w:style>
  <w:style w:type="paragraph" w:styleId="18">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120"/>
    </w:pPr>
    <w:rPr>
      <w:rFonts w:asciiTheme="minorHAnsi" w:eastAsiaTheme="minorHAnsi"/>
      <w:b/>
      <w:bCs/>
      <w:i/>
      <w:iCs/>
    </w:rPr>
  </w:style>
  <w:style w:type="paragraph" w:styleId="20">
    <w:name w:val="toc 4"/>
    <w:basedOn w:val="1"/>
    <w:next w:val="1"/>
    <w:unhideWhenUsed/>
    <w:qFormat/>
    <w:uiPriority w:val="39"/>
    <w:pPr>
      <w:ind w:left="720"/>
    </w:pPr>
    <w:rPr>
      <w:rFonts w:asciiTheme="minorHAnsi" w:eastAsiaTheme="minorHAnsi"/>
      <w:sz w:val="20"/>
      <w:szCs w:val="20"/>
    </w:rPr>
  </w:style>
  <w:style w:type="paragraph" w:styleId="21">
    <w:name w:val="footnote text"/>
    <w:basedOn w:val="1"/>
    <w:qFormat/>
    <w:uiPriority w:val="0"/>
    <w:pPr>
      <w:snapToGrid w:val="0"/>
    </w:pPr>
    <w:rPr>
      <w:sz w:val="18"/>
    </w:rPr>
  </w:style>
  <w:style w:type="paragraph" w:styleId="22">
    <w:name w:val="toc 6"/>
    <w:basedOn w:val="1"/>
    <w:next w:val="1"/>
    <w:unhideWhenUsed/>
    <w:qFormat/>
    <w:uiPriority w:val="39"/>
    <w:pPr>
      <w:ind w:left="1200"/>
    </w:pPr>
    <w:rPr>
      <w:rFonts w:asciiTheme="minorHAnsi" w:eastAsiaTheme="minorHAnsi"/>
      <w:sz w:val="20"/>
      <w:szCs w:val="20"/>
    </w:rPr>
  </w:style>
  <w:style w:type="paragraph" w:styleId="23">
    <w:name w:val="toc 2"/>
    <w:basedOn w:val="1"/>
    <w:next w:val="1"/>
    <w:unhideWhenUsed/>
    <w:qFormat/>
    <w:uiPriority w:val="39"/>
    <w:pPr>
      <w:spacing w:before="120"/>
      <w:ind w:left="240"/>
    </w:pPr>
    <w:rPr>
      <w:rFonts w:asciiTheme="minorHAnsi" w:eastAsiaTheme="minorHAnsi"/>
      <w:b/>
      <w:bCs/>
      <w:sz w:val="22"/>
      <w:szCs w:val="22"/>
    </w:rPr>
  </w:style>
  <w:style w:type="paragraph" w:styleId="24">
    <w:name w:val="toc 9"/>
    <w:basedOn w:val="1"/>
    <w:next w:val="1"/>
    <w:unhideWhenUsed/>
    <w:qFormat/>
    <w:uiPriority w:val="39"/>
    <w:pPr>
      <w:ind w:left="1920"/>
    </w:pPr>
    <w:rPr>
      <w:rFonts w:asciiTheme="minorHAnsi" w:eastAsiaTheme="minorHAnsi"/>
      <w:sz w:val="20"/>
      <w:szCs w:val="20"/>
    </w:rPr>
  </w:style>
  <w:style w:type="paragraph" w:styleId="25">
    <w:name w:val="Normal (Web)"/>
    <w:basedOn w:val="1"/>
    <w:unhideWhenUsed/>
    <w:qFormat/>
    <w:uiPriority w:val="99"/>
    <w:pPr>
      <w:spacing w:before="100" w:beforeAutospacing="1" w:after="100" w:afterAutospacing="1"/>
    </w:pPr>
  </w:style>
  <w:style w:type="paragraph" w:styleId="26">
    <w:name w:val="annotation subject"/>
    <w:basedOn w:val="11"/>
    <w:next w:val="11"/>
    <w:link w:val="55"/>
    <w:unhideWhenUsed/>
    <w:qFormat/>
    <w:uiPriority w:val="99"/>
    <w:rPr>
      <w:b/>
      <w:bCs/>
    </w:rPr>
  </w:style>
  <w:style w:type="paragraph" w:styleId="27">
    <w:name w:val="Body Text First Indent"/>
    <w:basedOn w:val="2"/>
    <w:next w:val="1"/>
    <w:qFormat/>
    <w:uiPriority w:val="0"/>
    <w:pPr>
      <w:ind w:firstLine="420" w:firstLineChars="1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unhideWhenUsed/>
    <w:qFormat/>
    <w:uiPriority w:val="99"/>
  </w:style>
  <w:style w:type="character" w:styleId="33">
    <w:name w:val="Emphasis"/>
    <w:basedOn w:val="30"/>
    <w:qFormat/>
    <w:uiPriority w:val="20"/>
    <w:rPr>
      <w:i/>
      <w:iCs/>
    </w:rPr>
  </w:style>
  <w:style w:type="character" w:styleId="34">
    <w:name w:val="Hyperlink"/>
    <w:basedOn w:val="30"/>
    <w:unhideWhenUsed/>
    <w:qFormat/>
    <w:uiPriority w:val="99"/>
    <w:rPr>
      <w:color w:val="0000FF"/>
      <w:u w:val="single"/>
    </w:rPr>
  </w:style>
  <w:style w:type="character" w:styleId="35">
    <w:name w:val="annotation reference"/>
    <w:basedOn w:val="30"/>
    <w:unhideWhenUsed/>
    <w:qFormat/>
    <w:uiPriority w:val="99"/>
    <w:rPr>
      <w:sz w:val="21"/>
      <w:szCs w:val="21"/>
    </w:rPr>
  </w:style>
  <w:style w:type="character" w:styleId="36">
    <w:name w:val="footnote reference"/>
    <w:basedOn w:val="30"/>
    <w:qFormat/>
    <w:uiPriority w:val="0"/>
    <w:rPr>
      <w:vertAlign w:val="superscript"/>
    </w:rPr>
  </w:style>
  <w:style w:type="paragraph" w:customStyle="1" w:styleId="37">
    <w:name w:val="列出段落1"/>
    <w:basedOn w:val="1"/>
    <w:qFormat/>
    <w:uiPriority w:val="34"/>
    <w:pPr>
      <w:widowControl w:val="0"/>
      <w:ind w:firstLine="420" w:firstLineChars="200"/>
      <w:jc w:val="both"/>
    </w:pPr>
    <w:rPr>
      <w:rFonts w:asciiTheme="minorHAnsi" w:hAnsiTheme="minorHAnsi" w:eastAsiaTheme="minorEastAsia" w:cstheme="minorBidi"/>
      <w:kern w:val="2"/>
      <w:sz w:val="21"/>
    </w:rPr>
  </w:style>
  <w:style w:type="character" w:customStyle="1" w:styleId="38">
    <w:name w:val="标题 4 Char"/>
    <w:basedOn w:val="30"/>
    <w:link w:val="7"/>
    <w:qFormat/>
    <w:uiPriority w:val="9"/>
    <w:rPr>
      <w:rFonts w:asciiTheme="majorHAnsi" w:hAnsiTheme="majorHAnsi" w:eastAsiaTheme="majorEastAsia" w:cstheme="majorBidi"/>
      <w:b/>
      <w:bCs/>
      <w:kern w:val="0"/>
      <w:sz w:val="28"/>
      <w:szCs w:val="28"/>
    </w:rPr>
  </w:style>
  <w:style w:type="character" w:customStyle="1" w:styleId="39">
    <w:name w:val="标题 5 Char"/>
    <w:basedOn w:val="30"/>
    <w:link w:val="8"/>
    <w:qFormat/>
    <w:uiPriority w:val="9"/>
    <w:rPr>
      <w:rFonts w:ascii="宋体" w:hAnsi="宋体" w:eastAsia="宋体" w:cs="宋体"/>
      <w:b/>
      <w:bCs/>
      <w:kern w:val="0"/>
      <w:sz w:val="28"/>
      <w:szCs w:val="28"/>
    </w:rPr>
  </w:style>
  <w:style w:type="character" w:customStyle="1" w:styleId="40">
    <w:name w:val="页脚 Char"/>
    <w:basedOn w:val="30"/>
    <w:link w:val="17"/>
    <w:qFormat/>
    <w:uiPriority w:val="99"/>
    <w:rPr>
      <w:rFonts w:ascii="宋体" w:hAnsi="宋体" w:eastAsia="宋体" w:cs="宋体"/>
      <w:kern w:val="0"/>
      <w:sz w:val="18"/>
      <w:szCs w:val="18"/>
    </w:rPr>
  </w:style>
  <w:style w:type="character" w:customStyle="1" w:styleId="41">
    <w:name w:val="标题 1 Char"/>
    <w:basedOn w:val="30"/>
    <w:link w:val="4"/>
    <w:qFormat/>
    <w:uiPriority w:val="9"/>
    <w:rPr>
      <w:rFonts w:ascii="宋体" w:hAnsi="宋体" w:eastAsia="宋体" w:cs="宋体"/>
      <w:b/>
      <w:bCs/>
      <w:kern w:val="44"/>
      <w:sz w:val="44"/>
      <w:szCs w:val="44"/>
    </w:rPr>
  </w:style>
  <w:style w:type="paragraph" w:customStyle="1" w:styleId="42">
    <w:name w:val="TOC 标题1"/>
    <w:basedOn w:val="4"/>
    <w:next w:val="1"/>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paragraph" w:customStyle="1" w:styleId="43">
    <w:name w:val="custom_unionstyle"/>
    <w:basedOn w:val="1"/>
    <w:qFormat/>
    <w:uiPriority w:val="0"/>
    <w:pPr>
      <w:spacing w:before="100" w:beforeAutospacing="1" w:after="100" w:afterAutospacing="1"/>
    </w:pPr>
  </w:style>
  <w:style w:type="character" w:customStyle="1" w:styleId="44">
    <w:name w:val="正文文本 Char"/>
    <w:basedOn w:val="30"/>
    <w:link w:val="2"/>
    <w:qFormat/>
    <w:uiPriority w:val="0"/>
    <w:rPr>
      <w:rFonts w:ascii="Times New Roman" w:hAnsi="Times New Roman" w:eastAsia="宋体" w:cs="Times New Roman"/>
      <w:szCs w:val="22"/>
    </w:rPr>
  </w:style>
  <w:style w:type="character" w:customStyle="1" w:styleId="45">
    <w:name w:val="bjh-p"/>
    <w:basedOn w:val="30"/>
    <w:qFormat/>
    <w:uiPriority w:val="0"/>
  </w:style>
  <w:style w:type="character" w:customStyle="1" w:styleId="46">
    <w:name w:val="apple-converted-space"/>
    <w:basedOn w:val="30"/>
    <w:qFormat/>
    <w:uiPriority w:val="0"/>
  </w:style>
  <w:style w:type="character" w:customStyle="1" w:styleId="47">
    <w:name w:val="页眉 Char"/>
    <w:basedOn w:val="30"/>
    <w:link w:val="18"/>
    <w:qFormat/>
    <w:uiPriority w:val="99"/>
    <w:rPr>
      <w:rFonts w:ascii="宋体" w:hAnsi="宋体" w:eastAsia="宋体" w:cs="宋体"/>
      <w:kern w:val="0"/>
      <w:sz w:val="18"/>
      <w:szCs w:val="18"/>
    </w:rPr>
  </w:style>
  <w:style w:type="character" w:customStyle="1" w:styleId="48">
    <w:name w:val="标题 3 Char"/>
    <w:basedOn w:val="30"/>
    <w:link w:val="6"/>
    <w:qFormat/>
    <w:uiPriority w:val="9"/>
    <w:rPr>
      <w:rFonts w:ascii="宋体" w:hAnsi="宋体" w:eastAsia="宋体" w:cs="宋体"/>
      <w:b/>
      <w:bCs/>
      <w:kern w:val="0"/>
      <w:sz w:val="32"/>
      <w:szCs w:val="32"/>
    </w:rPr>
  </w:style>
  <w:style w:type="character" w:customStyle="1" w:styleId="49">
    <w:name w:val="标题 2 Char"/>
    <w:basedOn w:val="30"/>
    <w:link w:val="5"/>
    <w:semiHidden/>
    <w:qFormat/>
    <w:uiPriority w:val="9"/>
    <w:rPr>
      <w:rFonts w:asciiTheme="majorHAnsi" w:hAnsiTheme="majorHAnsi" w:eastAsiaTheme="majorEastAsia" w:cstheme="majorBidi"/>
      <w:b/>
      <w:bCs/>
      <w:kern w:val="0"/>
      <w:sz w:val="32"/>
      <w:szCs w:val="32"/>
    </w:rPr>
  </w:style>
  <w:style w:type="paragraph" w:customStyle="1" w:styleId="50">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51">
    <w:name w:val="17"/>
    <w:basedOn w:val="1"/>
    <w:qFormat/>
    <w:uiPriority w:val="0"/>
    <w:pPr>
      <w:spacing w:before="100" w:beforeAutospacing="1" w:after="100" w:afterAutospacing="1"/>
    </w:pPr>
  </w:style>
  <w:style w:type="paragraph" w:customStyle="1" w:styleId="52">
    <w:name w:val="p"/>
    <w:basedOn w:val="1"/>
    <w:qFormat/>
    <w:uiPriority w:val="0"/>
    <w:pPr>
      <w:spacing w:before="100" w:beforeAutospacing="1" w:after="100" w:afterAutospacing="1"/>
    </w:pPr>
  </w:style>
  <w:style w:type="character" w:customStyle="1" w:styleId="53">
    <w:name w:val="批注框文本 Char"/>
    <w:basedOn w:val="30"/>
    <w:link w:val="16"/>
    <w:semiHidden/>
    <w:qFormat/>
    <w:uiPriority w:val="99"/>
    <w:rPr>
      <w:rFonts w:ascii="宋体" w:hAnsi="宋体" w:eastAsia="宋体" w:cs="宋体"/>
      <w:sz w:val="18"/>
      <w:szCs w:val="18"/>
    </w:rPr>
  </w:style>
  <w:style w:type="character" w:customStyle="1" w:styleId="54">
    <w:name w:val="批注文字 Char"/>
    <w:basedOn w:val="30"/>
    <w:link w:val="11"/>
    <w:qFormat/>
    <w:uiPriority w:val="99"/>
    <w:rPr>
      <w:rFonts w:ascii="宋体" w:hAnsi="宋体" w:eastAsia="宋体" w:cs="宋体"/>
      <w:sz w:val="24"/>
      <w:szCs w:val="24"/>
    </w:rPr>
  </w:style>
  <w:style w:type="character" w:customStyle="1" w:styleId="55">
    <w:name w:val="批注主题 Char"/>
    <w:basedOn w:val="54"/>
    <w:link w:val="26"/>
    <w:semiHidden/>
    <w:qFormat/>
    <w:uiPriority w:val="99"/>
    <w:rPr>
      <w:rFonts w:ascii="宋体" w:hAnsi="宋体" w:eastAsia="宋体" w:cs="宋体"/>
      <w:b/>
      <w:bCs/>
      <w:sz w:val="24"/>
      <w:szCs w:val="24"/>
    </w:rPr>
  </w:style>
  <w:style w:type="paragraph" w:customStyle="1" w:styleId="56">
    <w:name w:val="修订1"/>
    <w:hidden/>
    <w:semiHidden/>
    <w:qFormat/>
    <w:uiPriority w:val="99"/>
    <w:rPr>
      <w:rFonts w:ascii="宋体" w:hAnsi="宋体" w:eastAsia="宋体" w:cs="宋体"/>
      <w:sz w:val="24"/>
      <w:szCs w:val="24"/>
      <w:lang w:val="en-US" w:eastAsia="zh-CN" w:bidi="ar-SA"/>
    </w:rPr>
  </w:style>
  <w:style w:type="paragraph" w:customStyle="1" w:styleId="57">
    <w:name w:val="列出段落2"/>
    <w:basedOn w:val="1"/>
    <w:qFormat/>
    <w:uiPriority w:val="99"/>
    <w:pPr>
      <w:ind w:firstLine="420" w:firstLineChars="200"/>
    </w:pPr>
  </w:style>
  <w:style w:type="character" w:customStyle="1" w:styleId="58">
    <w:name w:val="fontstyle01"/>
    <w:qFormat/>
    <w:uiPriority w:val="0"/>
    <w:rPr>
      <w:rFonts w:hint="eastAsia" w:ascii="华文中宋" w:hAnsi="华文中宋" w:eastAsia="华文中宋" w:cs="华文中宋"/>
      <w:color w:val="000000"/>
      <w:sz w:val="56"/>
      <w:szCs w:val="56"/>
    </w:rPr>
  </w:style>
  <w:style w:type="paragraph" w:customStyle="1" w:styleId="59">
    <w:name w:val="样式 三号2"/>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customStyle="1" w:styleId="60">
    <w:name w:val="12"/>
    <w:basedOn w:val="1"/>
    <w:next w:val="1"/>
    <w:qFormat/>
    <w:uiPriority w:val="0"/>
    <w:pPr>
      <w:spacing w:line="620" w:lineRule="exact"/>
    </w:pPr>
    <w:rPr>
      <w:rFonts w:eastAsia="仿宋_GB2312"/>
      <w:sz w:val="32"/>
    </w:rPr>
  </w:style>
  <w:style w:type="paragraph" w:customStyle="1" w:styleId="61">
    <w:name w:val="样式 0正文 + 首行缩进:  2 字符1"/>
    <w:basedOn w:val="1"/>
    <w:qFormat/>
    <w:uiPriority w:val="0"/>
    <w:pPr>
      <w:spacing w:line="360" w:lineRule="auto"/>
      <w:ind w:firstLine="200" w:firstLineChars="200"/>
    </w:pPr>
    <w:rPr>
      <w:rFonts w:ascii="Times New Roman" w:hAnsi="Times New Roman" w:eastAsia="宋体"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4E149D-5294-4341-AE45-5D25C2FEE6DE}">
  <ds:schemaRefs/>
</ds:datastoreItem>
</file>

<file path=docProps/app.xml><?xml version="1.0" encoding="utf-8"?>
<Properties xmlns="http://schemas.openxmlformats.org/officeDocument/2006/extended-properties" xmlns:vt="http://schemas.openxmlformats.org/officeDocument/2006/docPropsVTypes">
  <Template>Normal</Template>
  <Pages>50</Pages>
  <Words>25307</Words>
  <Characters>25879</Characters>
  <Lines>222</Lines>
  <Paragraphs>62</Paragraphs>
  <TotalTime>0</TotalTime>
  <ScaleCrop>false</ScaleCrop>
  <LinksUpToDate>false</LinksUpToDate>
  <CharactersWithSpaces>25982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2022-05-04T10:37:00Z</dcterms:created>
  <dc:creator>Microsoft Office User</dc:creator>
  <cp:lastModifiedBy>Administrator</cp:lastModifiedBy>
  <cp:lastPrinted>2022-05-10T01:49:00Z</cp:lastPrinted>
  <dcterms:modified xsi:type="dcterms:W3CDTF">2024-05-11T06:33:01Z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50C9CB5610BA453EA5DE99A385AFE6C1</vt:lpwstr>
  </property>
  <property fmtid="{D5CDD505-2E9C-101B-9397-08002B2CF9AE}" pid="4" name="commondata">
    <vt:lpwstr>eyJoZGlkIjoiMGMxMTg0MDlhNjJmNGM0NzVkZTdmNmQ0M2JiMzExZjUifQ==</vt:lpwstr>
  </property>
</Properties>
</file>