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color w:val="auto"/>
          <w:sz w:val="52"/>
          <w:szCs w:val="52"/>
          <w:highlight w:val="none"/>
        </w:rPr>
      </w:pPr>
      <w:bookmarkStart w:id="0" w:name="_Toc7014_WPSOffice_Level1"/>
      <w:bookmarkStart w:id="1" w:name="_Toc10319"/>
      <w:r>
        <w:rPr>
          <w:rFonts w:hint="eastAsia" w:ascii="宋体" w:hAnsi="宋体" w:cs="宋体"/>
          <w:b/>
          <w:color w:val="auto"/>
          <w:sz w:val="52"/>
          <w:highlight w:val="none"/>
        </w:rPr>
        <w:t xml:space="preserve">  广西安臻工程管理有限公司</w:t>
      </w:r>
    </w:p>
    <w:p>
      <w:pPr>
        <w:pStyle w:val="13"/>
        <w:rPr>
          <w:rFonts w:ascii="宋体" w:hAnsi="宋体" w:cs="宋体"/>
          <w:b/>
          <w:bCs/>
          <w:color w:val="auto"/>
          <w:sz w:val="52"/>
          <w:szCs w:val="52"/>
          <w:highlight w:val="none"/>
        </w:rPr>
      </w:pPr>
    </w:p>
    <w:p>
      <w:pPr>
        <w:pStyle w:val="13"/>
        <w:rPr>
          <w:rFonts w:ascii="宋体" w:hAnsi="宋体" w:cs="宋体"/>
          <w:b/>
          <w:bCs/>
          <w:color w:val="auto"/>
          <w:sz w:val="52"/>
          <w:szCs w:val="52"/>
          <w:highlight w:val="none"/>
        </w:rPr>
      </w:pPr>
    </w:p>
    <w:p>
      <w:pPr>
        <w:ind w:left="558" w:right="683"/>
        <w:jc w:val="center"/>
        <w:rPr>
          <w:rFonts w:ascii="宋体" w:hAnsi="宋体" w:cs="宋体"/>
          <w:b/>
          <w:color w:val="auto"/>
          <w:sz w:val="72"/>
          <w:szCs w:val="72"/>
          <w:highlight w:val="none"/>
        </w:rPr>
      </w:pPr>
      <w:r>
        <w:rPr>
          <w:rFonts w:hint="eastAsia" w:ascii="宋体" w:hAnsi="宋体" w:cs="宋体"/>
          <w:b/>
          <w:color w:val="auto"/>
          <w:spacing w:val="93"/>
          <w:sz w:val="72"/>
          <w:szCs w:val="72"/>
          <w:highlight w:val="none"/>
        </w:rPr>
        <w:t>竞争性磋商文件</w:t>
      </w: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52"/>
          <w:szCs w:val="52"/>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项 目 名 称：</w:t>
      </w:r>
      <w:r>
        <w:rPr>
          <w:rFonts w:hint="eastAsia" w:ascii="宋体" w:hAnsi="宋体" w:cs="宋体"/>
          <w:b/>
          <w:bCs/>
          <w:color w:val="auto"/>
          <w:sz w:val="32"/>
          <w:szCs w:val="32"/>
          <w:highlight w:val="none"/>
          <w:u w:val="single"/>
        </w:rPr>
        <w:t>桂林市公安局秀峰分局食堂食材定点采购项目</w:t>
      </w:r>
    </w:p>
    <w:p>
      <w:pPr>
        <w:ind w:firstLine="2240" w:firstLineChars="700"/>
        <w:rPr>
          <w:rFonts w:ascii="宋体" w:hAnsi="宋体" w:cs="宋体"/>
          <w:b/>
          <w:bCs/>
          <w:color w:val="auto"/>
          <w:sz w:val="32"/>
          <w:szCs w:val="32"/>
          <w:highlight w:val="none"/>
        </w:rPr>
      </w:pPr>
      <w:r>
        <w:rPr>
          <w:rFonts w:hint="eastAsia" w:ascii="宋体" w:hAnsi="宋体" w:cs="宋体"/>
          <w:b/>
          <w:bCs/>
          <w:color w:val="auto"/>
          <w:sz w:val="32"/>
          <w:szCs w:val="32"/>
          <w:highlight w:val="none"/>
        </w:rPr>
        <w:t>项 目 编 号：</w:t>
      </w:r>
      <w:r>
        <w:rPr>
          <w:rFonts w:hint="eastAsia" w:ascii="宋体" w:hAnsi="宋体" w:cs="宋体"/>
          <w:b/>
          <w:bCs/>
          <w:color w:val="auto"/>
          <w:sz w:val="32"/>
          <w:szCs w:val="32"/>
          <w:highlight w:val="none"/>
          <w:u w:val="single"/>
        </w:rPr>
        <w:t>GLZC2024-C3-990013-GXAZ</w:t>
      </w:r>
    </w:p>
    <w:p>
      <w:pPr>
        <w:ind w:firstLine="1600" w:firstLineChars="500"/>
        <w:rPr>
          <w:rFonts w:ascii="宋体" w:hAnsi="宋体" w:cs="宋体"/>
          <w:color w:val="auto"/>
          <w:sz w:val="32"/>
          <w:szCs w:val="32"/>
          <w:highlight w:val="none"/>
        </w:rPr>
      </w:pPr>
    </w:p>
    <w:p>
      <w:pPr>
        <w:jc w:val="center"/>
        <w:rPr>
          <w:rFonts w:ascii="宋体" w:hAnsi="宋体" w:cs="宋体"/>
          <w:color w:val="auto"/>
          <w:sz w:val="32"/>
          <w:szCs w:val="32"/>
          <w:highlight w:val="none"/>
        </w:rPr>
      </w:pPr>
    </w:p>
    <w:p>
      <w:pPr>
        <w:rPr>
          <w:rFonts w:ascii="宋体" w:hAnsi="宋体" w:cs="宋体"/>
          <w:color w:val="auto"/>
          <w:sz w:val="32"/>
          <w:szCs w:val="32"/>
          <w:highlight w:val="none"/>
        </w:rPr>
      </w:pPr>
    </w:p>
    <w:p>
      <w:pPr>
        <w:jc w:val="center"/>
        <w:rPr>
          <w:rFonts w:ascii="宋体" w:hAnsi="宋体" w:cs="宋体"/>
          <w:color w:val="auto"/>
          <w:sz w:val="32"/>
          <w:szCs w:val="32"/>
          <w:highlight w:val="none"/>
        </w:rPr>
      </w:pPr>
    </w:p>
    <w:p>
      <w:pPr>
        <w:ind w:firstLine="2240" w:firstLineChars="700"/>
        <w:rPr>
          <w:rFonts w:ascii="宋体" w:hAnsi="宋体" w:cs="宋体"/>
          <w:color w:val="auto"/>
          <w:sz w:val="32"/>
          <w:szCs w:val="32"/>
          <w:highlight w:val="none"/>
        </w:rPr>
      </w:pPr>
      <w:r>
        <w:rPr>
          <w:rFonts w:hint="eastAsia" w:ascii="宋体" w:hAnsi="宋体" w:cs="宋体"/>
          <w:color w:val="auto"/>
          <w:sz w:val="32"/>
          <w:szCs w:val="32"/>
          <w:highlight w:val="none"/>
        </w:rPr>
        <w:t>采购代理机构：广西安臻工程管理有限公司</w:t>
      </w:r>
    </w:p>
    <w:p>
      <w:pPr>
        <w:pStyle w:val="8"/>
        <w:rPr>
          <w:rFonts w:ascii="宋体" w:hAnsi="宋体" w:cs="宋体"/>
          <w:color w:val="auto"/>
          <w:highlight w:val="none"/>
        </w:rPr>
      </w:pPr>
    </w:p>
    <w:p>
      <w:pPr>
        <w:ind w:firstLine="3840" w:firstLineChars="1200"/>
        <w:rPr>
          <w:rFonts w:ascii="宋体" w:hAnsi="宋体" w:cs="宋体"/>
          <w:color w:val="auto"/>
          <w:sz w:val="48"/>
          <w:szCs w:val="48"/>
          <w:highlight w:val="none"/>
        </w:rPr>
        <w:sectPr>
          <w:headerReference r:id="rId3" w:type="default"/>
          <w:footerReference r:id="rId4" w:type="default"/>
          <w:pgSz w:w="11906" w:h="16838"/>
          <w:pgMar w:top="1440" w:right="935" w:bottom="1440" w:left="777" w:header="851" w:footer="992" w:gutter="0"/>
          <w:pgNumType w:fmt="numberInDash" w:start="1"/>
          <w:cols w:space="720" w:num="1"/>
          <w:docGrid w:type="linesAndChars" w:linePitch="312" w:charSpace="0"/>
        </w:sectPr>
      </w:pPr>
      <w:r>
        <w:rPr>
          <w:rFonts w:hint="eastAsia" w:ascii="宋体" w:hAnsi="宋体" w:cs="宋体"/>
          <w:color w:val="auto"/>
          <w:sz w:val="32"/>
          <w:szCs w:val="32"/>
          <w:highlight w:val="none"/>
        </w:rPr>
        <w:t>202</w:t>
      </w:r>
      <w:r>
        <w:rPr>
          <w:rFonts w:ascii="宋体" w:hAnsi="宋体" w:cs="宋体"/>
          <w:color w:val="auto"/>
          <w:sz w:val="32"/>
          <w:szCs w:val="32"/>
          <w:highlight w:val="none"/>
        </w:rPr>
        <w:t>4</w:t>
      </w:r>
      <w:r>
        <w:rPr>
          <w:rFonts w:hint="eastAsia" w:ascii="宋体" w:hAnsi="宋体" w:cs="宋体"/>
          <w:color w:val="auto"/>
          <w:sz w:val="32"/>
          <w:szCs w:val="32"/>
          <w:highlight w:val="none"/>
        </w:rPr>
        <w:t>年</w:t>
      </w:r>
      <w:r>
        <w:rPr>
          <w:rFonts w:ascii="宋体" w:hAnsi="宋体" w:cs="宋体"/>
          <w:color w:val="auto"/>
          <w:sz w:val="32"/>
          <w:szCs w:val="32"/>
          <w:highlight w:val="none"/>
        </w:rPr>
        <w:t>01</w:t>
      </w:r>
      <w:r>
        <w:rPr>
          <w:rFonts w:hint="eastAsia" w:ascii="宋体" w:hAnsi="宋体" w:cs="宋体"/>
          <w:color w:val="auto"/>
          <w:sz w:val="32"/>
          <w:szCs w:val="32"/>
          <w:highlight w:val="none"/>
        </w:rPr>
        <w:t>月</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目</w:t>
      </w:r>
      <w:r>
        <w:rPr>
          <w:rFonts w:hint="eastAsia" w:ascii="宋体" w:hAnsi="宋体" w:cs="宋体"/>
          <w:b/>
          <w:bCs/>
          <w:color w:val="auto"/>
          <w:sz w:val="36"/>
          <w:szCs w:val="36"/>
          <w:highlight w:val="none"/>
        </w:rPr>
        <w:t xml:space="preserve">  </w:t>
      </w:r>
      <w:r>
        <w:rPr>
          <w:rFonts w:hint="eastAsia" w:ascii="宋体" w:hAnsi="宋体" w:cs="宋体"/>
          <w:b/>
          <w:bCs/>
          <w:color w:val="auto"/>
          <w:sz w:val="36"/>
          <w:szCs w:val="36"/>
          <w:highlight w:val="none"/>
          <w:lang w:val="zh-CN"/>
        </w:rPr>
        <w:t>录</w:t>
      </w:r>
    </w:p>
    <w:p>
      <w:pPr>
        <w:pStyle w:val="15"/>
        <w:tabs>
          <w:tab w:val="right" w:leader="dot" w:pos="10184"/>
        </w:tabs>
        <w:rPr>
          <w:rFonts w:asciiTheme="minorHAnsi" w:hAnsiTheme="minorHAnsi" w:eastAsiaTheme="minorEastAsia" w:cstheme="minorBidi"/>
          <w:color w:val="auto"/>
          <w:szCs w:val="22"/>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TOC \o "1-3" \h \z \u </w:instrText>
      </w:r>
      <w:r>
        <w:rPr>
          <w:rFonts w:hint="eastAsia" w:ascii="宋体" w:hAnsi="宋体" w:cs="宋体"/>
          <w:color w:val="auto"/>
          <w:highlight w:val="none"/>
        </w:rPr>
        <w:fldChar w:fldCharType="separate"/>
      </w:r>
      <w:r>
        <w:rPr>
          <w:color w:val="auto"/>
          <w:highlight w:val="none"/>
        </w:rPr>
        <w:fldChar w:fldCharType="begin"/>
      </w:r>
      <w:r>
        <w:rPr>
          <w:color w:val="auto"/>
          <w:highlight w:val="none"/>
        </w:rPr>
        <w:instrText xml:space="preserve"> HYPERLINK \l "_Toc155802438" </w:instrText>
      </w:r>
      <w:r>
        <w:rPr>
          <w:color w:val="auto"/>
          <w:highlight w:val="none"/>
        </w:rPr>
        <w:fldChar w:fldCharType="separate"/>
      </w:r>
      <w:r>
        <w:rPr>
          <w:rStyle w:val="24"/>
          <w:rFonts w:ascii="宋体" w:hAnsi="宋体" w:cs="宋体"/>
          <w:color w:val="auto"/>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_Toc155802438 \h </w:instrText>
      </w:r>
      <w:r>
        <w:rPr>
          <w:color w:val="auto"/>
          <w:highlight w:val="none"/>
        </w:rPr>
        <w:fldChar w:fldCharType="separate"/>
      </w:r>
      <w:r>
        <w:rPr>
          <w:color w:val="auto"/>
          <w:highlight w:val="none"/>
        </w:rPr>
        <w:t>- 1 -</w:t>
      </w:r>
      <w:r>
        <w:rPr>
          <w:color w:val="auto"/>
          <w:highlight w:val="none"/>
        </w:rPr>
        <w:fldChar w:fldCharType="end"/>
      </w:r>
      <w:r>
        <w:rPr>
          <w:color w:val="auto"/>
          <w:highlight w:val="none"/>
        </w:rPr>
        <w:fldChar w:fldCharType="end"/>
      </w:r>
    </w:p>
    <w:p>
      <w:pPr>
        <w:pStyle w:val="15"/>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"_Toc155802439" </w:instrText>
      </w:r>
      <w:r>
        <w:rPr>
          <w:color w:val="auto"/>
          <w:highlight w:val="none"/>
        </w:rPr>
        <w:fldChar w:fldCharType="separate"/>
      </w:r>
      <w:r>
        <w:rPr>
          <w:rStyle w:val="24"/>
          <w:rFonts w:ascii="宋体" w:hAnsi="宋体" w:cs="宋体"/>
          <w:color w:val="auto"/>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_Toc155802439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"_Toc155802440" </w:instrText>
      </w:r>
      <w:r>
        <w:rPr>
          <w:color w:val="auto"/>
          <w:highlight w:val="none"/>
        </w:rPr>
        <w:fldChar w:fldCharType="separate"/>
      </w:r>
      <w:r>
        <w:rPr>
          <w:rStyle w:val="24"/>
          <w:rFonts w:ascii="宋体" w:hAnsi="宋体" w:cs="宋体"/>
          <w:b/>
          <w:color w:val="auto"/>
          <w:highlight w:val="none"/>
        </w:rPr>
        <w:t>供 应 商 须 知 前 附 表</w:t>
      </w:r>
      <w:r>
        <w:rPr>
          <w:color w:val="auto"/>
          <w:highlight w:val="none"/>
        </w:rPr>
        <w:tab/>
      </w:r>
      <w:r>
        <w:rPr>
          <w:color w:val="auto"/>
          <w:highlight w:val="none"/>
        </w:rPr>
        <w:fldChar w:fldCharType="begin"/>
      </w:r>
      <w:r>
        <w:rPr>
          <w:color w:val="auto"/>
          <w:highlight w:val="none"/>
        </w:rPr>
        <w:instrText xml:space="preserve"> PAGEREF _Toc155802440 \h </w:instrText>
      </w:r>
      <w:r>
        <w:rPr>
          <w:color w:val="auto"/>
          <w:highlight w:val="none"/>
        </w:rPr>
        <w:fldChar w:fldCharType="separate"/>
      </w:r>
      <w:r>
        <w:rPr>
          <w:color w:val="auto"/>
          <w:highlight w:val="none"/>
        </w:rPr>
        <w:t>- 4 -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"_Toc155802441" </w:instrText>
      </w:r>
      <w:r>
        <w:rPr>
          <w:color w:val="auto"/>
          <w:highlight w:val="none"/>
        </w:rPr>
        <w:fldChar w:fldCharType="separate"/>
      </w:r>
      <w:r>
        <w:rPr>
          <w:rStyle w:val="24"/>
          <w:rFonts w:ascii="宋体" w:hAnsi="宋体" w:cs="宋体"/>
          <w:bCs/>
          <w:color w:val="auto"/>
          <w:highlight w:val="none"/>
        </w:rPr>
        <w:t>竞争性磋商响应文件的制作</w:t>
      </w:r>
      <w:r>
        <w:rPr>
          <w:color w:val="auto"/>
          <w:highlight w:val="none"/>
        </w:rPr>
        <w:tab/>
      </w:r>
      <w:r>
        <w:rPr>
          <w:color w:val="auto"/>
          <w:highlight w:val="none"/>
        </w:rPr>
        <w:fldChar w:fldCharType="begin"/>
      </w:r>
      <w:r>
        <w:rPr>
          <w:color w:val="auto"/>
          <w:highlight w:val="none"/>
        </w:rPr>
        <w:instrText xml:space="preserve"> PAGEREF _Toc155802441 \h </w:instrText>
      </w:r>
      <w:r>
        <w:rPr>
          <w:color w:val="auto"/>
          <w:highlight w:val="none"/>
        </w:rPr>
        <w:fldChar w:fldCharType="separate"/>
      </w:r>
      <w:r>
        <w:rPr>
          <w:color w:val="auto"/>
          <w:highlight w:val="none"/>
        </w:rPr>
        <w:t>- 5 -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"_Toc155802442" </w:instrText>
      </w:r>
      <w:r>
        <w:rPr>
          <w:color w:val="auto"/>
          <w:highlight w:val="none"/>
        </w:rPr>
        <w:fldChar w:fldCharType="separate"/>
      </w:r>
      <w:r>
        <w:rPr>
          <w:rStyle w:val="24"/>
          <w:rFonts w:ascii="宋体" w:hAnsi="宋体" w:cs="宋体"/>
          <w:b/>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_Toc155802442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"_Toc155802443" </w:instrText>
      </w:r>
      <w:r>
        <w:rPr>
          <w:color w:val="auto"/>
          <w:highlight w:val="none"/>
        </w:rPr>
        <w:fldChar w:fldCharType="separate"/>
      </w:r>
      <w:r>
        <w:rPr>
          <w:rStyle w:val="24"/>
          <w:rFonts w:ascii="宋体" w:hAnsi="宋体" w:cs="宋体"/>
          <w:color w:val="auto"/>
          <w:highlight w:val="none"/>
        </w:rPr>
        <w:t>1. 适应范围</w:t>
      </w:r>
      <w:r>
        <w:rPr>
          <w:color w:val="auto"/>
          <w:highlight w:val="none"/>
        </w:rPr>
        <w:tab/>
      </w:r>
      <w:r>
        <w:rPr>
          <w:color w:val="auto"/>
          <w:highlight w:val="none"/>
        </w:rPr>
        <w:fldChar w:fldCharType="begin"/>
      </w:r>
      <w:r>
        <w:rPr>
          <w:color w:val="auto"/>
          <w:highlight w:val="none"/>
        </w:rPr>
        <w:instrText xml:space="preserve"> PAGEREF _Toc155802443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"_Toc155802444" </w:instrText>
      </w:r>
      <w:r>
        <w:rPr>
          <w:color w:val="auto"/>
          <w:highlight w:val="none"/>
        </w:rPr>
        <w:fldChar w:fldCharType="separate"/>
      </w:r>
      <w:r>
        <w:rPr>
          <w:rStyle w:val="24"/>
          <w:rFonts w:ascii="宋体" w:hAnsi="宋体" w:cs="宋体"/>
          <w:color w:val="auto"/>
          <w:highlight w:val="none"/>
        </w:rPr>
        <w:t>2. 定义</w:t>
      </w:r>
      <w:r>
        <w:rPr>
          <w:color w:val="auto"/>
          <w:highlight w:val="none"/>
        </w:rPr>
        <w:tab/>
      </w:r>
      <w:r>
        <w:rPr>
          <w:color w:val="auto"/>
          <w:highlight w:val="none"/>
        </w:rPr>
        <w:fldChar w:fldCharType="begin"/>
      </w:r>
      <w:r>
        <w:rPr>
          <w:color w:val="auto"/>
          <w:highlight w:val="none"/>
        </w:rPr>
        <w:instrText xml:space="preserve"> PAGEREF _Toc155802444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"_Toc155802445" </w:instrText>
      </w:r>
      <w:r>
        <w:rPr>
          <w:color w:val="auto"/>
          <w:highlight w:val="none"/>
        </w:rPr>
        <w:fldChar w:fldCharType="separate"/>
      </w:r>
      <w:r>
        <w:rPr>
          <w:rStyle w:val="24"/>
          <w:rFonts w:ascii="宋体" w:hAnsi="宋体" w:cs="宋体"/>
          <w:color w:val="auto"/>
          <w:highlight w:val="none"/>
        </w:rPr>
        <w:t>3. 供应商资格</w:t>
      </w:r>
      <w:r>
        <w:rPr>
          <w:color w:val="auto"/>
          <w:highlight w:val="none"/>
        </w:rPr>
        <w:tab/>
      </w:r>
      <w:r>
        <w:rPr>
          <w:color w:val="auto"/>
          <w:highlight w:val="none"/>
        </w:rPr>
        <w:fldChar w:fldCharType="begin"/>
      </w:r>
      <w:r>
        <w:rPr>
          <w:color w:val="auto"/>
          <w:highlight w:val="none"/>
        </w:rPr>
        <w:instrText xml:space="preserve"> PAGEREF _Toc155802445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"_Toc155802446" </w:instrText>
      </w:r>
      <w:r>
        <w:rPr>
          <w:color w:val="auto"/>
          <w:highlight w:val="none"/>
        </w:rPr>
        <w:fldChar w:fldCharType="separate"/>
      </w:r>
      <w:r>
        <w:rPr>
          <w:rStyle w:val="24"/>
          <w:rFonts w:ascii="宋体" w:hAnsi="宋体" w:cs="宋体"/>
          <w:color w:val="auto"/>
          <w:highlight w:val="none"/>
        </w:rPr>
        <w:t>3.5本项目的特定资格要求：供应商须具有相应有效的《食品生产许可证》或《食品经营许可证》。</w:t>
      </w:r>
      <w:r>
        <w:rPr>
          <w:color w:val="auto"/>
          <w:highlight w:val="none"/>
        </w:rPr>
        <w:tab/>
      </w:r>
      <w:r>
        <w:rPr>
          <w:color w:val="auto"/>
          <w:highlight w:val="none"/>
        </w:rPr>
        <w:fldChar w:fldCharType="begin"/>
      </w:r>
      <w:r>
        <w:rPr>
          <w:color w:val="auto"/>
          <w:highlight w:val="none"/>
        </w:rPr>
        <w:instrText xml:space="preserve"> PAGEREF _Toc155802446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"_Toc155802447" </w:instrText>
      </w:r>
      <w:r>
        <w:rPr>
          <w:color w:val="auto"/>
          <w:highlight w:val="none"/>
        </w:rPr>
        <w:fldChar w:fldCharType="separate"/>
      </w:r>
      <w:r>
        <w:rPr>
          <w:rStyle w:val="24"/>
          <w:rFonts w:ascii="宋体" w:hAnsi="宋体" w:cs="宋体"/>
          <w:color w:val="auto"/>
          <w:highlight w:val="none"/>
        </w:rPr>
        <w:t>4. 磋商费用</w:t>
      </w:r>
      <w:r>
        <w:rPr>
          <w:color w:val="auto"/>
          <w:highlight w:val="none"/>
        </w:rPr>
        <w:tab/>
      </w:r>
      <w:r>
        <w:rPr>
          <w:color w:val="auto"/>
          <w:highlight w:val="none"/>
        </w:rPr>
        <w:fldChar w:fldCharType="begin"/>
      </w:r>
      <w:r>
        <w:rPr>
          <w:color w:val="auto"/>
          <w:highlight w:val="none"/>
        </w:rPr>
        <w:instrText xml:space="preserve"> PAGEREF _Toc155802447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"_Toc155802448" </w:instrText>
      </w:r>
      <w:r>
        <w:rPr>
          <w:color w:val="auto"/>
          <w:highlight w:val="none"/>
        </w:rPr>
        <w:fldChar w:fldCharType="separate"/>
      </w:r>
      <w:r>
        <w:rPr>
          <w:rStyle w:val="24"/>
          <w:rFonts w:ascii="宋体" w:hAnsi="宋体" w:cs="宋体"/>
          <w:color w:val="auto"/>
          <w:highlight w:val="none"/>
        </w:rPr>
        <w:t>5. 联合体要求</w:t>
      </w:r>
      <w:r>
        <w:rPr>
          <w:color w:val="auto"/>
          <w:highlight w:val="none"/>
        </w:rPr>
        <w:tab/>
      </w:r>
      <w:r>
        <w:rPr>
          <w:color w:val="auto"/>
          <w:highlight w:val="none"/>
        </w:rPr>
        <w:fldChar w:fldCharType="begin"/>
      </w:r>
      <w:r>
        <w:rPr>
          <w:color w:val="auto"/>
          <w:highlight w:val="none"/>
        </w:rPr>
        <w:instrText xml:space="preserve"> PAGEREF _Toc155802448 \h </w:instrText>
      </w:r>
      <w:r>
        <w:rPr>
          <w:color w:val="auto"/>
          <w:highlight w:val="none"/>
        </w:rPr>
        <w:fldChar w:fldCharType="separate"/>
      </w:r>
      <w:r>
        <w:rPr>
          <w:color w:val="auto"/>
          <w:highlight w:val="none"/>
        </w:rPr>
        <w:t>- 9 -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"_Toc155802449" </w:instrText>
      </w:r>
      <w:r>
        <w:rPr>
          <w:color w:val="auto"/>
          <w:highlight w:val="none"/>
        </w:rPr>
        <w:fldChar w:fldCharType="separate"/>
      </w:r>
      <w:r>
        <w:rPr>
          <w:rStyle w:val="24"/>
          <w:rFonts w:ascii="宋体" w:hAnsi="宋体" w:cs="宋体"/>
          <w:color w:val="auto"/>
          <w:highlight w:val="none"/>
        </w:rPr>
        <w:t>6. 转包与分包</w:t>
      </w:r>
      <w:r>
        <w:rPr>
          <w:color w:val="auto"/>
          <w:highlight w:val="none"/>
        </w:rPr>
        <w:tab/>
      </w:r>
      <w:r>
        <w:rPr>
          <w:color w:val="auto"/>
          <w:highlight w:val="none"/>
        </w:rPr>
        <w:fldChar w:fldCharType="begin"/>
      </w:r>
      <w:r>
        <w:rPr>
          <w:color w:val="auto"/>
          <w:highlight w:val="none"/>
        </w:rPr>
        <w:instrText xml:space="preserve"> PAGEREF _Toc155802449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"_Toc155802450" </w:instrText>
      </w:r>
      <w:r>
        <w:rPr>
          <w:color w:val="auto"/>
          <w:highlight w:val="none"/>
        </w:rPr>
        <w:fldChar w:fldCharType="separate"/>
      </w:r>
      <w:r>
        <w:rPr>
          <w:rStyle w:val="24"/>
          <w:rFonts w:ascii="宋体" w:hAnsi="宋体" w:cs="宋体"/>
          <w:color w:val="auto"/>
          <w:highlight w:val="none"/>
        </w:rPr>
        <w:t>7. 质疑和投诉</w:t>
      </w:r>
      <w:r>
        <w:rPr>
          <w:color w:val="auto"/>
          <w:highlight w:val="none"/>
        </w:rPr>
        <w:tab/>
      </w:r>
      <w:r>
        <w:rPr>
          <w:color w:val="auto"/>
          <w:highlight w:val="none"/>
        </w:rPr>
        <w:fldChar w:fldCharType="begin"/>
      </w:r>
      <w:r>
        <w:rPr>
          <w:color w:val="auto"/>
          <w:highlight w:val="none"/>
        </w:rPr>
        <w:instrText xml:space="preserve"> PAGEREF _Toc155802450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"_Toc155802451" </w:instrText>
      </w:r>
      <w:r>
        <w:rPr>
          <w:color w:val="auto"/>
          <w:highlight w:val="none"/>
        </w:rPr>
        <w:fldChar w:fldCharType="separate"/>
      </w:r>
      <w:r>
        <w:rPr>
          <w:rStyle w:val="24"/>
          <w:rFonts w:ascii="宋体" w:hAnsi="宋体" w:cs="宋体"/>
          <w:color w:val="auto"/>
          <w:highlight w:val="none"/>
        </w:rPr>
        <w:t>8. 特别说明</w:t>
      </w:r>
      <w:r>
        <w:rPr>
          <w:color w:val="auto"/>
          <w:highlight w:val="none"/>
        </w:rPr>
        <w:tab/>
      </w:r>
      <w:r>
        <w:rPr>
          <w:color w:val="auto"/>
          <w:highlight w:val="none"/>
        </w:rPr>
        <w:fldChar w:fldCharType="begin"/>
      </w:r>
      <w:r>
        <w:rPr>
          <w:color w:val="auto"/>
          <w:highlight w:val="none"/>
        </w:rPr>
        <w:instrText xml:space="preserve"> PAGEREF _Toc155802451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"_Toc155802452" </w:instrText>
      </w:r>
      <w:r>
        <w:rPr>
          <w:color w:val="auto"/>
          <w:highlight w:val="none"/>
        </w:rPr>
        <w:fldChar w:fldCharType="separate"/>
      </w:r>
      <w:r>
        <w:rPr>
          <w:rStyle w:val="24"/>
          <w:rFonts w:ascii="宋体" w:hAnsi="宋体" w:cs="宋体"/>
          <w:b/>
          <w:color w:val="auto"/>
          <w:highlight w:val="none"/>
        </w:rPr>
        <w:t>二、磋商文件</w:t>
      </w:r>
      <w:r>
        <w:rPr>
          <w:color w:val="auto"/>
          <w:highlight w:val="none"/>
        </w:rPr>
        <w:tab/>
      </w:r>
      <w:r>
        <w:rPr>
          <w:color w:val="auto"/>
          <w:highlight w:val="none"/>
        </w:rPr>
        <w:fldChar w:fldCharType="begin"/>
      </w:r>
      <w:r>
        <w:rPr>
          <w:color w:val="auto"/>
          <w:highlight w:val="none"/>
        </w:rPr>
        <w:instrText xml:space="preserve"> PAGEREF _Toc155802452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"_Toc155802453" </w:instrText>
      </w:r>
      <w:r>
        <w:rPr>
          <w:color w:val="auto"/>
          <w:highlight w:val="none"/>
        </w:rPr>
        <w:fldChar w:fldCharType="separate"/>
      </w:r>
      <w:r>
        <w:rPr>
          <w:rStyle w:val="24"/>
          <w:rFonts w:ascii="宋体" w:hAnsi="宋体" w:cs="宋体"/>
          <w:color w:val="auto"/>
          <w:highlight w:val="none"/>
          <w:lang w:val="pt-BR"/>
        </w:rPr>
        <w:t xml:space="preserve">9. </w:t>
      </w:r>
      <w:r>
        <w:rPr>
          <w:rStyle w:val="24"/>
          <w:rFonts w:ascii="宋体" w:hAnsi="宋体" w:cs="宋体"/>
          <w:color w:val="auto"/>
          <w:highlight w:val="none"/>
        </w:rPr>
        <w:t>磋商文件的构成</w:t>
      </w:r>
      <w:r>
        <w:rPr>
          <w:color w:val="auto"/>
          <w:highlight w:val="none"/>
        </w:rPr>
        <w:tab/>
      </w:r>
      <w:r>
        <w:rPr>
          <w:color w:val="auto"/>
          <w:highlight w:val="none"/>
        </w:rPr>
        <w:fldChar w:fldCharType="begin"/>
      </w:r>
      <w:r>
        <w:rPr>
          <w:color w:val="auto"/>
          <w:highlight w:val="none"/>
        </w:rPr>
        <w:instrText xml:space="preserve"> PAGEREF _Toc155802453 \h </w:instrText>
      </w:r>
      <w:r>
        <w:rPr>
          <w:color w:val="auto"/>
          <w:highlight w:val="none"/>
        </w:rPr>
        <w:fldChar w:fldCharType="separate"/>
      </w:r>
      <w:r>
        <w:rPr>
          <w:color w:val="auto"/>
          <w:highlight w:val="none"/>
        </w:rPr>
        <w:t>- 10 -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"_Toc155802454" </w:instrText>
      </w:r>
      <w:r>
        <w:rPr>
          <w:color w:val="auto"/>
          <w:highlight w:val="none"/>
        </w:rPr>
        <w:fldChar w:fldCharType="separate"/>
      </w:r>
      <w:r>
        <w:rPr>
          <w:rStyle w:val="24"/>
          <w:rFonts w:ascii="宋体" w:hAnsi="宋体" w:cs="宋体"/>
          <w:color w:val="auto"/>
          <w:highlight w:val="none"/>
        </w:rPr>
        <w:t>10. 磋商文件的澄清与修改</w:t>
      </w:r>
      <w:r>
        <w:rPr>
          <w:color w:val="auto"/>
          <w:highlight w:val="none"/>
        </w:rPr>
        <w:tab/>
      </w:r>
      <w:r>
        <w:rPr>
          <w:color w:val="auto"/>
          <w:highlight w:val="none"/>
        </w:rPr>
        <w:fldChar w:fldCharType="begin"/>
      </w:r>
      <w:r>
        <w:rPr>
          <w:color w:val="auto"/>
          <w:highlight w:val="none"/>
        </w:rPr>
        <w:instrText xml:space="preserve"> PAGEREF _Toc155802454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"_Toc155802455" </w:instrText>
      </w:r>
      <w:r>
        <w:rPr>
          <w:color w:val="auto"/>
          <w:highlight w:val="none"/>
        </w:rPr>
        <w:fldChar w:fldCharType="separate"/>
      </w:r>
      <w:r>
        <w:rPr>
          <w:rStyle w:val="24"/>
          <w:rFonts w:ascii="宋体" w:hAnsi="宋体" w:cs="宋体"/>
          <w:b/>
          <w:color w:val="auto"/>
          <w:highlight w:val="none"/>
        </w:rPr>
        <w:t>三、竞争性磋商响应文件的编制</w:t>
      </w:r>
      <w:r>
        <w:rPr>
          <w:color w:val="auto"/>
          <w:highlight w:val="none"/>
        </w:rPr>
        <w:tab/>
      </w:r>
      <w:r>
        <w:rPr>
          <w:color w:val="auto"/>
          <w:highlight w:val="none"/>
        </w:rPr>
        <w:fldChar w:fldCharType="begin"/>
      </w:r>
      <w:r>
        <w:rPr>
          <w:color w:val="auto"/>
          <w:highlight w:val="none"/>
        </w:rPr>
        <w:instrText xml:space="preserve"> PAGEREF _Toc155802455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"_Toc155802456" </w:instrText>
      </w:r>
      <w:r>
        <w:rPr>
          <w:color w:val="auto"/>
          <w:highlight w:val="none"/>
        </w:rPr>
        <w:fldChar w:fldCharType="separate"/>
      </w:r>
      <w:r>
        <w:rPr>
          <w:rStyle w:val="24"/>
          <w:rFonts w:ascii="宋体" w:hAnsi="宋体" w:cs="宋体"/>
          <w:color w:val="auto"/>
          <w:highlight w:val="none"/>
        </w:rPr>
        <w:t>11.竞争性磋商响应文件编制基本要求</w:t>
      </w:r>
      <w:r>
        <w:rPr>
          <w:color w:val="auto"/>
          <w:highlight w:val="none"/>
        </w:rPr>
        <w:tab/>
      </w:r>
      <w:r>
        <w:rPr>
          <w:color w:val="auto"/>
          <w:highlight w:val="none"/>
        </w:rPr>
        <w:fldChar w:fldCharType="begin"/>
      </w:r>
      <w:r>
        <w:rPr>
          <w:color w:val="auto"/>
          <w:highlight w:val="none"/>
        </w:rPr>
        <w:instrText xml:space="preserve"> PAGEREF _Toc155802456 \h </w:instrText>
      </w:r>
      <w:r>
        <w:rPr>
          <w:color w:val="auto"/>
          <w:highlight w:val="none"/>
        </w:rPr>
        <w:fldChar w:fldCharType="separate"/>
      </w:r>
      <w:r>
        <w:rPr>
          <w:color w:val="auto"/>
          <w:highlight w:val="none"/>
        </w:rPr>
        <w:t>- 11 -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"_Toc155802457" </w:instrText>
      </w:r>
      <w:r>
        <w:rPr>
          <w:color w:val="auto"/>
          <w:highlight w:val="none"/>
        </w:rPr>
        <w:fldChar w:fldCharType="separate"/>
      </w:r>
      <w:r>
        <w:rPr>
          <w:rStyle w:val="24"/>
          <w:rFonts w:ascii="宋体" w:hAnsi="宋体" w:cs="宋体"/>
          <w:color w:val="auto"/>
          <w:highlight w:val="none"/>
        </w:rPr>
        <w:t>12. 响应文件的语言及计量</w:t>
      </w:r>
      <w:r>
        <w:rPr>
          <w:color w:val="auto"/>
          <w:highlight w:val="none"/>
        </w:rPr>
        <w:tab/>
      </w:r>
      <w:r>
        <w:rPr>
          <w:color w:val="auto"/>
          <w:highlight w:val="none"/>
        </w:rPr>
        <w:fldChar w:fldCharType="begin"/>
      </w:r>
      <w:r>
        <w:rPr>
          <w:color w:val="auto"/>
          <w:highlight w:val="none"/>
        </w:rPr>
        <w:instrText xml:space="preserve"> PAGEREF _Toc155802457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"_Toc155802458" </w:instrText>
      </w:r>
      <w:r>
        <w:rPr>
          <w:color w:val="auto"/>
          <w:highlight w:val="none"/>
        </w:rPr>
        <w:fldChar w:fldCharType="separate"/>
      </w:r>
      <w:r>
        <w:rPr>
          <w:rStyle w:val="24"/>
          <w:rFonts w:ascii="宋体" w:hAnsi="宋体" w:cs="宋体"/>
          <w:color w:val="auto"/>
          <w:highlight w:val="none"/>
        </w:rPr>
        <w:t>13. 磋商报价及采购预算金额</w:t>
      </w:r>
      <w:r>
        <w:rPr>
          <w:color w:val="auto"/>
          <w:highlight w:val="none"/>
        </w:rPr>
        <w:tab/>
      </w:r>
      <w:r>
        <w:rPr>
          <w:color w:val="auto"/>
          <w:highlight w:val="none"/>
        </w:rPr>
        <w:fldChar w:fldCharType="begin"/>
      </w:r>
      <w:r>
        <w:rPr>
          <w:color w:val="auto"/>
          <w:highlight w:val="none"/>
        </w:rPr>
        <w:instrText xml:space="preserve"> PAGEREF _Toc155802458 \h </w:instrText>
      </w:r>
      <w:r>
        <w:rPr>
          <w:color w:val="auto"/>
          <w:highlight w:val="none"/>
        </w:rPr>
        <w:fldChar w:fldCharType="separate"/>
      </w:r>
      <w:r>
        <w:rPr>
          <w:color w:val="auto"/>
          <w:highlight w:val="none"/>
        </w:rPr>
        <w:t>- 13 -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"_Toc155802459" </w:instrText>
      </w:r>
      <w:r>
        <w:rPr>
          <w:color w:val="auto"/>
          <w:highlight w:val="none"/>
        </w:rPr>
        <w:fldChar w:fldCharType="separate"/>
      </w:r>
      <w:r>
        <w:rPr>
          <w:rStyle w:val="24"/>
          <w:rFonts w:ascii="宋体" w:hAnsi="宋体" w:cs="宋体"/>
          <w:color w:val="auto"/>
          <w:highlight w:val="none"/>
        </w:rPr>
        <w:t>14. 响应文件有效期</w:t>
      </w:r>
      <w:r>
        <w:rPr>
          <w:color w:val="auto"/>
          <w:highlight w:val="none"/>
        </w:rPr>
        <w:tab/>
      </w:r>
      <w:r>
        <w:rPr>
          <w:color w:val="auto"/>
          <w:highlight w:val="none"/>
        </w:rPr>
        <w:fldChar w:fldCharType="begin"/>
      </w:r>
      <w:r>
        <w:rPr>
          <w:color w:val="auto"/>
          <w:highlight w:val="none"/>
        </w:rPr>
        <w:instrText xml:space="preserve"> PAGEREF _Toc155802459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"_Toc155802460" </w:instrText>
      </w:r>
      <w:r>
        <w:rPr>
          <w:color w:val="auto"/>
          <w:highlight w:val="none"/>
        </w:rPr>
        <w:fldChar w:fldCharType="separate"/>
      </w:r>
      <w:r>
        <w:rPr>
          <w:rStyle w:val="24"/>
          <w:rFonts w:ascii="宋体" w:hAnsi="宋体" w:cs="宋体"/>
          <w:color w:val="auto"/>
          <w:highlight w:val="none"/>
        </w:rPr>
        <w:t>15. 磋商保证金</w:t>
      </w:r>
      <w:r>
        <w:rPr>
          <w:color w:val="auto"/>
          <w:highlight w:val="none"/>
        </w:rPr>
        <w:tab/>
      </w:r>
      <w:r>
        <w:rPr>
          <w:color w:val="auto"/>
          <w:highlight w:val="none"/>
        </w:rPr>
        <w:fldChar w:fldCharType="begin"/>
      </w:r>
      <w:r>
        <w:rPr>
          <w:color w:val="auto"/>
          <w:highlight w:val="none"/>
        </w:rPr>
        <w:instrText xml:space="preserve"> PAGEREF _Toc155802460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"_Toc155802461" </w:instrText>
      </w:r>
      <w:r>
        <w:rPr>
          <w:color w:val="auto"/>
          <w:highlight w:val="none"/>
        </w:rPr>
        <w:fldChar w:fldCharType="separate"/>
      </w:r>
      <w:r>
        <w:rPr>
          <w:rStyle w:val="24"/>
          <w:rFonts w:ascii="宋体" w:hAnsi="宋体" w:cs="宋体"/>
          <w:color w:val="auto"/>
          <w:highlight w:val="none"/>
        </w:rPr>
        <w:t>16. 竞争性磋商响应文件的制作</w:t>
      </w:r>
      <w:r>
        <w:rPr>
          <w:color w:val="auto"/>
          <w:highlight w:val="none"/>
        </w:rPr>
        <w:tab/>
      </w:r>
      <w:r>
        <w:rPr>
          <w:color w:val="auto"/>
          <w:highlight w:val="none"/>
        </w:rPr>
        <w:fldChar w:fldCharType="begin"/>
      </w:r>
      <w:r>
        <w:rPr>
          <w:color w:val="auto"/>
          <w:highlight w:val="none"/>
        </w:rPr>
        <w:instrText xml:space="preserve"> PAGEREF _Toc155802461 \h </w:instrText>
      </w:r>
      <w:r>
        <w:rPr>
          <w:color w:val="auto"/>
          <w:highlight w:val="none"/>
        </w:rPr>
        <w:fldChar w:fldCharType="separate"/>
      </w:r>
      <w:r>
        <w:rPr>
          <w:color w:val="auto"/>
          <w:highlight w:val="none"/>
        </w:rPr>
        <w:t>- 14 -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"_Toc155802462" </w:instrText>
      </w:r>
      <w:r>
        <w:rPr>
          <w:color w:val="auto"/>
          <w:highlight w:val="none"/>
        </w:rPr>
        <w:fldChar w:fldCharType="separate"/>
      </w:r>
      <w:r>
        <w:rPr>
          <w:rStyle w:val="24"/>
          <w:rFonts w:ascii="宋体" w:hAnsi="宋体" w:cs="宋体"/>
          <w:color w:val="auto"/>
          <w:highlight w:val="none"/>
        </w:rPr>
        <w:t>17. 响应文件的修改和撤回</w:t>
      </w:r>
      <w:r>
        <w:rPr>
          <w:color w:val="auto"/>
          <w:highlight w:val="none"/>
        </w:rPr>
        <w:tab/>
      </w:r>
      <w:r>
        <w:rPr>
          <w:color w:val="auto"/>
          <w:highlight w:val="none"/>
        </w:rPr>
        <w:fldChar w:fldCharType="begin"/>
      </w:r>
      <w:r>
        <w:rPr>
          <w:color w:val="auto"/>
          <w:highlight w:val="none"/>
        </w:rPr>
        <w:instrText xml:space="preserve"> PAGEREF _Toc155802462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"_Toc155802463" </w:instrText>
      </w:r>
      <w:r>
        <w:rPr>
          <w:color w:val="auto"/>
          <w:highlight w:val="none"/>
        </w:rPr>
        <w:fldChar w:fldCharType="separate"/>
      </w:r>
      <w:r>
        <w:rPr>
          <w:rStyle w:val="24"/>
          <w:rFonts w:ascii="宋体" w:hAnsi="宋体" w:cs="宋体"/>
          <w:color w:val="auto"/>
          <w:highlight w:val="none"/>
        </w:rPr>
        <w:t>18. 响应文件的递交和解密</w:t>
      </w:r>
      <w:r>
        <w:rPr>
          <w:color w:val="auto"/>
          <w:highlight w:val="none"/>
        </w:rPr>
        <w:tab/>
      </w:r>
      <w:r>
        <w:rPr>
          <w:color w:val="auto"/>
          <w:highlight w:val="none"/>
        </w:rPr>
        <w:fldChar w:fldCharType="begin"/>
      </w:r>
      <w:r>
        <w:rPr>
          <w:color w:val="auto"/>
          <w:highlight w:val="none"/>
        </w:rPr>
        <w:instrText xml:space="preserve"> PAGEREF _Toc155802463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"_Toc155802464" </w:instrText>
      </w:r>
      <w:r>
        <w:rPr>
          <w:color w:val="auto"/>
          <w:highlight w:val="none"/>
        </w:rPr>
        <w:fldChar w:fldCharType="separate"/>
      </w:r>
      <w:r>
        <w:rPr>
          <w:rStyle w:val="24"/>
          <w:rFonts w:ascii="宋体" w:hAnsi="宋体" w:cs="宋体"/>
          <w:b/>
          <w:color w:val="auto"/>
          <w:highlight w:val="none"/>
        </w:rPr>
        <w:t>四、竞争性磋商（简称磋商）与评审</w:t>
      </w:r>
      <w:r>
        <w:rPr>
          <w:color w:val="auto"/>
          <w:highlight w:val="none"/>
        </w:rPr>
        <w:tab/>
      </w:r>
      <w:r>
        <w:rPr>
          <w:color w:val="auto"/>
          <w:highlight w:val="none"/>
        </w:rPr>
        <w:fldChar w:fldCharType="begin"/>
      </w:r>
      <w:r>
        <w:rPr>
          <w:color w:val="auto"/>
          <w:highlight w:val="none"/>
        </w:rPr>
        <w:instrText xml:space="preserve"> PAGEREF _Toc155802464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"_Toc155802465" </w:instrText>
      </w:r>
      <w:r>
        <w:rPr>
          <w:color w:val="auto"/>
          <w:highlight w:val="none"/>
        </w:rPr>
        <w:fldChar w:fldCharType="separate"/>
      </w:r>
      <w:r>
        <w:rPr>
          <w:rStyle w:val="24"/>
          <w:rFonts w:ascii="宋体" w:hAnsi="宋体" w:cs="宋体"/>
          <w:color w:val="auto"/>
          <w:highlight w:val="none"/>
        </w:rPr>
        <w:t>19. 磋商小组组成及磋商时间、地点、人员</w:t>
      </w:r>
      <w:r>
        <w:rPr>
          <w:color w:val="auto"/>
          <w:highlight w:val="none"/>
        </w:rPr>
        <w:tab/>
      </w:r>
      <w:r>
        <w:rPr>
          <w:color w:val="auto"/>
          <w:highlight w:val="none"/>
        </w:rPr>
        <w:fldChar w:fldCharType="begin"/>
      </w:r>
      <w:r>
        <w:rPr>
          <w:color w:val="auto"/>
          <w:highlight w:val="none"/>
        </w:rPr>
        <w:instrText xml:space="preserve"> PAGEREF _Toc155802465 \h </w:instrText>
      </w:r>
      <w:r>
        <w:rPr>
          <w:color w:val="auto"/>
          <w:highlight w:val="none"/>
        </w:rPr>
        <w:fldChar w:fldCharType="separate"/>
      </w:r>
      <w:r>
        <w:rPr>
          <w:color w:val="auto"/>
          <w:highlight w:val="none"/>
        </w:rPr>
        <w:t>- 15 -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"_Toc155802466" </w:instrText>
      </w:r>
      <w:r>
        <w:rPr>
          <w:color w:val="auto"/>
          <w:highlight w:val="none"/>
        </w:rPr>
        <w:fldChar w:fldCharType="separate"/>
      </w:r>
      <w:r>
        <w:rPr>
          <w:rStyle w:val="24"/>
          <w:rFonts w:ascii="宋体" w:hAnsi="宋体" w:cs="宋体"/>
          <w:color w:val="auto"/>
          <w:highlight w:val="none"/>
        </w:rPr>
        <w:t>20. 评审原则</w:t>
      </w:r>
      <w:r>
        <w:rPr>
          <w:color w:val="auto"/>
          <w:highlight w:val="none"/>
        </w:rPr>
        <w:tab/>
      </w:r>
      <w:r>
        <w:rPr>
          <w:color w:val="auto"/>
          <w:highlight w:val="none"/>
        </w:rPr>
        <w:fldChar w:fldCharType="begin"/>
      </w:r>
      <w:r>
        <w:rPr>
          <w:color w:val="auto"/>
          <w:highlight w:val="none"/>
        </w:rPr>
        <w:instrText xml:space="preserve"> PAGEREF _Toc155802466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"_Toc155802467" </w:instrText>
      </w:r>
      <w:r>
        <w:rPr>
          <w:color w:val="auto"/>
          <w:highlight w:val="none"/>
        </w:rPr>
        <w:fldChar w:fldCharType="separate"/>
      </w:r>
      <w:r>
        <w:rPr>
          <w:rStyle w:val="24"/>
          <w:rFonts w:ascii="宋体" w:hAnsi="宋体" w:cs="宋体"/>
          <w:color w:val="auto"/>
          <w:highlight w:val="none"/>
        </w:rPr>
        <w:t>21. 评审程序及磋商要求</w:t>
      </w:r>
      <w:r>
        <w:rPr>
          <w:color w:val="auto"/>
          <w:highlight w:val="none"/>
        </w:rPr>
        <w:tab/>
      </w:r>
      <w:r>
        <w:rPr>
          <w:color w:val="auto"/>
          <w:highlight w:val="none"/>
        </w:rPr>
        <w:fldChar w:fldCharType="begin"/>
      </w:r>
      <w:r>
        <w:rPr>
          <w:color w:val="auto"/>
          <w:highlight w:val="none"/>
        </w:rPr>
        <w:instrText xml:space="preserve"> PAGEREF _Toc155802467 \h </w:instrText>
      </w:r>
      <w:r>
        <w:rPr>
          <w:color w:val="auto"/>
          <w:highlight w:val="none"/>
        </w:rPr>
        <w:fldChar w:fldCharType="separate"/>
      </w:r>
      <w:r>
        <w:rPr>
          <w:color w:val="auto"/>
          <w:highlight w:val="none"/>
        </w:rPr>
        <w:t>- 16 -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"_Toc155802468" </w:instrText>
      </w:r>
      <w:r>
        <w:rPr>
          <w:color w:val="auto"/>
          <w:highlight w:val="none"/>
        </w:rPr>
        <w:fldChar w:fldCharType="separate"/>
      </w:r>
      <w:r>
        <w:rPr>
          <w:rStyle w:val="24"/>
          <w:rFonts w:ascii="宋体" w:hAnsi="宋体" w:cs="宋体"/>
          <w:color w:val="auto"/>
          <w:highlight w:val="none"/>
        </w:rPr>
        <w:t>22. 确定成交供应商</w:t>
      </w:r>
      <w:r>
        <w:rPr>
          <w:color w:val="auto"/>
          <w:highlight w:val="none"/>
        </w:rPr>
        <w:tab/>
      </w:r>
      <w:r>
        <w:rPr>
          <w:color w:val="auto"/>
          <w:highlight w:val="none"/>
        </w:rPr>
        <w:fldChar w:fldCharType="begin"/>
      </w:r>
      <w:r>
        <w:rPr>
          <w:color w:val="auto"/>
          <w:highlight w:val="none"/>
        </w:rPr>
        <w:instrText xml:space="preserve"> PAGEREF _Toc155802468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"_Toc155802469" </w:instrText>
      </w:r>
      <w:r>
        <w:rPr>
          <w:color w:val="auto"/>
          <w:highlight w:val="none"/>
        </w:rPr>
        <w:fldChar w:fldCharType="separate"/>
      </w:r>
      <w:r>
        <w:rPr>
          <w:rStyle w:val="24"/>
          <w:rFonts w:ascii="宋体" w:hAnsi="宋体" w:cs="宋体"/>
          <w:color w:val="auto"/>
          <w:highlight w:val="none"/>
        </w:rPr>
        <w:t>23. 属于下列情况之一者，响应文件无效</w:t>
      </w:r>
      <w:r>
        <w:rPr>
          <w:color w:val="auto"/>
          <w:highlight w:val="none"/>
        </w:rPr>
        <w:tab/>
      </w:r>
      <w:r>
        <w:rPr>
          <w:color w:val="auto"/>
          <w:highlight w:val="none"/>
        </w:rPr>
        <w:fldChar w:fldCharType="begin"/>
      </w:r>
      <w:r>
        <w:rPr>
          <w:color w:val="auto"/>
          <w:highlight w:val="none"/>
        </w:rPr>
        <w:instrText xml:space="preserve"> PAGEREF _Toc155802469 \h </w:instrText>
      </w:r>
      <w:r>
        <w:rPr>
          <w:color w:val="auto"/>
          <w:highlight w:val="none"/>
        </w:rPr>
        <w:fldChar w:fldCharType="separate"/>
      </w:r>
      <w:r>
        <w:rPr>
          <w:color w:val="auto"/>
          <w:highlight w:val="none"/>
        </w:rPr>
        <w:t>- 19 -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"_Toc155802470" </w:instrText>
      </w:r>
      <w:r>
        <w:rPr>
          <w:color w:val="auto"/>
          <w:highlight w:val="none"/>
        </w:rPr>
        <w:fldChar w:fldCharType="separate"/>
      </w:r>
      <w:r>
        <w:rPr>
          <w:rStyle w:val="24"/>
          <w:rFonts w:ascii="宋体" w:hAnsi="宋体" w:cs="宋体"/>
          <w:color w:val="auto"/>
          <w:highlight w:val="none"/>
        </w:rPr>
        <w:t>24. 出现下列情形之一的，采购人或者采购代理机构应当终止竞争性磋商采购活动，发布项目终止公告并说明原因，重新开展采购活动</w:t>
      </w:r>
      <w:r>
        <w:rPr>
          <w:color w:val="auto"/>
          <w:highlight w:val="none"/>
        </w:rPr>
        <w:tab/>
      </w:r>
      <w:r>
        <w:rPr>
          <w:color w:val="auto"/>
          <w:highlight w:val="none"/>
        </w:rPr>
        <w:fldChar w:fldCharType="begin"/>
      </w:r>
      <w:r>
        <w:rPr>
          <w:color w:val="auto"/>
          <w:highlight w:val="none"/>
        </w:rPr>
        <w:instrText xml:space="preserve"> PAGEREF _Toc155802470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"_Toc155802471" </w:instrText>
      </w:r>
      <w:r>
        <w:rPr>
          <w:color w:val="auto"/>
          <w:highlight w:val="none"/>
        </w:rPr>
        <w:fldChar w:fldCharType="separate"/>
      </w:r>
      <w:r>
        <w:rPr>
          <w:rStyle w:val="24"/>
          <w:rFonts w:ascii="宋体" w:hAnsi="宋体" w:cs="宋体"/>
          <w:color w:val="auto"/>
          <w:highlight w:val="none"/>
        </w:rPr>
        <w:t>25. 磋商过程的监控</w:t>
      </w:r>
      <w:r>
        <w:rPr>
          <w:color w:val="auto"/>
          <w:highlight w:val="none"/>
        </w:rPr>
        <w:tab/>
      </w:r>
      <w:r>
        <w:rPr>
          <w:color w:val="auto"/>
          <w:highlight w:val="none"/>
        </w:rPr>
        <w:fldChar w:fldCharType="begin"/>
      </w:r>
      <w:r>
        <w:rPr>
          <w:color w:val="auto"/>
          <w:highlight w:val="none"/>
        </w:rPr>
        <w:instrText xml:space="preserve"> PAGEREF _Toc155802471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"_Toc155802472" </w:instrText>
      </w:r>
      <w:r>
        <w:rPr>
          <w:color w:val="auto"/>
          <w:highlight w:val="none"/>
        </w:rPr>
        <w:fldChar w:fldCharType="separate"/>
      </w:r>
      <w:r>
        <w:rPr>
          <w:rStyle w:val="24"/>
          <w:rFonts w:ascii="宋体" w:hAnsi="宋体" w:cs="宋体"/>
          <w:color w:val="auto"/>
          <w:highlight w:val="none"/>
        </w:rPr>
        <w:t>26. 信用查询</w:t>
      </w:r>
      <w:r>
        <w:rPr>
          <w:color w:val="auto"/>
          <w:highlight w:val="none"/>
        </w:rPr>
        <w:tab/>
      </w:r>
      <w:r>
        <w:rPr>
          <w:color w:val="auto"/>
          <w:highlight w:val="none"/>
        </w:rPr>
        <w:fldChar w:fldCharType="begin"/>
      </w:r>
      <w:r>
        <w:rPr>
          <w:color w:val="auto"/>
          <w:highlight w:val="none"/>
        </w:rPr>
        <w:instrText xml:space="preserve"> PAGEREF _Toc155802472 \h </w:instrText>
      </w:r>
      <w:r>
        <w:rPr>
          <w:color w:val="auto"/>
          <w:highlight w:val="none"/>
        </w:rPr>
        <w:fldChar w:fldCharType="separate"/>
      </w:r>
      <w:r>
        <w:rPr>
          <w:color w:val="auto"/>
          <w:highlight w:val="none"/>
        </w:rPr>
        <w:t>- 20 -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"_Toc155802473" </w:instrText>
      </w:r>
      <w:r>
        <w:rPr>
          <w:color w:val="auto"/>
          <w:highlight w:val="none"/>
        </w:rPr>
        <w:fldChar w:fldCharType="separate"/>
      </w:r>
      <w:r>
        <w:rPr>
          <w:rStyle w:val="24"/>
          <w:rFonts w:ascii="宋体" w:hAnsi="宋体" w:cs="宋体"/>
          <w:color w:val="auto"/>
          <w:highlight w:val="none"/>
        </w:rPr>
        <w:t>27. 成交结果公告及成交通知书</w:t>
      </w:r>
      <w:r>
        <w:rPr>
          <w:color w:val="auto"/>
          <w:highlight w:val="none"/>
        </w:rPr>
        <w:tab/>
      </w:r>
      <w:r>
        <w:rPr>
          <w:color w:val="auto"/>
          <w:highlight w:val="none"/>
        </w:rPr>
        <w:fldChar w:fldCharType="begin"/>
      </w:r>
      <w:r>
        <w:rPr>
          <w:color w:val="auto"/>
          <w:highlight w:val="none"/>
        </w:rPr>
        <w:instrText xml:space="preserve"> PAGEREF _Toc155802473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"_Toc155802474" </w:instrText>
      </w:r>
      <w:r>
        <w:rPr>
          <w:color w:val="auto"/>
          <w:highlight w:val="none"/>
        </w:rPr>
        <w:fldChar w:fldCharType="separate"/>
      </w:r>
      <w:r>
        <w:rPr>
          <w:rStyle w:val="24"/>
          <w:rFonts w:ascii="宋体" w:hAnsi="宋体" w:cs="宋体"/>
          <w:b/>
          <w:color w:val="auto"/>
          <w:highlight w:val="none"/>
        </w:rPr>
        <w:t>五、履约保证金及签订合同</w:t>
      </w:r>
      <w:r>
        <w:rPr>
          <w:color w:val="auto"/>
          <w:highlight w:val="none"/>
        </w:rPr>
        <w:tab/>
      </w:r>
      <w:r>
        <w:rPr>
          <w:color w:val="auto"/>
          <w:highlight w:val="none"/>
        </w:rPr>
        <w:fldChar w:fldCharType="begin"/>
      </w:r>
      <w:r>
        <w:rPr>
          <w:color w:val="auto"/>
          <w:highlight w:val="none"/>
        </w:rPr>
        <w:instrText xml:space="preserve"> PAGEREF _Toc155802474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"_Toc155802475" </w:instrText>
      </w:r>
      <w:r>
        <w:rPr>
          <w:color w:val="auto"/>
          <w:highlight w:val="none"/>
        </w:rPr>
        <w:fldChar w:fldCharType="separate"/>
      </w:r>
      <w:r>
        <w:rPr>
          <w:rStyle w:val="24"/>
          <w:rFonts w:ascii="宋体" w:hAnsi="宋体" w:cs="宋体"/>
          <w:color w:val="auto"/>
          <w:highlight w:val="none"/>
        </w:rPr>
        <w:t>28. 履约保证金</w:t>
      </w:r>
      <w:r>
        <w:rPr>
          <w:color w:val="auto"/>
          <w:highlight w:val="none"/>
        </w:rPr>
        <w:tab/>
      </w:r>
      <w:r>
        <w:rPr>
          <w:color w:val="auto"/>
          <w:highlight w:val="none"/>
        </w:rPr>
        <w:fldChar w:fldCharType="begin"/>
      </w:r>
      <w:r>
        <w:rPr>
          <w:color w:val="auto"/>
          <w:highlight w:val="none"/>
        </w:rPr>
        <w:instrText xml:space="preserve"> PAGEREF _Toc155802475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"_Toc155802476" </w:instrText>
      </w:r>
      <w:r>
        <w:rPr>
          <w:color w:val="auto"/>
          <w:highlight w:val="none"/>
        </w:rPr>
        <w:fldChar w:fldCharType="separate"/>
      </w:r>
      <w:r>
        <w:rPr>
          <w:rStyle w:val="24"/>
          <w:rFonts w:ascii="宋体" w:hAnsi="宋体" w:cs="宋体"/>
          <w:bCs/>
          <w:color w:val="auto"/>
          <w:highlight w:val="none"/>
        </w:rPr>
        <w:t>本项目无需缴纳履约保证金。</w:t>
      </w:r>
      <w:r>
        <w:rPr>
          <w:color w:val="auto"/>
          <w:highlight w:val="none"/>
        </w:rPr>
        <w:tab/>
      </w:r>
      <w:r>
        <w:rPr>
          <w:color w:val="auto"/>
          <w:highlight w:val="none"/>
        </w:rPr>
        <w:fldChar w:fldCharType="begin"/>
      </w:r>
      <w:r>
        <w:rPr>
          <w:color w:val="auto"/>
          <w:highlight w:val="none"/>
        </w:rPr>
        <w:instrText xml:space="preserve"> PAGEREF _Toc155802476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"_Toc155802477" </w:instrText>
      </w:r>
      <w:r>
        <w:rPr>
          <w:color w:val="auto"/>
          <w:highlight w:val="none"/>
        </w:rPr>
        <w:fldChar w:fldCharType="separate"/>
      </w:r>
      <w:r>
        <w:rPr>
          <w:rStyle w:val="24"/>
          <w:rFonts w:ascii="宋体" w:hAnsi="宋体" w:cs="宋体"/>
          <w:color w:val="auto"/>
          <w:highlight w:val="none"/>
        </w:rPr>
        <w:t>29. 签订合同</w:t>
      </w:r>
      <w:r>
        <w:rPr>
          <w:color w:val="auto"/>
          <w:highlight w:val="none"/>
        </w:rPr>
        <w:tab/>
      </w:r>
      <w:r>
        <w:rPr>
          <w:color w:val="auto"/>
          <w:highlight w:val="none"/>
        </w:rPr>
        <w:fldChar w:fldCharType="begin"/>
      </w:r>
      <w:r>
        <w:rPr>
          <w:color w:val="auto"/>
          <w:highlight w:val="none"/>
        </w:rPr>
        <w:instrText xml:space="preserve"> PAGEREF _Toc155802477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"_Toc155802478" </w:instrText>
      </w:r>
      <w:r>
        <w:rPr>
          <w:color w:val="auto"/>
          <w:highlight w:val="none"/>
        </w:rPr>
        <w:fldChar w:fldCharType="separate"/>
      </w:r>
      <w:r>
        <w:rPr>
          <w:rStyle w:val="24"/>
          <w:rFonts w:ascii="宋体" w:hAnsi="宋体" w:cs="宋体"/>
          <w:b/>
          <w:color w:val="auto"/>
          <w:highlight w:val="none"/>
        </w:rPr>
        <w:t>六、其他事项</w:t>
      </w:r>
      <w:r>
        <w:rPr>
          <w:color w:val="auto"/>
          <w:highlight w:val="none"/>
        </w:rPr>
        <w:tab/>
      </w:r>
      <w:r>
        <w:rPr>
          <w:color w:val="auto"/>
          <w:highlight w:val="none"/>
        </w:rPr>
        <w:fldChar w:fldCharType="begin"/>
      </w:r>
      <w:r>
        <w:rPr>
          <w:color w:val="auto"/>
          <w:highlight w:val="none"/>
        </w:rPr>
        <w:instrText xml:space="preserve"> PAGEREF _Toc155802478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"_Toc155802479" </w:instrText>
      </w:r>
      <w:r>
        <w:rPr>
          <w:color w:val="auto"/>
          <w:highlight w:val="none"/>
        </w:rPr>
        <w:fldChar w:fldCharType="separate"/>
      </w:r>
      <w:r>
        <w:rPr>
          <w:rStyle w:val="24"/>
          <w:rFonts w:ascii="宋体" w:hAnsi="宋体" w:cs="宋体"/>
          <w:color w:val="auto"/>
          <w:highlight w:val="none"/>
        </w:rPr>
        <w:t>30. 采购代理服务费</w:t>
      </w:r>
      <w:r>
        <w:rPr>
          <w:color w:val="auto"/>
          <w:highlight w:val="none"/>
        </w:rPr>
        <w:tab/>
      </w:r>
      <w:r>
        <w:rPr>
          <w:color w:val="auto"/>
          <w:highlight w:val="none"/>
        </w:rPr>
        <w:fldChar w:fldCharType="begin"/>
      </w:r>
      <w:r>
        <w:rPr>
          <w:color w:val="auto"/>
          <w:highlight w:val="none"/>
        </w:rPr>
        <w:instrText xml:space="preserve"> PAGEREF _Toc155802479 \h </w:instrText>
      </w:r>
      <w:r>
        <w:rPr>
          <w:color w:val="auto"/>
          <w:highlight w:val="none"/>
        </w:rPr>
        <w:fldChar w:fldCharType="separate"/>
      </w:r>
      <w:r>
        <w:rPr>
          <w:color w:val="auto"/>
          <w:highlight w:val="none"/>
        </w:rPr>
        <w:t>- 21 -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"_Toc155802480" </w:instrText>
      </w:r>
      <w:r>
        <w:rPr>
          <w:color w:val="auto"/>
          <w:highlight w:val="none"/>
        </w:rPr>
        <w:fldChar w:fldCharType="separate"/>
      </w:r>
      <w:r>
        <w:rPr>
          <w:rStyle w:val="24"/>
          <w:rFonts w:ascii="宋体" w:hAnsi="宋体" w:cs="宋体"/>
          <w:color w:val="auto"/>
          <w:highlight w:val="none"/>
        </w:rPr>
        <w:t>33. 监督管理机构</w:t>
      </w:r>
      <w:r>
        <w:rPr>
          <w:color w:val="auto"/>
          <w:highlight w:val="none"/>
        </w:rPr>
        <w:tab/>
      </w:r>
      <w:r>
        <w:rPr>
          <w:color w:val="auto"/>
          <w:highlight w:val="none"/>
        </w:rPr>
        <w:fldChar w:fldCharType="begin"/>
      </w:r>
      <w:r>
        <w:rPr>
          <w:color w:val="auto"/>
          <w:highlight w:val="none"/>
        </w:rPr>
        <w:instrText xml:space="preserve"> PAGEREF _Toc155802480 \h </w:instrText>
      </w:r>
      <w:r>
        <w:rPr>
          <w:color w:val="auto"/>
          <w:highlight w:val="none"/>
        </w:rPr>
        <w:fldChar w:fldCharType="separate"/>
      </w:r>
      <w:r>
        <w:rPr>
          <w:color w:val="auto"/>
          <w:highlight w:val="none"/>
        </w:rPr>
        <w:t>- 22 -</w:t>
      </w:r>
      <w:r>
        <w:rPr>
          <w:color w:val="auto"/>
          <w:highlight w:val="none"/>
        </w:rPr>
        <w:fldChar w:fldCharType="end"/>
      </w:r>
      <w:r>
        <w:rPr>
          <w:color w:val="auto"/>
          <w:highlight w:val="none"/>
        </w:rPr>
        <w:fldChar w:fldCharType="end"/>
      </w:r>
    </w:p>
    <w:p>
      <w:pPr>
        <w:pStyle w:val="15"/>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"_Toc155802481" </w:instrText>
      </w:r>
      <w:r>
        <w:rPr>
          <w:color w:val="auto"/>
          <w:highlight w:val="none"/>
        </w:rPr>
        <w:fldChar w:fldCharType="separate"/>
      </w:r>
      <w:r>
        <w:rPr>
          <w:rStyle w:val="24"/>
          <w:rFonts w:ascii="宋体" w:hAnsi="宋体" w:cs="宋体"/>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_Toc155802481 \h </w:instrText>
      </w:r>
      <w:r>
        <w:rPr>
          <w:color w:val="auto"/>
          <w:highlight w:val="none"/>
        </w:rPr>
        <w:fldChar w:fldCharType="separate"/>
      </w:r>
      <w:r>
        <w:rPr>
          <w:color w:val="auto"/>
          <w:highlight w:val="none"/>
        </w:rPr>
        <w:t>- 28 -</w:t>
      </w:r>
      <w:r>
        <w:rPr>
          <w:color w:val="auto"/>
          <w:highlight w:val="none"/>
        </w:rPr>
        <w:fldChar w:fldCharType="end"/>
      </w:r>
      <w:r>
        <w:rPr>
          <w:color w:val="auto"/>
          <w:highlight w:val="none"/>
        </w:rPr>
        <w:fldChar w:fldCharType="end"/>
      </w:r>
    </w:p>
    <w:p>
      <w:pPr>
        <w:pStyle w:val="15"/>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"_Toc155802482" </w:instrText>
      </w:r>
      <w:r>
        <w:rPr>
          <w:color w:val="auto"/>
          <w:highlight w:val="none"/>
        </w:rPr>
        <w:fldChar w:fldCharType="separate"/>
      </w:r>
      <w:r>
        <w:rPr>
          <w:rStyle w:val="24"/>
          <w:rFonts w:ascii="宋体" w:hAnsi="宋体" w:cs="宋体"/>
          <w:color w:val="auto"/>
          <w:highlight w:val="none"/>
        </w:rPr>
        <w:t>第四章 评审办法</w:t>
      </w:r>
      <w:r>
        <w:rPr>
          <w:color w:val="auto"/>
          <w:highlight w:val="none"/>
        </w:rPr>
        <w:tab/>
      </w:r>
      <w:r>
        <w:rPr>
          <w:color w:val="auto"/>
          <w:highlight w:val="none"/>
        </w:rPr>
        <w:fldChar w:fldCharType="begin"/>
      </w:r>
      <w:r>
        <w:rPr>
          <w:color w:val="auto"/>
          <w:highlight w:val="none"/>
        </w:rPr>
        <w:instrText xml:space="preserve"> PAGEREF _Toc155802482 \h </w:instrText>
      </w:r>
      <w:r>
        <w:rPr>
          <w:color w:val="auto"/>
          <w:highlight w:val="none"/>
        </w:rPr>
        <w:fldChar w:fldCharType="separate"/>
      </w:r>
      <w:r>
        <w:rPr>
          <w:color w:val="auto"/>
          <w:highlight w:val="none"/>
        </w:rPr>
        <w:t>- 35 -</w:t>
      </w:r>
      <w:r>
        <w:rPr>
          <w:color w:val="auto"/>
          <w:highlight w:val="none"/>
        </w:rPr>
        <w:fldChar w:fldCharType="end"/>
      </w:r>
      <w:r>
        <w:rPr>
          <w:color w:val="auto"/>
          <w:highlight w:val="none"/>
        </w:rPr>
        <w:fldChar w:fldCharType="end"/>
      </w:r>
    </w:p>
    <w:p>
      <w:pPr>
        <w:pStyle w:val="10"/>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"_Toc155802483" </w:instrText>
      </w:r>
      <w:r>
        <w:rPr>
          <w:color w:val="auto"/>
          <w:highlight w:val="none"/>
        </w:rPr>
        <w:fldChar w:fldCharType="separate"/>
      </w:r>
      <w:r>
        <w:rPr>
          <w:rStyle w:val="24"/>
          <w:color w:val="auto"/>
          <w:highlight w:val="none"/>
        </w:rPr>
        <w:t>附表</w:t>
      </w:r>
      <w:r>
        <w:rPr>
          <w:color w:val="auto"/>
          <w:highlight w:val="none"/>
        </w:rPr>
        <w:tab/>
      </w:r>
      <w:r>
        <w:rPr>
          <w:color w:val="auto"/>
          <w:highlight w:val="none"/>
        </w:rPr>
        <w:fldChar w:fldCharType="begin"/>
      </w:r>
      <w:r>
        <w:rPr>
          <w:color w:val="auto"/>
          <w:highlight w:val="none"/>
        </w:rPr>
        <w:instrText xml:space="preserve"> PAGEREF _Toc155802483 \h </w:instrText>
      </w:r>
      <w:r>
        <w:rPr>
          <w:color w:val="auto"/>
          <w:highlight w:val="none"/>
        </w:rPr>
        <w:fldChar w:fldCharType="separate"/>
      </w:r>
      <w:r>
        <w:rPr>
          <w:color w:val="auto"/>
          <w:highlight w:val="none"/>
        </w:rPr>
        <w:t>- 38 -</w:t>
      </w:r>
      <w:r>
        <w:rPr>
          <w:color w:val="auto"/>
          <w:highlight w:val="none"/>
        </w:rPr>
        <w:fldChar w:fldCharType="end"/>
      </w:r>
      <w:r>
        <w:rPr>
          <w:color w:val="auto"/>
          <w:highlight w:val="none"/>
        </w:rPr>
        <w:fldChar w:fldCharType="end"/>
      </w:r>
    </w:p>
    <w:p>
      <w:pPr>
        <w:pStyle w:val="15"/>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"_Toc155802484" </w:instrText>
      </w:r>
      <w:r>
        <w:rPr>
          <w:color w:val="auto"/>
          <w:highlight w:val="none"/>
        </w:rPr>
        <w:fldChar w:fldCharType="separate"/>
      </w:r>
      <w:r>
        <w:rPr>
          <w:rStyle w:val="24"/>
          <w:rFonts w:ascii="宋体" w:hAnsi="宋体" w:cs="宋体"/>
          <w:color w:val="auto"/>
          <w:highlight w:val="none"/>
        </w:rPr>
        <w:t>第五章 采购合同（合同主要条款及格式）</w:t>
      </w:r>
      <w:r>
        <w:rPr>
          <w:color w:val="auto"/>
          <w:highlight w:val="none"/>
        </w:rPr>
        <w:tab/>
      </w:r>
      <w:r>
        <w:rPr>
          <w:color w:val="auto"/>
          <w:highlight w:val="none"/>
        </w:rPr>
        <w:fldChar w:fldCharType="begin"/>
      </w:r>
      <w:r>
        <w:rPr>
          <w:color w:val="auto"/>
          <w:highlight w:val="none"/>
        </w:rPr>
        <w:instrText xml:space="preserve"> PAGEREF _Toc155802484 \h </w:instrText>
      </w:r>
      <w:r>
        <w:rPr>
          <w:color w:val="auto"/>
          <w:highlight w:val="none"/>
        </w:rPr>
        <w:fldChar w:fldCharType="separate"/>
      </w:r>
      <w:r>
        <w:rPr>
          <w:color w:val="auto"/>
          <w:highlight w:val="none"/>
        </w:rPr>
        <w:t>- 40 -</w:t>
      </w:r>
      <w:r>
        <w:rPr>
          <w:color w:val="auto"/>
          <w:highlight w:val="none"/>
        </w:rPr>
        <w:fldChar w:fldCharType="end"/>
      </w:r>
      <w:r>
        <w:rPr>
          <w:color w:val="auto"/>
          <w:highlight w:val="none"/>
        </w:rPr>
        <w:fldChar w:fldCharType="end"/>
      </w:r>
    </w:p>
    <w:p>
      <w:pPr>
        <w:pStyle w:val="16"/>
        <w:tabs>
          <w:tab w:val="right" w:leader="dot" w:pos="10184"/>
        </w:tabs>
        <w:rPr>
          <w:rFonts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"_Toc155802485" </w:instrText>
      </w:r>
      <w:r>
        <w:rPr>
          <w:color w:val="auto"/>
          <w:highlight w:val="none"/>
        </w:rPr>
        <w:fldChar w:fldCharType="separate"/>
      </w:r>
      <w:r>
        <w:rPr>
          <w:rStyle w:val="24"/>
          <w:rFonts w:ascii="宋体" w:hAnsi="宋体" w:cs="宋体"/>
          <w:b/>
          <w:color w:val="auto"/>
          <w:kern w:val="44"/>
          <w:highlight w:val="none"/>
        </w:rPr>
        <w:t xml:space="preserve">第六章  </w:t>
      </w:r>
      <w:r>
        <w:rPr>
          <w:rStyle w:val="24"/>
          <w:rFonts w:ascii="宋体" w:hAnsi="宋体" w:cs="宋体"/>
          <w:b/>
          <w:color w:val="auto"/>
          <w:highlight w:val="none"/>
        </w:rPr>
        <w:t>响应文件（格式）</w:t>
      </w:r>
      <w:r>
        <w:rPr>
          <w:color w:val="auto"/>
          <w:highlight w:val="none"/>
        </w:rPr>
        <w:tab/>
      </w:r>
      <w:r>
        <w:rPr>
          <w:color w:val="auto"/>
          <w:highlight w:val="none"/>
        </w:rPr>
        <w:fldChar w:fldCharType="begin"/>
      </w:r>
      <w:r>
        <w:rPr>
          <w:color w:val="auto"/>
          <w:highlight w:val="none"/>
        </w:rPr>
        <w:instrText xml:space="preserve"> PAGEREF _Toc155802485 \h </w:instrText>
      </w:r>
      <w:r>
        <w:rPr>
          <w:color w:val="auto"/>
          <w:highlight w:val="none"/>
        </w:rPr>
        <w:fldChar w:fldCharType="separate"/>
      </w:r>
      <w:r>
        <w:rPr>
          <w:color w:val="auto"/>
          <w:highlight w:val="none"/>
        </w:rPr>
        <w:t>- 44 -</w:t>
      </w:r>
      <w:r>
        <w:rPr>
          <w:color w:val="auto"/>
          <w:highlight w:val="none"/>
        </w:rPr>
        <w:fldChar w:fldCharType="end"/>
      </w:r>
      <w:r>
        <w:rPr>
          <w:color w:val="auto"/>
          <w:highlight w:val="none"/>
        </w:rPr>
        <w:fldChar w:fldCharType="end"/>
      </w:r>
    </w:p>
    <w:p>
      <w:pPr>
        <w:jc w:val="center"/>
        <w:rPr>
          <w:rFonts w:ascii="宋体" w:hAnsi="宋体" w:cs="宋体"/>
          <w:b/>
          <w:bCs/>
          <w:color w:val="auto"/>
          <w:sz w:val="32"/>
          <w:szCs w:val="32"/>
          <w:highlight w:val="none"/>
        </w:rPr>
      </w:pPr>
      <w:r>
        <w:rPr>
          <w:rFonts w:hint="eastAsia" w:ascii="宋体" w:hAnsi="宋体" w:cs="宋体"/>
          <w:bCs/>
          <w:color w:val="auto"/>
          <w:highlight w:val="none"/>
          <w:lang w:val="zh-CN"/>
        </w:rPr>
        <w:fldChar w:fldCharType="end"/>
      </w:r>
    </w:p>
    <w:p>
      <w:pPr>
        <w:rPr>
          <w:rFonts w:ascii="宋体" w:hAnsi="宋体" w:cs="宋体"/>
          <w:b/>
          <w:bCs/>
          <w:color w:val="auto"/>
          <w:sz w:val="32"/>
          <w:szCs w:val="32"/>
          <w:highlight w:val="none"/>
        </w:rPr>
        <w:sectPr>
          <w:footerReference r:id="rId5" w:type="default"/>
          <w:pgSz w:w="11906" w:h="16838"/>
          <w:pgMar w:top="1440" w:right="935" w:bottom="1440" w:left="777" w:header="851" w:footer="992" w:gutter="0"/>
          <w:pgNumType w:fmt="numberInDash" w:start="1"/>
          <w:cols w:space="720" w:num="1"/>
          <w:docGrid w:type="linesAndChars" w:linePitch="312" w:charSpace="0"/>
        </w:sectPr>
      </w:pPr>
    </w:p>
    <w:p>
      <w:pPr>
        <w:pStyle w:val="2"/>
        <w:numPr>
          <w:ilvl w:val="0"/>
          <w:numId w:val="1"/>
        </w:numPr>
        <w:tabs>
          <w:tab w:val="left" w:pos="0"/>
        </w:tabs>
        <w:autoSpaceDE w:val="0"/>
        <w:autoSpaceDN w:val="0"/>
        <w:adjustRightInd w:val="0"/>
        <w:spacing w:before="0" w:after="0" w:line="360" w:lineRule="auto"/>
        <w:ind w:firstLine="425"/>
        <w:jc w:val="center"/>
        <w:rPr>
          <w:rFonts w:ascii="宋体" w:hAnsi="宋体" w:cs="宋体"/>
          <w:color w:val="auto"/>
          <w:sz w:val="32"/>
          <w:szCs w:val="32"/>
          <w:highlight w:val="none"/>
        </w:rPr>
      </w:pPr>
      <w:bookmarkStart w:id="2" w:name="_Toc30170"/>
      <w:bookmarkStart w:id="3" w:name="_Toc28359011"/>
      <w:bookmarkStart w:id="4" w:name="_Toc35393797"/>
      <w:bookmarkStart w:id="5" w:name="_Toc155802438"/>
      <w:bookmarkStart w:id="6" w:name="_Toc26809"/>
      <w:r>
        <w:rPr>
          <w:rFonts w:hint="eastAsia" w:ascii="宋体" w:hAnsi="宋体" w:cs="宋体"/>
          <w:color w:val="auto"/>
          <w:sz w:val="32"/>
          <w:szCs w:val="32"/>
          <w:highlight w:val="none"/>
        </w:rPr>
        <w:t>竞争性磋商公告</w:t>
      </w:r>
      <w:bookmarkEnd w:id="2"/>
      <w:bookmarkEnd w:id="3"/>
      <w:bookmarkEnd w:id="4"/>
      <w:bookmarkEnd w:id="5"/>
      <w:bookmarkEnd w:id="6"/>
    </w:p>
    <w:p>
      <w:pPr>
        <w:spacing w:line="360" w:lineRule="exact"/>
        <w:rPr>
          <w:rFonts w:ascii="宋体" w:hAnsi="宋体" w:cs="宋体"/>
          <w:color w:val="auto"/>
          <w:highlight w:val="none"/>
        </w:rPr>
      </w:pPr>
    </w:p>
    <w:p>
      <w:pPr>
        <w:pStyle w:val="18"/>
        <w:pBdr>
          <w:top w:val="single" w:color="auto" w:sz="4" w:space="1"/>
          <w:left w:val="single" w:color="auto" w:sz="4" w:space="4"/>
          <w:bottom w:val="single" w:color="auto" w:sz="4" w:space="1"/>
          <w:right w:val="single" w:color="auto" w:sz="4" w:space="4"/>
        </w:pBdr>
        <w:spacing w:before="68" w:beforeAutospacing="0" w:after="136" w:afterAutospacing="0"/>
        <w:rPr>
          <w:rFonts w:cs="Arial" w:asciiTheme="minorEastAsia" w:hAnsiTheme="minorEastAsia" w:eastAsiaTheme="minorEastAsia"/>
          <w:color w:val="auto"/>
          <w:sz w:val="21"/>
          <w:szCs w:val="21"/>
          <w:highlight w:val="none"/>
        </w:rPr>
      </w:pPr>
      <w:bookmarkStart w:id="7" w:name="_Toc35393808"/>
      <w:bookmarkStart w:id="8" w:name="_Toc28359098"/>
      <w:bookmarkStart w:id="9" w:name="_Toc35393639"/>
      <w:bookmarkStart w:id="10" w:name="_Toc28359021"/>
      <w:r>
        <w:rPr>
          <w:rFonts w:ascii="仿宋" w:hAnsi="仿宋" w:cs="Arial"/>
          <w:color w:val="auto"/>
          <w:sz w:val="21"/>
          <w:szCs w:val="21"/>
          <w:highlight w:val="none"/>
        </w:rPr>
        <w:t> </w:t>
      </w:r>
      <w:r>
        <w:rPr>
          <w:rFonts w:cs="Arial" w:asciiTheme="minorEastAsia" w:hAnsiTheme="minorEastAsia" w:eastAsiaTheme="minorEastAsia"/>
          <w:color w:val="auto"/>
          <w:sz w:val="21"/>
          <w:szCs w:val="21"/>
          <w:highlight w:val="none"/>
        </w:rPr>
        <w:t>     项目概况                                     </w:t>
      </w:r>
    </w:p>
    <w:p>
      <w:pPr>
        <w:widowControl/>
        <w:pBdr>
          <w:top w:val="single" w:color="auto" w:sz="4" w:space="1"/>
          <w:left w:val="single" w:color="auto" w:sz="4" w:space="4"/>
          <w:bottom w:val="single" w:color="auto" w:sz="4" w:space="1"/>
          <w:right w:val="single" w:color="auto" w:sz="4" w:space="4"/>
        </w:pBdr>
        <w:spacing w:before="68" w:after="68"/>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桂林市公安局秀峰分局食堂食材定点采购项目采购项目的潜在供应商应在政采云平台线上</w:t>
      </w:r>
      <w:bookmarkStart w:id="135" w:name="_GoBack"/>
      <w:bookmarkEnd w:id="135"/>
      <w:r>
        <w:rPr>
          <w:rFonts w:cs="Arial" w:asciiTheme="minorEastAsia" w:hAnsiTheme="minorEastAsia" w:eastAsiaTheme="minorEastAsia"/>
          <w:color w:val="auto"/>
          <w:kern w:val="0"/>
          <w:szCs w:val="21"/>
          <w:highlight w:val="none"/>
        </w:rPr>
        <w:t>获取采购文件，并于2024年</w:t>
      </w:r>
      <w:r>
        <w:rPr>
          <w:rFonts w:hint="eastAsia" w:cs="Arial" w:asciiTheme="minorEastAsia" w:hAnsiTheme="minorEastAsia" w:eastAsiaTheme="minorEastAsia"/>
          <w:color w:val="auto"/>
          <w:kern w:val="0"/>
          <w:szCs w:val="21"/>
          <w:highlight w:val="none"/>
          <w:lang w:val="en-US" w:eastAsia="zh-CN"/>
        </w:rPr>
        <w:t>2</w:t>
      </w:r>
      <w:r>
        <w:rPr>
          <w:rFonts w:cs="Arial" w:asciiTheme="minorEastAsia" w:hAnsiTheme="minorEastAsia" w:eastAsiaTheme="minorEastAsia"/>
          <w:color w:val="auto"/>
          <w:kern w:val="0"/>
          <w:szCs w:val="21"/>
          <w:highlight w:val="none"/>
        </w:rPr>
        <w:t>月</w:t>
      </w:r>
      <w:r>
        <w:rPr>
          <w:rFonts w:hint="eastAsia" w:cs="Arial" w:asciiTheme="minorEastAsia" w:hAnsiTheme="minorEastAsia" w:eastAsiaTheme="minorEastAsia"/>
          <w:color w:val="auto"/>
          <w:kern w:val="0"/>
          <w:szCs w:val="21"/>
          <w:highlight w:val="none"/>
          <w:lang w:val="en-US" w:eastAsia="zh-CN"/>
        </w:rPr>
        <w:t>2</w:t>
      </w:r>
      <w:r>
        <w:rPr>
          <w:rFonts w:cs="Arial" w:asciiTheme="minorEastAsia" w:hAnsiTheme="minorEastAsia" w:eastAsiaTheme="minorEastAsia"/>
          <w:color w:val="auto"/>
          <w:kern w:val="0"/>
          <w:szCs w:val="21"/>
          <w:highlight w:val="none"/>
        </w:rPr>
        <w:t>日 09:30（北京时间）前提交响应文件。               </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一、项目基本情况</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项目编号：GLZC2024-C3-990013-GXAZ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项目名称：桂林市公安局秀峰分局食堂食材定点采购项目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采购方式：竞争性磋商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预算总金额（元）：1700000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采购需求：</w:t>
      </w:r>
    </w:p>
    <w:p>
      <w:pPr>
        <w:widowControl/>
        <w:spacing w:before="50" w:after="50" w:line="200" w:lineRule="atLeast"/>
        <w:ind w:left="630" w:hanging="630" w:hangingChars="3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标项名称: 桂林市公安局秀峰分局食堂食材定点采购项目</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数量:不限</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预算金额（元）:1700000</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简要规格描述或项目基本概况介绍、用途：</w:t>
      </w:r>
      <w:r>
        <w:rPr>
          <w:rFonts w:hint="eastAsia" w:cs="宋体" w:asciiTheme="minorEastAsia" w:hAnsiTheme="minorEastAsia" w:eastAsiaTheme="minorEastAsia"/>
          <w:color w:val="auto"/>
          <w:kern w:val="0"/>
          <w:szCs w:val="21"/>
          <w:highlight w:val="none"/>
        </w:rPr>
        <w:t>肉、禽蛋、蔬菜、豆制品、水产等及配送；粮油、调味品及配送；半成品食品及配送。</w:t>
      </w:r>
    </w:p>
    <w:p>
      <w:pPr>
        <w:widowControl/>
        <w:spacing w:before="50" w:after="50" w:line="200" w:lineRule="atLeast"/>
        <w:ind w:firstLine="630" w:firstLineChars="3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最高限价（如有）：1700000</w:t>
      </w:r>
    </w:p>
    <w:p>
      <w:pPr>
        <w:widowControl/>
        <w:spacing w:before="50" w:after="50" w:line="200" w:lineRule="atLeast"/>
        <w:ind w:firstLine="630" w:firstLineChars="3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合同履约期限：</w:t>
      </w:r>
      <w:r>
        <w:rPr>
          <w:rFonts w:hint="eastAsia" w:cs="宋体" w:asciiTheme="minorEastAsia" w:hAnsiTheme="minorEastAsia" w:eastAsiaTheme="minorEastAsia"/>
          <w:color w:val="auto"/>
          <w:kern w:val="0"/>
          <w:szCs w:val="21"/>
          <w:highlight w:val="none"/>
        </w:rPr>
        <w:t>自签订合同之日起至服务满1年整（具体实施日期以签订合同为准）。</w:t>
      </w:r>
    </w:p>
    <w:p>
      <w:pPr>
        <w:widowControl/>
        <w:spacing w:before="50" w:after="50" w:line="200" w:lineRule="atLeast"/>
        <w:ind w:left="630" w:leftChars="30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本标项（否）接受联合体投标</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备注：</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二、申请人的资格要求：</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1.满足《中华人民共和国政府采购法》第二十二条规定；</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2.落实政府采购政策需满足的资格要求：</w:t>
      </w:r>
      <w:r>
        <w:rPr>
          <w:rFonts w:hint="eastAsia" w:cs="宋体" w:asciiTheme="minorEastAsia" w:hAnsiTheme="minorEastAsia" w:eastAsiaTheme="minorEastAsia"/>
          <w:color w:val="auto"/>
          <w:kern w:val="0"/>
          <w:szCs w:val="21"/>
          <w:highlight w:val="none"/>
        </w:rPr>
        <w:t>本项目专门面向</w:t>
      </w:r>
      <w:r>
        <w:rPr>
          <w:rFonts w:hint="eastAsia" w:cs="宋体" w:asciiTheme="minorEastAsia" w:hAnsiTheme="minorEastAsia" w:eastAsiaTheme="minorEastAsia"/>
          <w:color w:val="auto"/>
          <w:kern w:val="0"/>
          <w:szCs w:val="21"/>
          <w:highlight w:val="none"/>
          <w:lang w:val="en-US" w:eastAsia="zh-CN"/>
        </w:rPr>
        <w:t>小微</w:t>
      </w:r>
      <w:r>
        <w:rPr>
          <w:rFonts w:hint="eastAsia" w:cs="宋体" w:asciiTheme="minorEastAsia" w:hAnsiTheme="minorEastAsia" w:eastAsiaTheme="minorEastAsia"/>
          <w:color w:val="auto"/>
          <w:kern w:val="0"/>
          <w:szCs w:val="21"/>
          <w:highlight w:val="none"/>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3.本项目的特定资格要求：</w:t>
      </w:r>
      <w:r>
        <w:rPr>
          <w:rFonts w:hint="eastAsia" w:ascii="宋体" w:hAnsi="宋体" w:cs="宋体"/>
          <w:color w:val="auto"/>
          <w:szCs w:val="21"/>
          <w:highlight w:val="none"/>
        </w:rPr>
        <w:t>供应商须具有相应有效的《食品生产许可证》或《食品经营许可证》。</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三、获取采购文件</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时间：/至2024年</w:t>
      </w:r>
      <w:r>
        <w:rPr>
          <w:rFonts w:hint="eastAsia" w:cs="Arial" w:asciiTheme="minorEastAsia" w:hAnsiTheme="minorEastAsia" w:eastAsiaTheme="minorEastAsia"/>
          <w:color w:val="auto"/>
          <w:kern w:val="0"/>
          <w:szCs w:val="21"/>
          <w:highlight w:val="none"/>
          <w:lang w:val="en-US" w:eastAsia="zh-CN"/>
        </w:rPr>
        <w:t>2</w:t>
      </w:r>
      <w:r>
        <w:rPr>
          <w:rFonts w:cs="Arial" w:asciiTheme="minorEastAsia" w:hAnsiTheme="minorEastAsia" w:eastAsiaTheme="minorEastAsia"/>
          <w:color w:val="auto"/>
          <w:kern w:val="0"/>
          <w:szCs w:val="21"/>
          <w:highlight w:val="none"/>
        </w:rPr>
        <w:t>月</w:t>
      </w:r>
      <w:r>
        <w:rPr>
          <w:rFonts w:hint="eastAsia" w:cs="Arial" w:asciiTheme="minorEastAsia" w:hAnsiTheme="minorEastAsia" w:eastAsiaTheme="minorEastAsia"/>
          <w:color w:val="auto"/>
          <w:kern w:val="0"/>
          <w:szCs w:val="21"/>
          <w:highlight w:val="none"/>
          <w:lang w:val="en-US" w:eastAsia="zh-CN"/>
        </w:rPr>
        <w:t>2</w:t>
      </w:r>
      <w:r>
        <w:rPr>
          <w:rFonts w:cs="Arial" w:asciiTheme="minorEastAsia" w:hAnsiTheme="minorEastAsia" w:eastAsiaTheme="minorEastAsia"/>
          <w:color w:val="auto"/>
          <w:kern w:val="0"/>
          <w:szCs w:val="21"/>
          <w:highlight w:val="none"/>
        </w:rPr>
        <w:t>日</w:t>
      </w:r>
      <w:r>
        <w:rPr>
          <w:rFonts w:cs="宋体" w:asciiTheme="minorEastAsia" w:hAnsiTheme="minorEastAsia" w:eastAsiaTheme="minorEastAsia"/>
          <w:color w:val="auto"/>
          <w:kern w:val="0"/>
          <w:szCs w:val="21"/>
          <w:highlight w:val="none"/>
        </w:rPr>
        <w:t>，每天上午00:00至12:00，下午12:00至23:59（北京时间，法定节假日除外）</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地点（网址）：政采云平台线上获取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方式：</w:t>
      </w:r>
      <w:r>
        <w:rPr>
          <w:rFonts w:hint="eastAsia" w:ascii="宋体" w:hAnsi="宋体" w:cs="宋体"/>
          <w:color w:val="auto"/>
          <w:kern w:val="0"/>
          <w:szCs w:val="21"/>
          <w:highlight w:val="none"/>
        </w:rPr>
        <w:t>潜在供应商登录</w:t>
      </w:r>
      <w:r>
        <w:rPr>
          <w:rFonts w:hint="eastAsia" w:ascii="宋体" w:hAnsi="宋体" w:cs="宋体"/>
          <w:color w:val="auto"/>
          <w:highlight w:val="none"/>
        </w:rPr>
        <w:t>“政采云”平台（www.zcygov.cn）免费</w:t>
      </w:r>
      <w:r>
        <w:rPr>
          <w:rFonts w:hint="eastAsia" w:ascii="宋体" w:hAnsi="宋体" w:cs="宋体"/>
          <w:color w:val="auto"/>
          <w:szCs w:val="21"/>
          <w:highlight w:val="none"/>
        </w:rPr>
        <w:t>获取竞争性磋商文件电子版。</w:t>
      </w:r>
      <w:r>
        <w:rPr>
          <w:rFonts w:hint="eastAsia" w:ascii="宋体" w:hAnsi="宋体" w:cs="宋体"/>
          <w:b/>
          <w:bCs/>
          <w:color w:val="auto"/>
          <w:szCs w:val="21"/>
          <w:highlight w:val="none"/>
        </w:rPr>
        <w:t>供应商应在“政采云”平台进行“申请获取采购文件”操作，否则，将导致无法在线编制响应文件并参与竞标，其不利后果由供应商自行承担。</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售价（元）：0 </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四、响应文件提交</w:t>
      </w:r>
      <w:r>
        <w:rPr>
          <w:rFonts w:hint="eastAsia" w:cs="宋体" w:asciiTheme="minorEastAsia" w:hAnsiTheme="minorEastAsia" w:eastAsiaTheme="minorEastAsia"/>
          <w:color w:val="auto"/>
          <w:kern w:val="0"/>
          <w:szCs w:val="21"/>
          <w:highlight w:val="none"/>
        </w:rPr>
        <w:t>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截止时间：</w:t>
      </w:r>
      <w:r>
        <w:rPr>
          <w:rFonts w:hint="eastAsia" w:cs="宋体" w:asciiTheme="minorEastAsia" w:hAnsiTheme="minorEastAsia" w:eastAsiaTheme="minorEastAsia"/>
          <w:color w:val="auto"/>
          <w:kern w:val="0"/>
          <w:szCs w:val="21"/>
          <w:highlight w:val="none"/>
          <w:lang w:eastAsia="zh-CN"/>
        </w:rPr>
        <w:t>2024年2月2日</w:t>
      </w:r>
      <w:r>
        <w:rPr>
          <w:rFonts w:cs="宋体" w:asciiTheme="minorEastAsia" w:hAnsiTheme="minorEastAsia" w:eastAsiaTheme="minorEastAsia"/>
          <w:color w:val="auto"/>
          <w:kern w:val="0"/>
          <w:szCs w:val="21"/>
          <w:highlight w:val="none"/>
        </w:rPr>
        <w:t xml:space="preserve"> 09:30（北京时间）</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地点（网址）：请登录政采云投标客户端投标 </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五、响应文件开启</w:t>
      </w:r>
      <w:r>
        <w:rPr>
          <w:rFonts w:hint="eastAsia" w:cs="宋体" w:asciiTheme="minorEastAsia" w:hAnsiTheme="minorEastAsia" w:eastAsiaTheme="minorEastAsia"/>
          <w:color w:val="auto"/>
          <w:kern w:val="0"/>
          <w:szCs w:val="21"/>
          <w:highlight w:val="none"/>
        </w:rPr>
        <w:t> </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开启时间：</w:t>
      </w:r>
      <w:r>
        <w:rPr>
          <w:rFonts w:hint="eastAsia" w:cs="宋体" w:asciiTheme="minorEastAsia" w:hAnsiTheme="minorEastAsia" w:eastAsiaTheme="minorEastAsia"/>
          <w:color w:val="auto"/>
          <w:kern w:val="0"/>
          <w:szCs w:val="21"/>
          <w:highlight w:val="none"/>
          <w:lang w:eastAsia="zh-CN"/>
        </w:rPr>
        <w:t>2024年2月2日</w:t>
      </w:r>
      <w:r>
        <w:rPr>
          <w:rFonts w:cs="宋体" w:asciiTheme="minorEastAsia" w:hAnsiTheme="minorEastAsia" w:eastAsiaTheme="minorEastAsia"/>
          <w:color w:val="auto"/>
          <w:kern w:val="0"/>
          <w:szCs w:val="21"/>
          <w:highlight w:val="none"/>
        </w:rPr>
        <w:t xml:space="preserve"> 09:30 （北京时间）</w:t>
      </w:r>
    </w:p>
    <w:p>
      <w:pPr>
        <w:widowControl/>
        <w:spacing w:before="50" w:after="50" w:line="200" w:lineRule="atLeast"/>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地点：桂林市公共资源交易中心</w:t>
      </w:r>
      <w:r>
        <w:rPr>
          <w:rFonts w:hint="eastAsia" w:cs="宋体" w:asciiTheme="minorEastAsia" w:hAnsiTheme="minorEastAsia" w:eastAsiaTheme="minorEastAsia"/>
          <w:color w:val="auto"/>
          <w:kern w:val="0"/>
          <w:szCs w:val="21"/>
          <w:highlight w:val="none"/>
          <w:u w:val="single"/>
          <w:lang w:val="en-US" w:eastAsia="zh-CN"/>
        </w:rPr>
        <w:t>1</w:t>
      </w:r>
      <w:r>
        <w:rPr>
          <w:rFonts w:cs="宋体" w:asciiTheme="minorEastAsia" w:hAnsiTheme="minorEastAsia" w:eastAsiaTheme="minorEastAsia"/>
          <w:color w:val="auto"/>
          <w:kern w:val="0"/>
          <w:szCs w:val="21"/>
          <w:highlight w:val="none"/>
        </w:rPr>
        <w:t>号开标室通过政采云平台实行在线解密开启。 </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六、公告期限</w:t>
      </w:r>
    </w:p>
    <w:p>
      <w:pPr>
        <w:widowControl/>
        <w:spacing w:before="50" w:after="50"/>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自本公告发布之日起3个工作日。</w:t>
      </w:r>
    </w:p>
    <w:p>
      <w:pPr>
        <w:widowControl/>
        <w:spacing w:before="170" w:after="170" w:line="30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七、其他补充事宜</w:t>
      </w:r>
      <w:r>
        <w:rPr>
          <w:rFonts w:hint="eastAsia" w:cs="宋体" w:asciiTheme="minorEastAsia" w:hAnsiTheme="minorEastAsia" w:eastAsiaTheme="minorEastAsia"/>
          <w:color w:val="auto"/>
          <w:kern w:val="0"/>
          <w:szCs w:val="21"/>
          <w:highlight w:val="none"/>
        </w:rPr>
        <w:t> </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1.信息公告发布媒体：中国政府采购网（www.ccgp.gov.cn）、广西壮族自治区政府采购网（zfcg.gxzf.gov.cn）、桂林市政府采购网（zfcg.czj.guilin.gov.cn）。</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2.本项目需要落实的政府采购政策：</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（1）政府采购促进</w:t>
      </w:r>
      <w:r>
        <w:rPr>
          <w:rFonts w:hint="eastAsia" w:ascii="宋体" w:hAnsi="宋体" w:cs="宋体"/>
          <w:bCs/>
          <w:color w:val="auto"/>
          <w:szCs w:val="21"/>
          <w:highlight w:val="none"/>
          <w:lang w:val="en-US" w:eastAsia="zh-CN"/>
        </w:rPr>
        <w:t>小微</w:t>
      </w:r>
      <w:r>
        <w:rPr>
          <w:rFonts w:hint="eastAsia" w:ascii="宋体" w:hAnsi="宋体" w:cs="宋体"/>
          <w:bCs/>
          <w:color w:val="auto"/>
          <w:szCs w:val="21"/>
          <w:highlight w:val="none"/>
        </w:rPr>
        <w:t>企业发展</w:t>
      </w:r>
      <w:r>
        <w:rPr>
          <w:rFonts w:hint="eastAsia" w:ascii="宋体" w:hAnsi="宋体" w:cs="宋体"/>
          <w:color w:val="auto"/>
          <w:szCs w:val="21"/>
          <w:highlight w:val="none"/>
        </w:rPr>
        <w:t>；</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（2）政府采购支持监狱企业发展；</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（3）政府采购促进残疾人就业政策；</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（4）本项目为服务项目，不涉及强制采购节能产品；</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（5）政府采购支持采用本国产品的政策；</w:t>
      </w:r>
    </w:p>
    <w:p>
      <w:pPr>
        <w:spacing w:line="400" w:lineRule="exact"/>
        <w:ind w:left="420" w:leftChars="200"/>
        <w:rPr>
          <w:rFonts w:ascii="宋体" w:hAnsi="宋体" w:cs="宋体"/>
          <w:bCs/>
          <w:color w:val="auto"/>
          <w:szCs w:val="21"/>
          <w:highlight w:val="none"/>
        </w:rPr>
      </w:pPr>
      <w:r>
        <w:rPr>
          <w:rFonts w:hint="eastAsia" w:ascii="宋体" w:hAnsi="宋体" w:cs="宋体"/>
          <w:bCs/>
          <w:color w:val="auto"/>
          <w:szCs w:val="21"/>
          <w:highlight w:val="none"/>
        </w:rPr>
        <w:t>（6）优先采购节能产品、环境标志产品。</w:t>
      </w:r>
    </w:p>
    <w:p>
      <w:pPr>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szCs w:val="21"/>
          <w:highlight w:val="none"/>
        </w:rPr>
        <w:t>资格条件特别说明：</w:t>
      </w:r>
    </w:p>
    <w:p>
      <w:pPr>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firstLine="420"/>
        <w:rPr>
          <w:rFonts w:ascii="宋体" w:hAnsi="宋体" w:cs="宋体"/>
          <w:color w:val="auto"/>
          <w:highlight w:val="none"/>
        </w:rPr>
      </w:pPr>
      <w:r>
        <w:rPr>
          <w:rFonts w:hint="eastAsia" w:ascii="宋体" w:hAnsi="宋体" w:cs="宋体"/>
          <w:color w:val="auto"/>
          <w:highlight w:val="none"/>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4.</w:t>
      </w:r>
      <w:r>
        <w:rPr>
          <w:rFonts w:ascii="宋体" w:hAnsi="宋体" w:cs="宋体"/>
          <w:bCs/>
          <w:color w:val="auto"/>
          <w:szCs w:val="21"/>
          <w:highlight w:val="none"/>
        </w:rPr>
        <w:t>“</w:t>
      </w:r>
      <w:r>
        <w:rPr>
          <w:rFonts w:hint="eastAsia" w:ascii="宋体" w:hAnsi="宋体" w:cs="宋体"/>
          <w:bCs/>
          <w:color w:val="auto"/>
          <w:szCs w:val="21"/>
          <w:highlight w:val="none"/>
        </w:rPr>
        <w:t>政采云</w:t>
      </w:r>
      <w:r>
        <w:rPr>
          <w:rFonts w:ascii="宋体" w:hAnsi="宋体" w:cs="宋体"/>
          <w:bCs/>
          <w:color w:val="auto"/>
          <w:szCs w:val="21"/>
          <w:highlight w:val="none"/>
        </w:rPr>
        <w:t>”</w:t>
      </w:r>
      <w:r>
        <w:rPr>
          <w:rFonts w:hint="eastAsia" w:ascii="宋体" w:hAnsi="宋体" w:cs="宋体"/>
          <w:bCs/>
          <w:color w:val="auto"/>
          <w:szCs w:val="21"/>
          <w:highlight w:val="none"/>
        </w:rPr>
        <w:t>平台电子竞标相关事宜：</w:t>
      </w:r>
    </w:p>
    <w:p>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1）本项目实行全流程电子化采购，供应商通过“政采云”平台参与电子竞标，并应做好以下相关准备工作：①在“政采云”平台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电子签章或电子签名；③下载“广西壮族自治区全流程电子招投标项目管理系统--供应商客户端”（操作方法详见广西壮族自治区政府采购网—办事服务—下载专区，以下称“政采云电子投标客户端”）并安装成功，供应商应当在响应文件提交截止时间前在“政采云”平台完成的身份认证，确保能够对相关数据电文进行加密和使用电子签章；④自备计算机和网络设备并确保能接入互联网（费用由供应商自行承担，设备确保可进行视频通话和读取政采云CA证书）。因供应商未做好相关准备工作等自身原因导致无法参加本项目电子竞标或竞标失败的，造成的一切后果，由供应商自行承担。</w:t>
      </w:r>
    </w:p>
    <w:p>
      <w:pPr>
        <w:adjustRightInd w:val="0"/>
        <w:snapToGrid w:val="0"/>
        <w:spacing w:line="400" w:lineRule="exact"/>
        <w:ind w:firstLine="420"/>
        <w:rPr>
          <w:rFonts w:ascii="宋体" w:hAnsi="宋体" w:cs="宋体"/>
          <w:bCs/>
          <w:color w:val="auto"/>
          <w:szCs w:val="21"/>
          <w:highlight w:val="none"/>
        </w:rPr>
      </w:pPr>
      <w:r>
        <w:rPr>
          <w:rFonts w:hint="eastAsia" w:ascii="宋体" w:hAnsi="宋体" w:cs="宋体"/>
          <w:bCs/>
          <w:color w:val="auto"/>
          <w:szCs w:val="21"/>
          <w:highlight w:val="none"/>
        </w:rPr>
        <w:t>（2）电子竞标具体操作流程参考《政府采购项目电子交易管理操作指南-供应商》（详见桂林市政府采购网—采购资讯—重要通知）；如遇平台技术问题详询95763。</w:t>
      </w:r>
    </w:p>
    <w:p>
      <w:pPr>
        <w:adjustRightInd w:val="0"/>
        <w:snapToGrid w:val="0"/>
        <w:spacing w:line="400" w:lineRule="exact"/>
        <w:ind w:firstLine="420"/>
        <w:rPr>
          <w:rFonts w:ascii="宋体" w:hAnsi="宋体" w:cs="宋体"/>
          <w:color w:val="auto"/>
          <w:szCs w:val="21"/>
          <w:highlight w:val="none"/>
        </w:rPr>
      </w:pPr>
      <w:r>
        <w:rPr>
          <w:rFonts w:hint="eastAsia" w:ascii="宋体" w:hAnsi="宋体" w:cs="宋体"/>
          <w:bCs/>
          <w:color w:val="auto"/>
          <w:szCs w:val="21"/>
          <w:highlight w:val="none"/>
        </w:rPr>
        <w:t>（3）</w:t>
      </w:r>
      <w:r>
        <w:rPr>
          <w:rFonts w:hint="eastAsia" w:ascii="宋体" w:hAnsi="宋体" w:cs="宋体"/>
          <w:color w:val="auto"/>
          <w:kern w:val="0"/>
          <w:szCs w:val="21"/>
          <w:highlight w:val="none"/>
        </w:rPr>
        <w:t>电子响应文件的制作、加密、</w:t>
      </w:r>
      <w:r>
        <w:rPr>
          <w:rFonts w:hint="eastAsia" w:ascii="宋体" w:hAnsi="宋体" w:cs="宋体"/>
          <w:color w:val="auto"/>
          <w:szCs w:val="21"/>
          <w:highlight w:val="none"/>
        </w:rPr>
        <w:t>提交、解密等相关事宜详见第二章 “供应商须知”。</w:t>
      </w:r>
    </w:p>
    <w:p>
      <w:pPr>
        <w:adjustRightInd w:val="0"/>
        <w:snapToGrid w:val="0"/>
        <w:spacing w:line="400" w:lineRule="exact"/>
        <w:ind w:firstLine="420"/>
        <w:rPr>
          <w:rFonts w:ascii="宋体" w:hAnsi="宋体" w:cs="宋体"/>
          <w:bCs/>
          <w:color w:val="auto"/>
          <w:szCs w:val="21"/>
          <w:highlight w:val="none"/>
        </w:rPr>
      </w:pPr>
      <w:r>
        <w:rPr>
          <w:rFonts w:hint="eastAsia" w:ascii="宋体" w:hAnsi="宋体" w:cs="宋体"/>
          <w:color w:val="auto"/>
          <w:szCs w:val="21"/>
          <w:highlight w:val="none"/>
        </w:rPr>
        <w:t>5.</w:t>
      </w:r>
      <w:r>
        <w:rPr>
          <w:rFonts w:hint="eastAsia" w:ascii="宋体" w:hAnsi="宋体" w:cs="宋体"/>
          <w:color w:val="auto"/>
          <w:kern w:val="0"/>
          <w:szCs w:val="21"/>
          <w:highlight w:val="none"/>
        </w:rPr>
        <w:t>采购代理服务费：本项目代理服务费按“供应商须知”第30.2条“代理服务收费标准”中服务类收费标准计算（不足人民币5000元的，按5000元计），由成交供应商在领取成交通知书</w:t>
      </w:r>
      <w:r>
        <w:rPr>
          <w:rFonts w:hint="eastAsia" w:ascii="宋体" w:hAnsi="宋体" w:cs="宋体"/>
          <w:color w:val="auto"/>
          <w:kern w:val="0"/>
          <w:szCs w:val="20"/>
          <w:highlight w:val="none"/>
        </w:rPr>
        <w:t>之后五个工作日内</w:t>
      </w:r>
      <w:r>
        <w:rPr>
          <w:rFonts w:hint="eastAsia" w:ascii="宋体" w:hAnsi="宋体" w:cs="宋体"/>
          <w:color w:val="auto"/>
          <w:kern w:val="0"/>
          <w:szCs w:val="21"/>
          <w:highlight w:val="none"/>
        </w:rPr>
        <w:t>，向采购代理机构一次性支付。</w:t>
      </w:r>
    </w:p>
    <w:p>
      <w:pPr>
        <w:pStyle w:val="18"/>
        <w:spacing w:before="75" w:beforeAutospacing="0" w:after="75" w:afterAutospacing="0" w:line="300" w:lineRule="atLeas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w:t>
      </w:r>
    </w:p>
    <w:p>
      <w:pPr>
        <w:adjustRightInd w:val="0"/>
        <w:snapToGrid w:val="0"/>
        <w:spacing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.本项目所属行业：</w:t>
      </w:r>
      <w:r>
        <w:rPr>
          <w:rFonts w:hint="eastAsia" w:ascii="宋体" w:hAnsi="宋体" w:cs="宋体"/>
          <w:b/>
          <w:bCs/>
          <w:color w:val="auto"/>
          <w:kern w:val="0"/>
          <w:szCs w:val="21"/>
          <w:highlight w:val="none"/>
        </w:rPr>
        <w:t>零售业</w:t>
      </w:r>
    </w:p>
    <w:p>
      <w:pPr>
        <w:widowControl/>
        <w:spacing w:before="50" w:after="50" w:line="360" w:lineRule="atLeast"/>
        <w:jc w:val="left"/>
        <w:rPr>
          <w:rFonts w:cs="Arial" w:asciiTheme="minorEastAsia" w:hAnsiTheme="minorEastAsia" w:eastAsiaTheme="minorEastAsia"/>
          <w:color w:val="auto"/>
          <w:kern w:val="0"/>
          <w:szCs w:val="21"/>
          <w:highlight w:val="none"/>
        </w:rPr>
      </w:pPr>
      <w:r>
        <w:rPr>
          <w:rFonts w:cs="Arial" w:asciiTheme="minorEastAsia" w:hAnsiTheme="minorEastAsia" w:eastAsiaTheme="minorEastAsia"/>
          <w:color w:val="auto"/>
          <w:kern w:val="0"/>
          <w:szCs w:val="21"/>
          <w:highlight w:val="none"/>
        </w:rPr>
        <w:t>  </w:t>
      </w:r>
    </w:p>
    <w:p>
      <w:pPr>
        <w:widowControl/>
        <w:spacing w:before="170" w:after="170" w:line="320" w:lineRule="atLeast"/>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b/>
          <w:bCs/>
          <w:color w:val="auto"/>
          <w:kern w:val="0"/>
          <w:szCs w:val="21"/>
          <w:highlight w:val="none"/>
        </w:rPr>
        <w:t>八、凡对本次招标提出询问，请按以下方式联系</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1.采购人信息</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名    称：</w:t>
      </w:r>
      <w:r>
        <w:rPr>
          <w:rFonts w:hint="eastAsia" w:cs="宋体" w:asciiTheme="minorEastAsia" w:hAnsiTheme="minorEastAsia" w:eastAsiaTheme="minorEastAsia"/>
          <w:color w:val="auto"/>
          <w:kern w:val="0"/>
          <w:szCs w:val="21"/>
          <w:highlight w:val="none"/>
        </w:rPr>
        <w:t>桂林市公安局秀峰分局</w:t>
      </w:r>
      <w:r>
        <w:rPr>
          <w:rFonts w:cs="宋体" w:asciiTheme="minorEastAsia" w:hAnsiTheme="minorEastAsia" w:eastAsiaTheme="minorEastAsia"/>
          <w:color w:val="auto"/>
          <w:kern w:val="0"/>
          <w:szCs w:val="21"/>
          <w:highlight w:val="none"/>
        </w:rPr>
        <w:t>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    址：</w:t>
      </w:r>
      <w:r>
        <w:rPr>
          <w:rStyle w:val="37"/>
          <w:rFonts w:ascii="宋体" w:hAnsi="宋体"/>
          <w:color w:val="auto"/>
          <w:szCs w:val="21"/>
          <w:highlight w:val="none"/>
        </w:rPr>
        <w:t>桂林市秀峰区中隐路10号</w:t>
      </w:r>
      <w:r>
        <w:rPr>
          <w:rFonts w:cs="宋体" w:asciiTheme="minorEastAsia" w:hAnsiTheme="minorEastAsia" w:eastAsiaTheme="minorEastAsia"/>
          <w:color w:val="auto"/>
          <w:kern w:val="0"/>
          <w:szCs w:val="21"/>
          <w:highlight w:val="none"/>
        </w:rPr>
        <w:t>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项目联系人：</w:t>
      </w:r>
      <w:r>
        <w:rPr>
          <w:rFonts w:hint="eastAsia" w:cs="宋体" w:asciiTheme="minorEastAsia" w:hAnsiTheme="minorEastAsia" w:eastAsiaTheme="minorEastAsia"/>
          <w:color w:val="auto"/>
          <w:kern w:val="0"/>
          <w:szCs w:val="21"/>
          <w:highlight w:val="none"/>
        </w:rPr>
        <w:t>唐主任</w:t>
      </w:r>
      <w:r>
        <w:rPr>
          <w:rFonts w:cs="宋体" w:asciiTheme="minorEastAsia" w:hAnsiTheme="minorEastAsia" w:eastAsiaTheme="minorEastAsia"/>
          <w:color w:val="auto"/>
          <w:kern w:val="0"/>
          <w:szCs w:val="21"/>
          <w:highlight w:val="none"/>
        </w:rPr>
        <w:t>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项目联系方式：0773-2823769</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r>
        <w:rPr>
          <w:rFonts w:cs="宋体" w:asciiTheme="minorEastAsia" w:hAnsiTheme="minorEastAsia" w:eastAsiaTheme="minorEastAsia"/>
          <w:color w:val="auto"/>
          <w:kern w:val="0"/>
          <w:szCs w:val="21"/>
          <w:highlight w:val="none"/>
        </w:rPr>
        <w:br w:type="textWrapping"/>
      </w:r>
      <w:r>
        <w:rPr>
          <w:rFonts w:cs="宋体" w:asciiTheme="minorEastAsia" w:hAnsiTheme="minorEastAsia" w:eastAsiaTheme="minorEastAsia"/>
          <w:color w:val="auto"/>
          <w:kern w:val="0"/>
          <w:szCs w:val="21"/>
          <w:highlight w:val="none"/>
        </w:rPr>
        <w:t>    2.采购代理机构信息</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名    称：广西安臻工程管理有限公司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地    址：</w:t>
      </w:r>
      <w:r>
        <w:rPr>
          <w:rFonts w:hint="eastAsia" w:asciiTheme="minorEastAsia" w:hAnsiTheme="minorEastAsia" w:eastAsiaTheme="minorEastAsia" w:cstheme="minorEastAsia"/>
          <w:color w:val="auto"/>
          <w:szCs w:val="21"/>
          <w:highlight w:val="none"/>
        </w:rPr>
        <w:t>临桂区临桂镇仕通路69号精通.伊顿国际</w:t>
      </w:r>
      <w:r>
        <w:rPr>
          <w:rFonts w:cs="宋体" w:asciiTheme="minorEastAsia" w:hAnsiTheme="minorEastAsia" w:eastAsiaTheme="minorEastAsia"/>
          <w:color w:val="auto"/>
          <w:kern w:val="0"/>
          <w:szCs w:val="21"/>
          <w:highlight w:val="none"/>
        </w:rPr>
        <w:t>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项目联系人：刘工 </w:t>
      </w:r>
    </w:p>
    <w:p>
      <w:pPr>
        <w:widowControl/>
        <w:spacing w:before="50" w:after="50"/>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项目联系方式：</w:t>
      </w:r>
      <w:r>
        <w:rPr>
          <w:rFonts w:hint="eastAsia" w:cs="宋体" w:asciiTheme="minorEastAsia" w:hAnsiTheme="minorEastAsia" w:eastAsiaTheme="minorEastAsia"/>
          <w:color w:val="auto"/>
          <w:kern w:val="0"/>
          <w:szCs w:val="21"/>
          <w:highlight w:val="none"/>
          <w:lang w:eastAsia="zh-CN"/>
        </w:rPr>
        <w:t>18078360291</w:t>
      </w:r>
      <w:r>
        <w:rPr>
          <w:rFonts w:cs="宋体" w:asciiTheme="minorEastAsia" w:hAnsiTheme="minorEastAsia" w:eastAsiaTheme="minorEastAsia"/>
          <w:color w:val="auto"/>
          <w:kern w:val="0"/>
          <w:szCs w:val="21"/>
          <w:highlight w:val="none"/>
        </w:rPr>
        <w:t> </w:t>
      </w:r>
    </w:p>
    <w:p>
      <w:pPr>
        <w:widowControl/>
        <w:spacing w:before="68" w:after="68"/>
        <w:jc w:val="left"/>
        <w:rPr>
          <w:rFonts w:cs="宋体" w:asciiTheme="minorEastAsia" w:hAnsiTheme="minorEastAsia" w:eastAsiaTheme="minorEastAsia"/>
          <w:color w:val="auto"/>
          <w:kern w:val="0"/>
          <w:szCs w:val="21"/>
          <w:highlight w:val="none"/>
        </w:rPr>
      </w:pPr>
      <w:r>
        <w:rPr>
          <w:rFonts w:cs="宋体" w:asciiTheme="minorEastAsia" w:hAnsiTheme="minorEastAsia" w:eastAsiaTheme="minorEastAsia"/>
          <w:color w:val="auto"/>
          <w:kern w:val="0"/>
          <w:szCs w:val="21"/>
          <w:highlight w:val="none"/>
        </w:rPr>
        <w:t> </w:t>
      </w:r>
    </w:p>
    <w:p>
      <w:pPr>
        <w:spacing w:line="360" w:lineRule="exact"/>
        <w:ind w:firstLine="57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3.项目联系方式</w:t>
      </w:r>
      <w:bookmarkEnd w:id="7"/>
      <w:bookmarkEnd w:id="8"/>
      <w:bookmarkEnd w:id="9"/>
      <w:bookmarkEnd w:id="10"/>
    </w:p>
    <w:p>
      <w:pPr>
        <w:pStyle w:val="11"/>
        <w:spacing w:line="36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项目联系人：</w:t>
      </w:r>
      <w:r>
        <w:rPr>
          <w:rFonts w:hint="eastAsia" w:cs="宋体" w:asciiTheme="minorEastAsia" w:hAnsiTheme="minorEastAsia" w:eastAsiaTheme="minorEastAsia"/>
          <w:color w:val="auto"/>
          <w:szCs w:val="21"/>
          <w:highlight w:val="none"/>
          <w:u w:val="single"/>
        </w:rPr>
        <w:t>刘工</w:t>
      </w:r>
    </w:p>
    <w:p>
      <w:pPr>
        <w:spacing w:line="360" w:lineRule="exact"/>
        <w:ind w:firstLine="630" w:firstLineChars="300"/>
        <w:rPr>
          <w:rFonts w:hint="eastAsia" w:cs="宋体" w:asciiTheme="minorEastAsia" w:hAnsiTheme="minorEastAsia" w:eastAsiaTheme="minorEastAsia"/>
          <w:color w:val="auto"/>
          <w:szCs w:val="21"/>
          <w:highlight w:val="none"/>
          <w:u w:val="single"/>
          <w:lang w:eastAsia="zh-CN"/>
        </w:rPr>
      </w:pPr>
      <w:r>
        <w:rPr>
          <w:rFonts w:hint="eastAsia" w:cs="宋体" w:asciiTheme="minorEastAsia" w:hAnsiTheme="minorEastAsia" w:eastAsiaTheme="minorEastAsia"/>
          <w:color w:val="auto"/>
          <w:szCs w:val="21"/>
          <w:highlight w:val="none"/>
        </w:rPr>
        <w:t>电　　话：</w:t>
      </w:r>
      <w:r>
        <w:rPr>
          <w:rFonts w:hint="eastAsia" w:cs="宋体" w:asciiTheme="minorEastAsia" w:hAnsiTheme="minorEastAsia" w:eastAsiaTheme="minorEastAsia"/>
          <w:color w:val="auto"/>
          <w:szCs w:val="21"/>
          <w:highlight w:val="none"/>
          <w:u w:val="single"/>
        </w:rPr>
        <w:t xml:space="preserve">  </w:t>
      </w:r>
      <w:r>
        <w:rPr>
          <w:rFonts w:hint="eastAsia" w:cs="宋体" w:asciiTheme="minorEastAsia" w:hAnsiTheme="minorEastAsia" w:eastAsiaTheme="minorEastAsia"/>
          <w:color w:val="auto"/>
          <w:szCs w:val="21"/>
          <w:highlight w:val="none"/>
          <w:u w:val="single"/>
          <w:lang w:eastAsia="zh-CN"/>
        </w:rPr>
        <w:t>18078360291</w:t>
      </w:r>
    </w:p>
    <w:p>
      <w:pPr>
        <w:spacing w:line="360" w:lineRule="exact"/>
        <w:ind w:firstLine="578"/>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4.政府采购监督管理机构</w:t>
      </w:r>
    </w:p>
    <w:p>
      <w:pPr>
        <w:spacing w:line="38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名 称：</w:t>
      </w:r>
      <w:r>
        <w:rPr>
          <w:rFonts w:hint="eastAsia" w:cs="宋体" w:asciiTheme="minorEastAsia" w:hAnsiTheme="minorEastAsia" w:eastAsiaTheme="minorEastAsia"/>
          <w:color w:val="auto"/>
          <w:szCs w:val="21"/>
          <w:highlight w:val="none"/>
          <w:u w:val="single"/>
        </w:rPr>
        <w:t>桂林市财政局</w:t>
      </w:r>
    </w:p>
    <w:p>
      <w:pPr>
        <w:spacing w:line="380" w:lineRule="exact"/>
        <w:ind w:firstLine="630" w:firstLineChars="300"/>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联系方式：</w:t>
      </w:r>
      <w:r>
        <w:rPr>
          <w:rFonts w:hint="eastAsia" w:cs="宋体" w:asciiTheme="minorEastAsia" w:hAnsiTheme="minorEastAsia" w:eastAsiaTheme="minorEastAsia"/>
          <w:color w:val="auto"/>
          <w:szCs w:val="21"/>
          <w:highlight w:val="none"/>
          <w:u w:val="single"/>
        </w:rPr>
        <w:t>0773-2862142</w:t>
      </w:r>
    </w:p>
    <w:p>
      <w:pPr>
        <w:pStyle w:val="8"/>
        <w:rPr>
          <w:rFonts w:ascii="宋体" w:hAnsi="宋体" w:cs="宋体"/>
          <w:color w:val="auto"/>
          <w:highlight w:val="none"/>
        </w:rPr>
      </w:pPr>
    </w:p>
    <w:p>
      <w:pPr>
        <w:pStyle w:val="8"/>
        <w:rPr>
          <w:rFonts w:ascii="宋体" w:hAnsi="宋体" w:cs="宋体"/>
          <w:color w:val="auto"/>
          <w:highlight w:val="none"/>
        </w:rPr>
      </w:pPr>
    </w:p>
    <w:p>
      <w:pPr>
        <w:pStyle w:val="8"/>
        <w:rPr>
          <w:rFonts w:ascii="宋体" w:hAnsi="宋体" w:cs="宋体"/>
          <w:color w:val="auto"/>
          <w:highlight w:val="none"/>
        </w:rPr>
      </w:pPr>
    </w:p>
    <w:p>
      <w:pPr>
        <w:pStyle w:val="8"/>
        <w:rPr>
          <w:rFonts w:ascii="宋体" w:hAnsi="宋体" w:cs="宋体"/>
          <w:color w:val="auto"/>
          <w:highlight w:val="none"/>
        </w:rPr>
      </w:pPr>
    </w:p>
    <w:p>
      <w:pPr>
        <w:pStyle w:val="8"/>
        <w:rPr>
          <w:rFonts w:ascii="宋体" w:hAnsi="宋体" w:cs="宋体"/>
          <w:color w:val="auto"/>
          <w:highlight w:val="none"/>
        </w:rPr>
      </w:pPr>
    </w:p>
    <w:p>
      <w:pPr>
        <w:pStyle w:val="8"/>
        <w:rPr>
          <w:rFonts w:ascii="宋体" w:hAnsi="宋体" w:cs="宋体"/>
          <w:color w:val="auto"/>
          <w:highlight w:val="none"/>
        </w:rPr>
      </w:pPr>
    </w:p>
    <w:p>
      <w:pPr>
        <w:pStyle w:val="2"/>
        <w:spacing w:line="240" w:lineRule="auto"/>
        <w:jc w:val="center"/>
        <w:rPr>
          <w:rFonts w:ascii="宋体" w:hAnsi="宋体" w:cs="宋体"/>
          <w:color w:val="auto"/>
          <w:sz w:val="32"/>
          <w:szCs w:val="32"/>
          <w:highlight w:val="none"/>
        </w:rPr>
      </w:pPr>
      <w:bookmarkStart w:id="11" w:name="_Toc155802439"/>
      <w:r>
        <w:rPr>
          <w:rFonts w:hint="eastAsia" w:ascii="宋体" w:hAnsi="宋体" w:cs="宋体"/>
          <w:color w:val="auto"/>
          <w:sz w:val="32"/>
          <w:szCs w:val="32"/>
          <w:highlight w:val="none"/>
        </w:rPr>
        <w:t>第二章 供应商须知</w:t>
      </w:r>
      <w:bookmarkEnd w:id="0"/>
      <w:bookmarkEnd w:id="1"/>
      <w:bookmarkEnd w:id="11"/>
    </w:p>
    <w:p>
      <w:pPr>
        <w:pStyle w:val="3"/>
        <w:jc w:val="center"/>
        <w:rPr>
          <w:rFonts w:ascii="宋体" w:hAnsi="宋体" w:cs="宋体"/>
          <w:b/>
          <w:bCs w:val="0"/>
          <w:color w:val="auto"/>
          <w:sz w:val="24"/>
          <w:szCs w:val="24"/>
          <w:highlight w:val="none"/>
        </w:rPr>
      </w:pPr>
      <w:bookmarkStart w:id="12" w:name="_Toc155802440"/>
      <w:bookmarkStart w:id="13" w:name="_Toc9508"/>
      <w:bookmarkStart w:id="14" w:name="_Toc25063"/>
      <w:bookmarkStart w:id="15" w:name="_Toc13547"/>
      <w:r>
        <w:rPr>
          <w:rFonts w:hint="eastAsia" w:ascii="宋体" w:hAnsi="宋体" w:cs="宋体"/>
          <w:b/>
          <w:bCs w:val="0"/>
          <w:color w:val="auto"/>
          <w:sz w:val="24"/>
          <w:szCs w:val="24"/>
          <w:highlight w:val="none"/>
        </w:rPr>
        <w:t>供 应 商 须 知 前 附 表</w:t>
      </w:r>
      <w:bookmarkEnd w:id="12"/>
      <w:bookmarkEnd w:id="13"/>
      <w:bookmarkEnd w:id="14"/>
      <w:bookmarkEnd w:id="15"/>
    </w:p>
    <w:tbl>
      <w:tblPr>
        <w:tblStyle w:val="21"/>
        <w:tblW w:w="102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942"/>
        <w:gridCol w:w="1775"/>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条款名称</w:t>
            </w:r>
          </w:p>
        </w:tc>
        <w:tc>
          <w:tcPr>
            <w:tcW w:w="691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项目名称及项目编号</w:t>
            </w:r>
          </w:p>
        </w:tc>
        <w:tc>
          <w:tcPr>
            <w:tcW w:w="6912" w:type="dxa"/>
          </w:tcPr>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项目名称：桂林市公安局秀峰分局食堂食材定点采购项目</w:t>
            </w:r>
          </w:p>
          <w:p>
            <w:pPr>
              <w:spacing w:line="360" w:lineRule="auto"/>
              <w:jc w:val="left"/>
              <w:rPr>
                <w:rFonts w:ascii="宋体" w:hAnsi="宋体" w:cs="宋体"/>
                <w:color w:val="auto"/>
                <w:highlight w:val="none"/>
              </w:rPr>
            </w:pPr>
            <w:r>
              <w:rPr>
                <w:rFonts w:hint="eastAsia" w:ascii="宋体" w:hAnsi="宋体" w:cs="宋体"/>
                <w:color w:val="auto"/>
                <w:szCs w:val="21"/>
                <w:highlight w:val="none"/>
              </w:rPr>
              <w:t>项目编号：GLZC2024-C3-990013-GXAZ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w:t>
            </w:r>
          </w:p>
        </w:tc>
        <w:tc>
          <w:tcPr>
            <w:tcW w:w="6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3.1符合《中华人民共和国政府采购法》第二十二条和《政府采购法实施条例》第十八条规定，具备合法资格的供应商；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3.2本项目不接受联合体参与磋商；</w:t>
            </w:r>
          </w:p>
          <w:p>
            <w:pPr>
              <w:spacing w:line="360" w:lineRule="auto"/>
              <w:rPr>
                <w:rFonts w:ascii="宋体" w:hAnsi="宋体" w:cs="宋体"/>
                <w:color w:val="auto"/>
                <w:szCs w:val="21"/>
                <w:highlight w:val="none"/>
              </w:rPr>
            </w:pPr>
            <w:r>
              <w:rPr>
                <w:rFonts w:hint="eastAsia" w:ascii="宋体" w:hAnsi="宋体" w:cs="宋体"/>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360" w:lineRule="exact"/>
              <w:rPr>
                <w:rFonts w:ascii="宋体" w:hAnsi="宋体" w:cs="宋体"/>
                <w:bCs/>
                <w:color w:val="auto"/>
                <w:szCs w:val="21"/>
                <w:highlight w:val="none"/>
              </w:rPr>
            </w:pPr>
            <w:r>
              <w:rPr>
                <w:rFonts w:hint="eastAsia" w:ascii="宋体" w:hAnsi="宋体" w:cs="宋体"/>
                <w:color w:val="auto"/>
                <w:szCs w:val="21"/>
                <w:highlight w:val="none"/>
              </w:rPr>
              <w:t>3.4落实政府采购政策需满足的资格要求：本项目专门面向</w:t>
            </w:r>
            <w:r>
              <w:rPr>
                <w:rFonts w:hint="eastAsia" w:ascii="宋体" w:hAnsi="宋体" w:cs="宋体"/>
                <w:bCs/>
                <w:color w:val="auto"/>
                <w:szCs w:val="21"/>
                <w:highlight w:val="none"/>
                <w:lang w:val="en-US" w:eastAsia="zh-CN"/>
              </w:rPr>
              <w:t>小微</w:t>
            </w:r>
            <w:r>
              <w:rPr>
                <w:rFonts w:hint="eastAsia" w:ascii="宋体" w:hAnsi="宋体" w:cs="宋体"/>
                <w:color w:val="auto"/>
                <w:szCs w:val="21"/>
                <w:highlight w:val="none"/>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pPr>
              <w:spacing w:line="360" w:lineRule="exact"/>
              <w:rPr>
                <w:rFonts w:ascii="宋体" w:hAnsi="宋体" w:cs="宋体"/>
                <w:color w:val="auto"/>
                <w:highlight w:val="none"/>
              </w:rPr>
            </w:pPr>
            <w:r>
              <w:rPr>
                <w:rFonts w:hint="eastAsia" w:ascii="宋体" w:hAnsi="宋体" w:cs="宋体"/>
                <w:color w:val="auto"/>
                <w:szCs w:val="21"/>
                <w:highlight w:val="none"/>
              </w:rPr>
              <w:t>3.5本项目的特定资格要求：供应商须具有相应有效的《食品生产许可证》或《食品经营许可证》</w:t>
            </w:r>
            <w:r>
              <w:rPr>
                <w:rFonts w:hint="eastAsia" w:ascii="宋体" w:hAnsi="宋体" w:cs="宋体"/>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磋商费用</w:t>
            </w:r>
          </w:p>
        </w:tc>
        <w:tc>
          <w:tcPr>
            <w:tcW w:w="6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不论磋商结果如何，供应商均应自行承担所有与磋商有关的全部费用。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w:t>
            </w:r>
          </w:p>
        </w:tc>
        <w:tc>
          <w:tcPr>
            <w:tcW w:w="942"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13</w:t>
            </w:r>
          </w:p>
        </w:tc>
        <w:tc>
          <w:tcPr>
            <w:tcW w:w="1775"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szCs w:val="21"/>
                <w:highlight w:val="none"/>
              </w:rPr>
              <w:t>磋商报价及采购预算金额</w:t>
            </w:r>
          </w:p>
        </w:tc>
        <w:tc>
          <w:tcPr>
            <w:tcW w:w="6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13.1</w:t>
            </w:r>
            <w:r>
              <w:rPr>
                <w:rFonts w:hint="eastAsia" w:ascii="宋体" w:hAnsi="宋体"/>
                <w:color w:val="auto"/>
                <w:szCs w:val="21"/>
                <w:highlight w:val="none"/>
              </w:rPr>
              <w:t>供应商必须就“采购需求”中要求配送的各类物资作完整唯一综合折扣率（%）报价。在服务期限内，成交供应商的成交综合折扣率（%）不得以市场价格波动等情况进行调整，成交供应商应承担由此带来的相应风险。</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13.2各类物资综合折扣率（%）控制价如下：</w:t>
            </w:r>
          </w:p>
          <w:p>
            <w:pPr>
              <w:snapToGrid w:val="0"/>
              <w:spacing w:line="360" w:lineRule="auto"/>
              <w:jc w:val="left"/>
              <w:rPr>
                <w:rFonts w:ascii="宋体" w:hAnsi="宋体" w:cs="宋体"/>
                <w:color w:val="auto"/>
                <w:szCs w:val="21"/>
                <w:highlight w:val="none"/>
              </w:rPr>
            </w:pPr>
            <w:bookmarkStart w:id="16" w:name="_Hlk155800929"/>
            <w:r>
              <w:rPr>
                <w:rFonts w:hint="eastAsia" w:ascii="宋体" w:hAnsi="宋体" w:cs="宋体"/>
                <w:color w:val="auto"/>
                <w:szCs w:val="21"/>
                <w:highlight w:val="none"/>
              </w:rPr>
              <w:t>①肉、鸡鸭类、冻货、禽蛋类综合折扣率控制价：</w:t>
            </w:r>
            <w:r>
              <w:rPr>
                <w:rFonts w:ascii="宋体" w:hAnsi="宋体" w:cs="宋体"/>
                <w:color w:val="auto"/>
                <w:szCs w:val="21"/>
                <w:highlight w:val="none"/>
              </w:rPr>
              <w:t>90</w:t>
            </w:r>
            <w:r>
              <w:rPr>
                <w:rFonts w:hint="eastAsia" w:ascii="宋体" w:hAnsi="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②蔬菜类综合折扣率控制价：</w:t>
            </w:r>
            <w:r>
              <w:rPr>
                <w:rFonts w:ascii="宋体" w:hAnsi="宋体" w:cs="宋体"/>
                <w:color w:val="auto"/>
                <w:szCs w:val="21"/>
                <w:highlight w:val="none"/>
              </w:rPr>
              <w:t>88</w:t>
            </w:r>
            <w:r>
              <w:rPr>
                <w:rFonts w:hint="eastAsia" w:ascii="宋体" w:hAnsi="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③调味品干杂香料、食用油类、</w:t>
            </w:r>
            <w:r>
              <w:rPr>
                <w:rFonts w:hint="eastAsia" w:ascii="宋体" w:hAnsi="宋体" w:cs="仿宋"/>
                <w:color w:val="auto"/>
                <w:szCs w:val="21"/>
                <w:highlight w:val="none"/>
              </w:rPr>
              <w:t>副食品类</w:t>
            </w:r>
            <w:r>
              <w:rPr>
                <w:rFonts w:hint="eastAsia" w:ascii="宋体" w:hAnsi="宋体" w:cs="宋体"/>
                <w:color w:val="auto"/>
                <w:szCs w:val="21"/>
                <w:highlight w:val="none"/>
              </w:rPr>
              <w:t>综合折扣率控制价：88%；</w:t>
            </w:r>
          </w:p>
          <w:bookmarkEnd w:id="16"/>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供应商的各类物资磋商综合折扣率（%）报价不得高于上述相应各类物资综合折扣率（%）控制价，否则响应文件按无效处理。</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13.3磋商综合折扣率（%）报价应包含采购范围内的物资定点供应价款、所承诺的配送相关服务（含提供的物资、包装、运输、装卸、送货到位、检验等）、服务质量保障、保险、税金、利润、所承诺的优惠措施及所发生的各种服务的费用及其他所有费用，供应商应综合考虑进磋商报价中。</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13.4物资供应基础价格：物资供应基础价格优先参考广西桂林市发展和改革委员会网站中公布的近期《十二家市场农副产品价格采集表》、《桂林市市区部分居民基本生活消费品市场价格表》相关内容，广西桂林市发展和改革委员会网站中没有发布的物资价格由成交供应商根据市场调查，形成市场价格目录表提供给采购人，采购人根据其提供的市场价格目录表进行市场核价，双方按核查后的市场价格作为供应基础价格。本项目市场调查地点为农贸市场（如：</w:t>
            </w:r>
            <w:r>
              <w:rPr>
                <w:rFonts w:hint="eastAsia" w:ascii="宋体" w:hAnsi="宋体" w:cs="宋体"/>
                <w:color w:val="auto"/>
                <w:szCs w:val="21"/>
                <w:highlight w:val="none"/>
                <w:lang w:val="zh-TW" w:eastAsia="zh-TW" w:bidi="zh-TW"/>
              </w:rPr>
              <w:t>桂林市汇东批发市场</w:t>
            </w:r>
            <w:r>
              <w:rPr>
                <w:rFonts w:hint="eastAsia" w:ascii="宋体" w:hAnsi="宋体" w:cs="宋体"/>
                <w:color w:val="auto"/>
                <w:szCs w:val="21"/>
                <w:highlight w:val="none"/>
              </w:rPr>
              <w:t>、</w:t>
            </w:r>
            <w:r>
              <w:rPr>
                <w:rFonts w:hint="eastAsia" w:ascii="宋体" w:hAnsi="宋体" w:cs="宋体"/>
                <w:color w:val="auto"/>
                <w:szCs w:val="21"/>
                <w:highlight w:val="none"/>
                <w:lang w:val="zh-TW" w:eastAsia="zh-TW" w:bidi="zh-TW"/>
              </w:rPr>
              <w:t>桂林市北门冷冻厂</w:t>
            </w:r>
            <w:r>
              <w:rPr>
                <w:rFonts w:hint="eastAsia" w:ascii="宋体" w:hAnsi="宋体" w:cs="宋体"/>
                <w:color w:val="auto"/>
                <w:szCs w:val="21"/>
                <w:highlight w:val="none"/>
              </w:rPr>
              <w:t>、</w:t>
            </w:r>
            <w:r>
              <w:rPr>
                <w:rFonts w:hint="eastAsia" w:ascii="宋体" w:hAnsi="宋体" w:cs="宋体"/>
                <w:color w:val="auto"/>
                <w:szCs w:val="21"/>
                <w:highlight w:val="none"/>
                <w:lang w:val="zh-TW" w:eastAsia="zh-TW" w:bidi="zh-TW"/>
              </w:rPr>
              <w:t>七星</w:t>
            </w:r>
            <w:r>
              <w:rPr>
                <w:rFonts w:ascii="宋体" w:hAnsi="宋体" w:eastAsia="PMingLiU" w:cs="宋体"/>
                <w:color w:val="auto"/>
                <w:szCs w:val="21"/>
                <w:highlight w:val="none"/>
                <w:lang w:val="zh-TW" w:eastAsia="zh-TW" w:bidi="zh-TW"/>
              </w:rPr>
              <w:t>菜市</w:t>
            </w:r>
            <w:r>
              <w:rPr>
                <w:rFonts w:hint="eastAsia" w:ascii="宋体" w:hAnsi="宋体" w:cs="宋体"/>
                <w:color w:val="auto"/>
                <w:szCs w:val="21"/>
                <w:highlight w:val="none"/>
                <w:lang w:val="zh-TW" w:eastAsia="zh-TW" w:bidi="zh-TW"/>
              </w:rPr>
              <w:t>窑农贸</w:t>
            </w:r>
            <w:r>
              <w:rPr>
                <w:rFonts w:hint="eastAsia" w:ascii="宋体" w:hAnsi="宋体" w:cs="宋体"/>
                <w:color w:val="auto"/>
                <w:szCs w:val="21"/>
                <w:highlight w:val="none"/>
              </w:rPr>
              <w:t>等)。成交供应商在服务期限内认为物资供应价格受市场价格的变动，需要申请变动调整物资供应价格的，必须将详细调整内容申请上报采购人，采购人同意后方可调整。</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13.5结算方式：本项目服务期限内，相应类别的物资供应价款实际结算=相应类别的物资供应基础价格×数量×相应类别物资成交综合折扣率（%）。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c>
          <w:tcPr>
            <w:tcW w:w="942"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14.1</w:t>
            </w:r>
          </w:p>
        </w:tc>
        <w:tc>
          <w:tcPr>
            <w:tcW w:w="1775"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响应文件有效期</w:t>
            </w:r>
          </w:p>
        </w:tc>
        <w:tc>
          <w:tcPr>
            <w:tcW w:w="6912" w:type="dxa"/>
          </w:tcPr>
          <w:p>
            <w:pPr>
              <w:tabs>
                <w:tab w:val="left" w:pos="1305"/>
              </w:tabs>
              <w:spacing w:line="360" w:lineRule="auto"/>
              <w:rPr>
                <w:rFonts w:ascii="宋体" w:hAnsi="宋体" w:cs="宋体"/>
                <w:color w:val="auto"/>
                <w:szCs w:val="21"/>
                <w:highlight w:val="none"/>
              </w:rPr>
            </w:pPr>
            <w:r>
              <w:rPr>
                <w:rFonts w:hint="eastAsia" w:ascii="宋体" w:hAnsi="宋体" w:cs="宋体"/>
                <w:color w:val="auto"/>
                <w:szCs w:val="21"/>
                <w:highlight w:val="none"/>
              </w:rPr>
              <w:t>响应文件递交截止时间之日起90天，有效期不足的响应文件将被拒绝。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w:t>
            </w:r>
          </w:p>
        </w:tc>
        <w:tc>
          <w:tcPr>
            <w:tcW w:w="942"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15</w:t>
            </w:r>
          </w:p>
        </w:tc>
        <w:tc>
          <w:tcPr>
            <w:tcW w:w="1775"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保证金</w:t>
            </w:r>
          </w:p>
        </w:tc>
        <w:tc>
          <w:tcPr>
            <w:tcW w:w="6912" w:type="dxa"/>
          </w:tcPr>
          <w:p>
            <w:pPr>
              <w:tabs>
                <w:tab w:val="left" w:pos="1305"/>
              </w:tabs>
              <w:spacing w:line="360" w:lineRule="auto"/>
              <w:rPr>
                <w:rFonts w:ascii="宋体" w:hAnsi="宋体" w:cs="宋体"/>
                <w:color w:val="auto"/>
                <w:szCs w:val="21"/>
                <w:highlight w:val="none"/>
              </w:rPr>
            </w:pPr>
            <w:r>
              <w:rPr>
                <w:rFonts w:hint="eastAsia" w:ascii="宋体" w:hAnsi="宋体" w:cs="宋体"/>
                <w:b/>
                <w:bCs/>
                <w:color w:val="auto"/>
                <w:szCs w:val="21"/>
                <w:highlight w:val="none"/>
              </w:rPr>
              <w:t>本项目无需缴纳磋商保证金。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1775" w:type="dxa"/>
            <w:vAlign w:val="center"/>
          </w:tcPr>
          <w:p>
            <w:pPr>
              <w:pStyle w:val="4"/>
              <w:spacing w:line="360" w:lineRule="auto"/>
              <w:jc w:val="center"/>
              <w:rPr>
                <w:rFonts w:ascii="宋体" w:hAnsi="宋体" w:cs="宋体"/>
                <w:b w:val="0"/>
                <w:bCs/>
                <w:color w:val="auto"/>
                <w:sz w:val="21"/>
                <w:szCs w:val="21"/>
                <w:highlight w:val="none"/>
              </w:rPr>
            </w:pPr>
            <w:bookmarkStart w:id="17" w:name="_Toc155802441"/>
            <w:bookmarkStart w:id="18" w:name="_Toc19911"/>
            <w:bookmarkStart w:id="19" w:name="_Toc27452"/>
            <w:r>
              <w:rPr>
                <w:rFonts w:hint="eastAsia" w:ascii="宋体" w:hAnsi="宋体" w:cs="宋体"/>
                <w:b w:val="0"/>
                <w:bCs/>
                <w:color w:val="auto"/>
                <w:sz w:val="21"/>
                <w:szCs w:val="21"/>
                <w:highlight w:val="none"/>
              </w:rPr>
              <w:t>竞争性磋商响应文件的制作</w:t>
            </w:r>
            <w:bookmarkEnd w:id="17"/>
            <w:bookmarkEnd w:id="18"/>
            <w:bookmarkEnd w:id="19"/>
          </w:p>
          <w:p>
            <w:pPr>
              <w:spacing w:line="360" w:lineRule="auto"/>
              <w:jc w:val="center"/>
              <w:rPr>
                <w:rFonts w:ascii="宋体" w:hAnsi="宋体" w:cs="宋体"/>
                <w:color w:val="auto"/>
                <w:szCs w:val="21"/>
                <w:highlight w:val="none"/>
              </w:rPr>
            </w:pPr>
          </w:p>
        </w:tc>
        <w:tc>
          <w:tcPr>
            <w:tcW w:w="6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8</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18.1</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响应文件递交截止时间</w:t>
            </w:r>
          </w:p>
        </w:tc>
        <w:tc>
          <w:tcPr>
            <w:tcW w:w="6912" w:type="dxa"/>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u w:val="single"/>
              </w:rPr>
              <w:t>于</w:t>
            </w:r>
            <w:r>
              <w:rPr>
                <w:rFonts w:hint="eastAsia" w:ascii="宋体" w:hAnsi="宋体" w:cs="宋体"/>
                <w:color w:val="auto"/>
                <w:szCs w:val="21"/>
                <w:highlight w:val="none"/>
                <w:u w:val="single"/>
                <w:lang w:eastAsia="zh-CN"/>
              </w:rPr>
              <w:t>2024年2月2日</w:t>
            </w:r>
            <w:r>
              <w:rPr>
                <w:rFonts w:hint="eastAsia" w:ascii="宋体" w:hAnsi="宋体" w:cs="宋体"/>
                <w:color w:val="auto"/>
                <w:szCs w:val="21"/>
                <w:highlight w:val="none"/>
                <w:u w:val="single"/>
              </w:rPr>
              <w:t>上午9时30分</w:t>
            </w:r>
            <w:r>
              <w:rPr>
                <w:rFonts w:hint="eastAsia" w:ascii="宋体" w:hAnsi="宋体" w:cs="宋体"/>
                <w:color w:val="auto"/>
                <w:szCs w:val="21"/>
                <w:highlight w:val="none"/>
              </w:rPr>
              <w:t>之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2"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9</w:t>
            </w:r>
          </w:p>
        </w:tc>
        <w:tc>
          <w:tcPr>
            <w:tcW w:w="942"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position w:val="-2"/>
                <w:szCs w:val="21"/>
                <w:highlight w:val="none"/>
              </w:rPr>
              <w:t>18.2</w:t>
            </w:r>
          </w:p>
        </w:tc>
        <w:tc>
          <w:tcPr>
            <w:tcW w:w="1775" w:type="dxa"/>
            <w:vAlign w:val="center"/>
          </w:tcPr>
          <w:p>
            <w:pPr>
              <w:spacing w:line="360" w:lineRule="auto"/>
              <w:jc w:val="center"/>
              <w:rPr>
                <w:rFonts w:ascii="宋体" w:hAnsi="宋体" w:cs="宋体"/>
                <w:color w:val="auto"/>
                <w:position w:val="-2"/>
                <w:szCs w:val="21"/>
                <w:highlight w:val="none"/>
              </w:rPr>
            </w:pPr>
            <w:r>
              <w:rPr>
                <w:rFonts w:hint="eastAsia" w:ascii="宋体" w:hAnsi="宋体" w:cs="宋体"/>
                <w:color w:val="auto"/>
                <w:szCs w:val="21"/>
                <w:highlight w:val="none"/>
              </w:rPr>
              <w:t>磋商响应文件解密时间及地点</w:t>
            </w:r>
          </w:p>
        </w:tc>
        <w:tc>
          <w:tcPr>
            <w:tcW w:w="6912" w:type="dxa"/>
            <w:vAlign w:val="center"/>
          </w:tcPr>
          <w:p>
            <w:pPr>
              <w:pStyle w:val="7"/>
              <w:spacing w:line="360" w:lineRule="auto"/>
              <w:rPr>
                <w:rFonts w:ascii="宋体" w:hAnsi="宋体" w:cs="宋体"/>
                <w:color w:val="auto"/>
                <w:highlight w:val="none"/>
              </w:rPr>
            </w:pPr>
            <w:r>
              <w:rPr>
                <w:rFonts w:hint="eastAsia" w:ascii="宋体" w:hAnsi="宋体" w:cs="宋体"/>
                <w:color w:val="auto"/>
                <w:szCs w:val="21"/>
                <w:highlight w:val="none"/>
              </w:rPr>
              <w:t>磋商响应文件解密时间</w:t>
            </w:r>
            <w:r>
              <w:rPr>
                <w:rFonts w:hint="eastAsia" w:ascii="宋体" w:hAnsi="宋体" w:cs="宋体"/>
                <w:color w:val="auto"/>
                <w:highlight w:val="none"/>
              </w:rPr>
              <w:t>：截标时间后</w:t>
            </w:r>
            <w:r>
              <w:rPr>
                <w:rFonts w:hint="eastAsia" w:ascii="宋体" w:hAnsi="宋体" w:cs="宋体"/>
                <w:color w:val="auto"/>
                <w:highlight w:val="none"/>
                <w:u w:val="single"/>
              </w:rPr>
              <w:t>30</w:t>
            </w:r>
            <w:r>
              <w:rPr>
                <w:rFonts w:hint="eastAsia" w:ascii="宋体" w:hAnsi="宋体" w:cs="宋体"/>
                <w:color w:val="auto"/>
                <w:highlight w:val="none"/>
              </w:rPr>
              <w:t>分钟内（</w:t>
            </w:r>
            <w:r>
              <w:rPr>
                <w:rFonts w:hint="eastAsia" w:ascii="宋体" w:hAnsi="宋体" w:cs="宋体"/>
                <w:color w:val="auto"/>
                <w:szCs w:val="21"/>
                <w:highlight w:val="none"/>
                <w:u w:val="single"/>
                <w:lang w:eastAsia="zh-CN"/>
              </w:rPr>
              <w:t>2024年2月2日</w:t>
            </w:r>
            <w:r>
              <w:rPr>
                <w:rFonts w:hint="eastAsia" w:ascii="宋体" w:hAnsi="宋体" w:cs="宋体"/>
                <w:color w:val="auto"/>
                <w:szCs w:val="21"/>
                <w:highlight w:val="none"/>
                <w:u w:val="single"/>
              </w:rPr>
              <w:t>上午9时30分</w:t>
            </w:r>
            <w:r>
              <w:rPr>
                <w:rFonts w:hint="eastAsia" w:ascii="宋体" w:hAnsi="宋体" w:cs="宋体"/>
                <w:color w:val="auto"/>
                <w:highlight w:val="none"/>
                <w:u w:val="single"/>
              </w:rPr>
              <w:t>至10时00分</w:t>
            </w:r>
            <w:r>
              <w:rPr>
                <w:rFonts w:hint="eastAsia" w:ascii="宋体" w:hAnsi="宋体" w:cs="宋体"/>
                <w:color w:val="auto"/>
                <w:highlight w:val="none"/>
              </w:rPr>
              <w:t>)磋商供</w:t>
            </w:r>
            <w:r>
              <w:rPr>
                <w:rFonts w:hint="eastAsia" w:ascii="宋体" w:hAnsi="宋体" w:cs="宋体"/>
                <w:color w:val="auto"/>
                <w:szCs w:val="21"/>
                <w:highlight w:val="none"/>
              </w:rPr>
              <w:t>应商可以登录政采云平台，用“项目采购-开标评标”功能进行解密磋商响应文件。</w:t>
            </w:r>
          </w:p>
          <w:p>
            <w:pPr>
              <w:pStyle w:val="7"/>
              <w:spacing w:line="360" w:lineRule="auto"/>
              <w:rPr>
                <w:rFonts w:ascii="宋体" w:hAnsi="宋体" w:cs="宋体"/>
                <w:color w:val="auto"/>
                <w:szCs w:val="21"/>
                <w:highlight w:val="none"/>
              </w:rPr>
            </w:pPr>
            <w:r>
              <w:rPr>
                <w:rFonts w:hint="eastAsia" w:ascii="宋体" w:hAnsi="宋体" w:cs="宋体"/>
                <w:b/>
                <w:bCs/>
                <w:color w:val="auto"/>
                <w:szCs w:val="21"/>
                <w:highlight w:val="none"/>
              </w:rPr>
              <w:t>注：投标文件网上递交截止时间后，各投标人须在解密时限内对上传政采云的投标文件进行解密，所有投标人在规定的解密时限内解密完成或解密时限结束后，我中心开启已解密的响应文件。投标人超过解密时限未解密的，系统默认自动放弃，造成投标无效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10</w:t>
            </w:r>
          </w:p>
        </w:tc>
        <w:tc>
          <w:tcPr>
            <w:tcW w:w="942" w:type="dxa"/>
            <w:vAlign w:val="center"/>
          </w:tcPr>
          <w:p>
            <w:pPr>
              <w:spacing w:line="360" w:lineRule="auto"/>
              <w:ind w:firstLine="105" w:firstLineChars="50"/>
              <w:jc w:val="center"/>
              <w:rPr>
                <w:rFonts w:ascii="宋体" w:hAnsi="宋体" w:cs="宋体"/>
                <w:color w:val="auto"/>
                <w:position w:val="-2"/>
                <w:szCs w:val="21"/>
                <w:highlight w:val="none"/>
              </w:rPr>
            </w:pPr>
            <w:r>
              <w:rPr>
                <w:rFonts w:hint="eastAsia" w:ascii="宋体" w:hAnsi="宋体" w:cs="宋体"/>
                <w:color w:val="auto"/>
                <w:position w:val="-2"/>
                <w:szCs w:val="21"/>
                <w:highlight w:val="none"/>
              </w:rPr>
              <w:t>19.1</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磋商小组组成</w:t>
            </w:r>
          </w:p>
        </w:tc>
        <w:tc>
          <w:tcPr>
            <w:tcW w:w="6912" w:type="dxa"/>
            <w:vAlign w:val="center"/>
          </w:tcPr>
          <w:p>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auto"/>
                <w:szCs w:val="21"/>
                <w:highlight w:val="none"/>
                <w:u w:val="single"/>
              </w:rPr>
              <w:t xml:space="preserve">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人，评审专家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11</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19.2</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磋商时间、地点、人员</w:t>
            </w:r>
          </w:p>
        </w:tc>
        <w:tc>
          <w:tcPr>
            <w:tcW w:w="6912" w:type="dxa"/>
          </w:tcPr>
          <w:p>
            <w:pPr>
              <w:spacing w:line="360" w:lineRule="auto"/>
              <w:ind w:left="315" w:hanging="315" w:hangingChars="150"/>
              <w:jc w:val="left"/>
              <w:rPr>
                <w:rFonts w:ascii="宋体" w:hAnsi="宋体" w:cs="宋体"/>
                <w:color w:val="auto"/>
                <w:szCs w:val="21"/>
                <w:highlight w:val="none"/>
              </w:rPr>
            </w:pPr>
            <w:r>
              <w:rPr>
                <w:rFonts w:hint="eastAsia" w:ascii="宋体" w:hAnsi="宋体" w:cs="宋体"/>
                <w:color w:val="auto"/>
                <w:szCs w:val="21"/>
                <w:highlight w:val="none"/>
              </w:rPr>
              <w:t>19.2.1磋商时间：响应文件递交截止时间后。</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19.2.2磋商地点：本项目需要磋商供应商代表在截标当天截标后，按磋商小组要求及时登陆政采云平台等候在线磋商。</w:t>
            </w:r>
          </w:p>
          <w:p>
            <w:pPr>
              <w:spacing w:line="360" w:lineRule="auto"/>
              <w:ind w:left="15" w:hanging="14" w:hangingChars="7"/>
              <w:jc w:val="left"/>
              <w:rPr>
                <w:rFonts w:ascii="宋体" w:hAnsi="宋体" w:cs="宋体"/>
                <w:color w:val="auto"/>
                <w:szCs w:val="21"/>
                <w:highlight w:val="none"/>
              </w:rPr>
            </w:pPr>
            <w:r>
              <w:rPr>
                <w:rFonts w:hint="eastAsia" w:ascii="宋体" w:hAnsi="宋体" w:cs="宋体"/>
                <w:color w:val="auto"/>
                <w:szCs w:val="21"/>
                <w:highlight w:val="none"/>
              </w:rPr>
              <w:t>19.2.3磋商参加人员：供应商法定代表人、负责人、自然人或相应的委托代理人持有效身份证原件和供应商政采云平台CA数字证书参加磋商。请供应商按时到达指定地点等候磋商。</w:t>
            </w:r>
          </w:p>
          <w:p>
            <w:pPr>
              <w:tabs>
                <w:tab w:val="left" w:pos="1140"/>
              </w:tabs>
              <w:spacing w:line="360" w:lineRule="auto"/>
              <w:jc w:val="left"/>
              <w:rPr>
                <w:rFonts w:ascii="宋体" w:hAnsi="宋体" w:cs="宋体"/>
                <w:color w:val="auto"/>
                <w:szCs w:val="21"/>
                <w:highlight w:val="none"/>
              </w:rPr>
            </w:pPr>
            <w:r>
              <w:rPr>
                <w:rFonts w:hint="eastAsia" w:ascii="宋体" w:hAnsi="宋体" w:cs="宋体"/>
                <w:color w:val="auto"/>
                <w:szCs w:val="21"/>
                <w:highlight w:val="none"/>
              </w:rPr>
              <w:t>19.2.4响应文件递交截止时间后，由磋商小组在评标室内线上开启响应文件。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kern w:val="0"/>
                <w:szCs w:val="21"/>
                <w:highlight w:val="none"/>
              </w:rPr>
              <w:t>12</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20.2</w:t>
            </w:r>
          </w:p>
        </w:tc>
        <w:tc>
          <w:tcPr>
            <w:tcW w:w="1775" w:type="dxa"/>
            <w:vAlign w:val="center"/>
          </w:tcPr>
          <w:p>
            <w:pPr>
              <w:pStyle w:val="11"/>
              <w:spacing w:line="360" w:lineRule="auto"/>
              <w:jc w:val="center"/>
              <w:rPr>
                <w:rFonts w:hAnsi="宋体" w:cs="宋体"/>
                <w:color w:val="auto"/>
                <w:kern w:val="0"/>
                <w:szCs w:val="21"/>
                <w:highlight w:val="none"/>
              </w:rPr>
            </w:pPr>
            <w:r>
              <w:rPr>
                <w:rFonts w:hint="eastAsia" w:hAnsi="宋体" w:cs="宋体"/>
                <w:color w:val="auto"/>
                <w:kern w:val="0"/>
                <w:szCs w:val="21"/>
                <w:highlight w:val="none"/>
              </w:rPr>
              <w:t>评审办法</w:t>
            </w:r>
          </w:p>
        </w:tc>
        <w:tc>
          <w:tcPr>
            <w:tcW w:w="6912" w:type="dxa"/>
            <w:vAlign w:val="center"/>
          </w:tcPr>
          <w:p>
            <w:pPr>
              <w:tabs>
                <w:tab w:val="left" w:pos="1140"/>
              </w:tabs>
              <w:spacing w:line="360" w:lineRule="auto"/>
              <w:rPr>
                <w:rFonts w:ascii="宋体" w:hAnsi="宋体" w:cs="宋体"/>
                <w:color w:val="auto"/>
                <w:szCs w:val="21"/>
                <w:highlight w:val="none"/>
              </w:rPr>
            </w:pPr>
            <w:r>
              <w:rPr>
                <w:rFonts w:hint="eastAsia" w:ascii="宋体" w:hAnsi="宋体" w:cs="宋体"/>
                <w:color w:val="auto"/>
                <w:szCs w:val="21"/>
                <w:highlight w:val="none"/>
              </w:rPr>
              <w:t>具体详见第四章评审办法。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13</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信用查询</w:t>
            </w:r>
          </w:p>
        </w:tc>
        <w:tc>
          <w:tcPr>
            <w:tcW w:w="6912" w:type="dxa"/>
            <w:vAlign w:val="center"/>
          </w:tcPr>
          <w:p>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w:t>
            </w:r>
            <w:r>
              <w:rPr>
                <w:rFonts w:hint="eastAsia"/>
                <w:color w:val="auto"/>
                <w:highlight w:val="none"/>
              </w:rPr>
              <w:t>号</w:t>
            </w:r>
            <w:r>
              <w:rPr>
                <w:rFonts w:hint="eastAsia" w:ascii="宋体" w:hAnsi="宋体" w:cs="宋体"/>
                <w:color w:val="auto"/>
                <w:szCs w:val="21"/>
                <w:highlight w:val="none"/>
              </w:rPr>
              <w:t>），由采购代理机构对第一成交候选人进行信用查询：</w:t>
            </w:r>
          </w:p>
          <w:p>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⑴查询渠道：“信用中国”网站(www.creditchina.gov.cn)、中国政府采购网(www.ccgp.gov.cn)等；</w:t>
            </w:r>
          </w:p>
          <w:p>
            <w:pPr>
              <w:spacing w:line="360" w:lineRule="auto"/>
              <w:ind w:left="315" w:hanging="315" w:hangingChars="150"/>
              <w:rPr>
                <w:rFonts w:ascii="宋体" w:hAnsi="宋体" w:cs="宋体"/>
                <w:color w:val="auto"/>
                <w:szCs w:val="21"/>
                <w:highlight w:val="none"/>
              </w:rPr>
            </w:pPr>
            <w:r>
              <w:rPr>
                <w:rFonts w:hint="eastAsia" w:ascii="宋体" w:hAnsi="宋体" w:cs="宋体"/>
                <w:color w:val="auto"/>
                <w:szCs w:val="21"/>
                <w:highlight w:val="none"/>
              </w:rPr>
              <w:t>⑵查询时间：成交通知书发出前；</w:t>
            </w:r>
          </w:p>
          <w:p>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⑶信用信息查询记录和证据留存方式：在查询网站中直接打印查询记录，打印材料作为采购活动资料保存；</w:t>
            </w:r>
          </w:p>
          <w:p>
            <w:pPr>
              <w:spacing w:line="360" w:lineRule="auto"/>
              <w:ind w:left="15" w:hanging="14" w:hangingChars="7"/>
              <w:rPr>
                <w:rFonts w:ascii="宋体" w:hAnsi="宋体" w:cs="宋体"/>
                <w:color w:val="auto"/>
                <w:szCs w:val="21"/>
                <w:highlight w:val="none"/>
              </w:rPr>
            </w:pPr>
            <w:r>
              <w:rPr>
                <w:rFonts w:hint="eastAsia" w:ascii="宋体" w:hAnsi="宋体" w:cs="宋体"/>
                <w:color w:val="auto"/>
                <w:szCs w:val="21"/>
                <w:highlight w:val="none"/>
              </w:rPr>
              <w:t>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采购人依法按照评审报告中磋商小组推荐成交候选人排序表确定排名第二的成交候选人为成交供应商或者重新组织采购。</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14</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27</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成交结果公告</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及成交通知书</w:t>
            </w:r>
          </w:p>
        </w:tc>
        <w:tc>
          <w:tcPr>
            <w:tcW w:w="6912"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27.1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360" w:lineRule="auto"/>
              <w:rPr>
                <w:rFonts w:ascii="宋体" w:hAnsi="宋体" w:cs="宋体"/>
                <w:color w:val="auto"/>
                <w:szCs w:val="21"/>
                <w:highlight w:val="none"/>
              </w:rPr>
            </w:pPr>
            <w:r>
              <w:rPr>
                <w:rFonts w:hint="eastAsia" w:ascii="宋体" w:hAnsi="宋体" w:cs="宋体"/>
                <w:color w:val="auto"/>
                <w:szCs w:val="21"/>
                <w:highlight w:val="none"/>
              </w:rPr>
              <w:t>27.2在发布成交公告的同时，采购代理机构向成交供应商发出成交通知书。成交供应商自接到通知之日起七个工作日内，办理成交通知书领取手续。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912" w:type="dxa"/>
            <w:vAlign w:val="center"/>
          </w:tcPr>
          <w:p>
            <w:pPr>
              <w:widowControl/>
              <w:jc w:val="left"/>
              <w:rPr>
                <w:rFonts w:ascii="宋体" w:hAnsi="宋体" w:cs="宋体"/>
                <w:color w:val="auto"/>
                <w:szCs w:val="21"/>
                <w:highlight w:val="none"/>
              </w:rPr>
            </w:pPr>
            <w:r>
              <w:rPr>
                <w:rFonts w:hint="eastAsia" w:ascii="宋体" w:hAnsi="宋体" w:cs="宋体"/>
                <w:bCs/>
                <w:color w:val="auto"/>
                <w:kern w:val="0"/>
                <w:szCs w:val="21"/>
                <w:highlight w:val="none"/>
              </w:rPr>
              <w:t>本项目无需缴纳履约保证金。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签订合同时间</w:t>
            </w:r>
          </w:p>
        </w:tc>
        <w:tc>
          <w:tcPr>
            <w:tcW w:w="6912" w:type="dxa"/>
          </w:tcPr>
          <w:p>
            <w:pPr>
              <w:spacing w:line="360" w:lineRule="auto"/>
              <w:rPr>
                <w:rFonts w:ascii="宋体" w:hAnsi="宋体" w:cs="宋体"/>
                <w:color w:val="auto"/>
                <w:szCs w:val="21"/>
                <w:highlight w:val="none"/>
              </w:rPr>
            </w:pPr>
            <w:r>
              <w:rPr>
                <w:rFonts w:hint="eastAsia" w:ascii="宋体" w:hAnsi="宋体" w:cs="宋体"/>
                <w:bCs/>
                <w:color w:val="auto"/>
                <w:kern w:val="0"/>
                <w:szCs w:val="21"/>
                <w:highlight w:val="none"/>
              </w:rPr>
              <w:t>成交通知书发出之日起八个工作日内签订合同</w:t>
            </w:r>
            <w:r>
              <w:rPr>
                <w:rFonts w:hint="eastAsia" w:ascii="宋体" w:hAnsi="宋体" w:cs="宋体"/>
                <w:color w:val="auto"/>
                <w:highlight w:val="none"/>
              </w:rPr>
              <w:t>。</w:t>
            </w:r>
            <w:r>
              <w:rPr>
                <w:rFonts w:hint="eastAsia" w:ascii="宋体" w:hAnsi="宋体" w:cs="宋体"/>
                <w:color w:val="auto"/>
                <w:szCs w:val="21"/>
                <w:highlight w:val="none"/>
              </w:rPr>
              <w:t>成交供应商领取成交通知书后，应按规定与采购人签订合同。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29.3</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合同备案存档</w:t>
            </w:r>
          </w:p>
        </w:tc>
        <w:tc>
          <w:tcPr>
            <w:tcW w:w="6912" w:type="dxa"/>
            <w:vAlign w:val="center"/>
          </w:tcPr>
          <w:p>
            <w:pPr>
              <w:spacing w:line="360" w:lineRule="auto"/>
              <w:rPr>
                <w:rFonts w:ascii="宋体" w:hAnsi="宋体" w:cs="宋体"/>
                <w:color w:val="auto"/>
                <w:szCs w:val="21"/>
                <w:highlight w:val="none"/>
              </w:rPr>
            </w:pPr>
            <w:r>
              <w:rPr>
                <w:rFonts w:hint="eastAsia" w:ascii="宋体" w:hAnsi="宋体"/>
                <w:color w:val="auto"/>
                <w:highlight w:val="none"/>
              </w:rPr>
              <w:t>政府采购合同双方自签订之日起1个工作日内将合同原件两份交采购代理机构。采购代理机构将政府采购合同在省级以上人民政府财政部门指定媒体上公告并于合同签订之日起七个工作日内将一份合同原件送桂林市财政局备案，一份由采购代理机构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18</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30</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912" w:type="dxa"/>
          </w:tcPr>
          <w:p>
            <w:pPr>
              <w:spacing w:line="360" w:lineRule="auto"/>
              <w:rPr>
                <w:rFonts w:ascii="宋体" w:hAnsi="宋体" w:cs="宋体"/>
                <w:color w:val="auto"/>
                <w:szCs w:val="21"/>
                <w:highlight w:val="none"/>
              </w:rPr>
            </w:pPr>
            <w:r>
              <w:rPr>
                <w:rFonts w:hint="eastAsia" w:ascii="宋体" w:hAnsi="宋体"/>
                <w:color w:val="auto"/>
                <w:szCs w:val="21"/>
                <w:highlight w:val="none"/>
              </w:rPr>
              <w:t>本项目的采购代理服务收费标准按计价格[2002]1980号《招标代理服务收费管理暂行办法》服务类收费标准和发改办价格[2003]857号文的规定向成交磋商供应商收取。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解释权</w:t>
            </w:r>
          </w:p>
        </w:tc>
        <w:tc>
          <w:tcPr>
            <w:tcW w:w="6912" w:type="dxa"/>
          </w:tcPr>
          <w:p>
            <w:pPr>
              <w:spacing w:line="360" w:lineRule="auto"/>
              <w:rPr>
                <w:rFonts w:ascii="宋体" w:hAnsi="宋体" w:cs="宋体"/>
                <w:color w:val="auto"/>
                <w:szCs w:val="21"/>
                <w:highlight w:val="none"/>
              </w:rPr>
            </w:pPr>
            <w:r>
              <w:rPr>
                <w:rFonts w:hint="eastAsia" w:ascii="宋体" w:hAnsi="宋体" w:cs="宋体"/>
                <w:color w:val="auto"/>
                <w:highlight w:val="none"/>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6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w:t>
            </w:r>
          </w:p>
        </w:tc>
        <w:tc>
          <w:tcPr>
            <w:tcW w:w="94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w:t>
            </w:r>
          </w:p>
        </w:tc>
        <w:tc>
          <w:tcPr>
            <w:tcW w:w="177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监督管理机构</w:t>
            </w:r>
          </w:p>
        </w:tc>
        <w:tc>
          <w:tcPr>
            <w:tcW w:w="6912" w:type="dxa"/>
            <w:vAlign w:val="center"/>
          </w:tcPr>
          <w:p>
            <w:pPr>
              <w:spacing w:line="360" w:lineRule="auto"/>
              <w:rPr>
                <w:rFonts w:ascii="宋体" w:hAnsi="宋体" w:cs="宋体"/>
                <w:color w:val="auto"/>
                <w:szCs w:val="21"/>
                <w:highlight w:val="none"/>
              </w:rPr>
            </w:pPr>
            <w:r>
              <w:rPr>
                <w:rFonts w:hint="eastAsia" w:ascii="宋体" w:hAnsi="宋体"/>
                <w:color w:val="auto"/>
                <w:szCs w:val="21"/>
                <w:highlight w:val="none"/>
              </w:rPr>
              <w:t>桂林市财政局                                电话：0773-2862142</w:t>
            </w:r>
          </w:p>
        </w:tc>
      </w:tr>
    </w:tbl>
    <w:p>
      <w:pPr>
        <w:pStyle w:val="20"/>
        <w:ind w:left="0" w:leftChars="0" w:firstLine="0" w:firstLineChars="0"/>
        <w:rPr>
          <w:rFonts w:ascii="宋体" w:hAnsi="宋体" w:cs="宋体"/>
          <w:b/>
          <w:color w:val="auto"/>
          <w:sz w:val="28"/>
          <w:szCs w:val="28"/>
          <w:highlight w:val="none"/>
        </w:rPr>
      </w:pPr>
    </w:p>
    <w:p>
      <w:pPr>
        <w:pStyle w:val="3"/>
        <w:ind w:left="0" w:firstLine="0"/>
        <w:rPr>
          <w:rFonts w:ascii="宋体" w:hAnsi="宋体" w:cs="宋体"/>
          <w:b/>
          <w:bCs w:val="0"/>
          <w:color w:val="auto"/>
          <w:szCs w:val="28"/>
          <w:highlight w:val="none"/>
        </w:rPr>
      </w:pPr>
    </w:p>
    <w:p>
      <w:pPr>
        <w:pStyle w:val="3"/>
        <w:ind w:left="0" w:firstLine="0"/>
        <w:rPr>
          <w:rFonts w:ascii="宋体" w:hAnsi="宋体" w:cs="宋体"/>
          <w:b/>
          <w:bCs w:val="0"/>
          <w:color w:val="auto"/>
          <w:szCs w:val="28"/>
          <w:highlight w:val="none"/>
        </w:rPr>
      </w:pPr>
      <w:bookmarkStart w:id="20" w:name="_Toc22792"/>
    </w:p>
    <w:p>
      <w:pPr>
        <w:widowControl/>
        <w:jc w:val="left"/>
        <w:rPr>
          <w:color w:val="auto"/>
          <w:highlight w:val="none"/>
        </w:rPr>
      </w:pPr>
      <w:r>
        <w:rPr>
          <w:color w:val="auto"/>
          <w:highlight w:val="none"/>
        </w:rPr>
        <w:br w:type="page"/>
      </w:r>
    </w:p>
    <w:p>
      <w:pPr>
        <w:rPr>
          <w:color w:val="auto"/>
          <w:highlight w:val="none"/>
        </w:rPr>
      </w:pPr>
    </w:p>
    <w:p>
      <w:pPr>
        <w:pStyle w:val="3"/>
        <w:jc w:val="center"/>
        <w:rPr>
          <w:rFonts w:ascii="宋体" w:hAnsi="宋体" w:cs="宋体"/>
          <w:b/>
          <w:bCs w:val="0"/>
          <w:color w:val="auto"/>
          <w:szCs w:val="28"/>
          <w:highlight w:val="none"/>
        </w:rPr>
      </w:pPr>
      <w:bookmarkStart w:id="21" w:name="_Toc155802442"/>
      <w:r>
        <w:rPr>
          <w:rFonts w:hint="eastAsia" w:ascii="宋体" w:hAnsi="宋体" w:cs="宋体"/>
          <w:b/>
          <w:bCs w:val="0"/>
          <w:color w:val="auto"/>
          <w:szCs w:val="28"/>
          <w:highlight w:val="none"/>
        </w:rPr>
        <w:t>一、总则</w:t>
      </w:r>
      <w:bookmarkEnd w:id="20"/>
      <w:bookmarkEnd w:id="21"/>
    </w:p>
    <w:p>
      <w:pPr>
        <w:pStyle w:val="4"/>
        <w:spacing w:line="360" w:lineRule="auto"/>
        <w:ind w:firstLine="420" w:firstLineChars="200"/>
        <w:rPr>
          <w:rFonts w:ascii="宋体" w:hAnsi="宋体" w:cs="宋体"/>
          <w:color w:val="auto"/>
          <w:sz w:val="21"/>
          <w:szCs w:val="21"/>
          <w:highlight w:val="none"/>
        </w:rPr>
      </w:pPr>
      <w:bookmarkStart w:id="22" w:name="_Toc155802443"/>
      <w:bookmarkStart w:id="23" w:name="_Toc6626"/>
      <w:r>
        <w:rPr>
          <w:rFonts w:hint="eastAsia" w:ascii="宋体" w:hAnsi="宋体" w:cs="宋体"/>
          <w:color w:val="auto"/>
          <w:sz w:val="21"/>
          <w:szCs w:val="21"/>
          <w:highlight w:val="none"/>
        </w:rPr>
        <w:t>1. 适应范围</w:t>
      </w:r>
      <w:bookmarkEnd w:id="22"/>
      <w:bookmarkEnd w:id="23"/>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1.1  项目名称及项目编号：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项目名称：桂林市公安局秀峰分局食堂食材定点采购项目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项目编号：GLZC2024-C3-990013-GXAZ</w:t>
      </w:r>
    </w:p>
    <w:p>
      <w:pPr>
        <w:spacing w:line="36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1.2本竞争性磋商文件（以下简称磋商文件）适用于本磋商项目的磋商、评审、合同履约、验收、付款等行为（法律、法规另有规定的，从其规定）。</w:t>
      </w:r>
    </w:p>
    <w:p>
      <w:pPr>
        <w:pStyle w:val="4"/>
        <w:spacing w:line="360" w:lineRule="auto"/>
        <w:ind w:firstLine="420" w:firstLineChars="200"/>
        <w:rPr>
          <w:rFonts w:ascii="宋体" w:hAnsi="宋体" w:cs="宋体"/>
          <w:color w:val="auto"/>
          <w:sz w:val="21"/>
          <w:szCs w:val="21"/>
          <w:highlight w:val="none"/>
        </w:rPr>
      </w:pPr>
      <w:bookmarkStart w:id="24" w:name="_Toc155802444"/>
      <w:bookmarkStart w:id="25" w:name="_Toc28336"/>
      <w:r>
        <w:rPr>
          <w:rFonts w:hint="eastAsia" w:ascii="宋体" w:hAnsi="宋体" w:cs="宋体"/>
          <w:color w:val="auto"/>
          <w:sz w:val="21"/>
          <w:szCs w:val="21"/>
          <w:highlight w:val="none"/>
        </w:rPr>
        <w:t>2. 定义</w:t>
      </w:r>
      <w:bookmarkEnd w:id="24"/>
      <w:bookmarkEnd w:id="25"/>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2.1“供应商”是指符合本次采购项目的供应商资格并提交响应文件、参加磋商的供应商。如果该供应商在本次磋商中成交，即成为“成交供应商”。</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2.2“货物”系指按磋商文件规定，供应商须向采购人提供的一切设备、保险、税金、备品备件、工具、手册及其它有关技术资料和材料。</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2.3“服务”系指按磋商文件规定，供应商须承担的安装、调试、技术协助、校准、培训、技术指导以及其他类似的义务。</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2.4“项目”系指供应商按磋商文件规定向采购人提供的货物和服务。</w:t>
      </w:r>
    </w:p>
    <w:p>
      <w:pPr>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2.5“书面形式”包括信函、传真、电报等。</w:t>
      </w:r>
    </w:p>
    <w:p>
      <w:pPr>
        <w:spacing w:line="360" w:lineRule="exact"/>
        <w:ind w:firstLine="435"/>
        <w:rPr>
          <w:rFonts w:ascii="宋体" w:hAnsi="宋体" w:cs="宋体"/>
          <w:b/>
          <w:color w:val="auto"/>
          <w:sz w:val="24"/>
          <w:highlight w:val="none"/>
        </w:rPr>
      </w:pPr>
      <w:r>
        <w:rPr>
          <w:rFonts w:hint="eastAsia" w:ascii="宋体" w:hAnsi="宋体" w:cs="宋体"/>
          <w:b/>
          <w:color w:val="auto"/>
          <w:sz w:val="24"/>
          <w:highlight w:val="none"/>
          <w:u w:val="single"/>
        </w:rPr>
        <w:t>2.6实质性要求：</w:t>
      </w:r>
      <w:r>
        <w:rPr>
          <w:rFonts w:hint="eastAsia" w:ascii="宋体" w:hAnsi="宋体" w:cs="宋体"/>
          <w:b/>
          <w:color w:val="auto"/>
          <w:szCs w:val="21"/>
          <w:highlight w:val="none"/>
          <w:u w:val="single"/>
        </w:rPr>
        <w:t>“采购需求”中所有的内容均为实质性要求，不允许负偏离，否则投标无效。</w:t>
      </w:r>
    </w:p>
    <w:p>
      <w:pPr>
        <w:pStyle w:val="4"/>
        <w:spacing w:line="360" w:lineRule="auto"/>
        <w:ind w:firstLine="420" w:firstLineChars="200"/>
        <w:rPr>
          <w:rFonts w:ascii="宋体" w:hAnsi="宋体" w:cs="宋体"/>
          <w:color w:val="auto"/>
          <w:sz w:val="21"/>
          <w:szCs w:val="21"/>
          <w:highlight w:val="none"/>
        </w:rPr>
      </w:pPr>
      <w:bookmarkStart w:id="26" w:name="_Toc25441"/>
      <w:bookmarkStart w:id="27" w:name="_Toc155802445"/>
      <w:r>
        <w:rPr>
          <w:rFonts w:hint="eastAsia" w:ascii="宋体" w:hAnsi="宋体" w:cs="宋体"/>
          <w:color w:val="auto"/>
          <w:sz w:val="21"/>
          <w:szCs w:val="21"/>
          <w:highlight w:val="none"/>
        </w:rPr>
        <w:t>3. 供应商资格</w:t>
      </w:r>
      <w:bookmarkEnd w:id="26"/>
      <w:bookmarkEnd w:id="27"/>
    </w:p>
    <w:p>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3.1符合《中华人民共和国政府采购法》第二十二条和《政府采购法实施条例》第十八条规定，具备合法资格的供应商；</w:t>
      </w:r>
    </w:p>
    <w:p>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3.2本项目不接受联合体参与磋商；</w:t>
      </w:r>
    </w:p>
    <w:p>
      <w:pPr>
        <w:spacing w:line="360" w:lineRule="exact"/>
        <w:ind w:firstLine="435"/>
        <w:rPr>
          <w:rFonts w:ascii="宋体" w:hAnsi="宋体" w:cs="宋体"/>
          <w:bCs/>
          <w:color w:val="auto"/>
          <w:szCs w:val="21"/>
          <w:highlight w:val="none"/>
        </w:rPr>
      </w:pPr>
      <w:r>
        <w:rPr>
          <w:rFonts w:hint="eastAsia" w:ascii="宋体" w:hAnsi="宋体" w:cs="宋体"/>
          <w:bCs/>
          <w:color w:val="auto"/>
          <w:szCs w:val="21"/>
          <w:highlight w:val="none"/>
        </w:rPr>
        <w:t>3.3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w:t>
      </w:r>
    </w:p>
    <w:p>
      <w:pPr>
        <w:spacing w:line="360" w:lineRule="exact"/>
        <w:ind w:firstLine="420" w:firstLineChars="200"/>
        <w:rPr>
          <w:rFonts w:ascii="宋体" w:hAnsi="宋体" w:cs="宋体"/>
          <w:b/>
          <w:bCs/>
          <w:color w:val="auto"/>
          <w:szCs w:val="21"/>
          <w:highlight w:val="none"/>
        </w:rPr>
      </w:pPr>
      <w:bookmarkStart w:id="28" w:name="_Toc16496"/>
      <w:r>
        <w:rPr>
          <w:rFonts w:hint="eastAsia" w:ascii="宋体" w:hAnsi="宋体" w:cs="宋体"/>
          <w:color w:val="auto"/>
          <w:szCs w:val="21"/>
          <w:highlight w:val="none"/>
        </w:rPr>
        <w:t>3.4落实政府采购政策需满足的资格要求：本项目专门面向</w:t>
      </w:r>
      <w:r>
        <w:rPr>
          <w:rFonts w:hint="eastAsia" w:ascii="宋体" w:hAnsi="宋体" w:cs="宋体"/>
          <w:bCs/>
          <w:color w:val="auto"/>
          <w:szCs w:val="21"/>
          <w:highlight w:val="none"/>
          <w:lang w:val="en-US" w:eastAsia="zh-CN"/>
        </w:rPr>
        <w:t>小微</w:t>
      </w:r>
      <w:r>
        <w:rPr>
          <w:rFonts w:hint="eastAsia" w:ascii="宋体" w:hAnsi="宋体" w:cs="宋体"/>
          <w:color w:val="auto"/>
          <w:szCs w:val="21"/>
          <w:highlight w:val="none"/>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w:t>
      </w:r>
    </w:p>
    <w:p>
      <w:pPr>
        <w:pStyle w:val="4"/>
        <w:spacing w:line="360" w:lineRule="auto"/>
        <w:ind w:firstLine="420" w:firstLineChars="200"/>
        <w:rPr>
          <w:rFonts w:ascii="宋体" w:hAnsi="宋体" w:cs="宋体"/>
          <w:color w:val="auto"/>
          <w:sz w:val="21"/>
          <w:szCs w:val="21"/>
          <w:highlight w:val="none"/>
        </w:rPr>
      </w:pPr>
      <w:bookmarkStart w:id="29" w:name="_Toc4527"/>
      <w:bookmarkStart w:id="30" w:name="_Toc5736"/>
      <w:bookmarkStart w:id="31" w:name="_Toc19004"/>
      <w:bookmarkStart w:id="32" w:name="_Toc155802446"/>
      <w:r>
        <w:rPr>
          <w:rFonts w:hint="eastAsia" w:ascii="宋体" w:hAnsi="宋体" w:cs="宋体"/>
          <w:b w:val="0"/>
          <w:color w:val="auto"/>
          <w:sz w:val="21"/>
          <w:szCs w:val="21"/>
          <w:highlight w:val="none"/>
        </w:rPr>
        <w:t>3.5本项目的特定资格要求：</w:t>
      </w:r>
      <w:bookmarkEnd w:id="29"/>
      <w:bookmarkEnd w:id="30"/>
      <w:r>
        <w:rPr>
          <w:rFonts w:hint="eastAsia" w:ascii="宋体" w:hAnsi="宋体" w:cs="宋体"/>
          <w:b w:val="0"/>
          <w:color w:val="auto"/>
          <w:sz w:val="21"/>
          <w:szCs w:val="21"/>
          <w:highlight w:val="none"/>
        </w:rPr>
        <w:t>供应商须具有相应有效的《食品生产许可证》或《食品经营许可证》。</w:t>
      </w:r>
      <w:bookmarkEnd w:id="31"/>
      <w:bookmarkEnd w:id="32"/>
    </w:p>
    <w:p>
      <w:pPr>
        <w:pStyle w:val="4"/>
        <w:spacing w:line="360" w:lineRule="auto"/>
        <w:ind w:firstLine="420" w:firstLineChars="200"/>
        <w:rPr>
          <w:rFonts w:ascii="宋体" w:hAnsi="宋体" w:cs="宋体"/>
          <w:color w:val="auto"/>
          <w:sz w:val="21"/>
          <w:szCs w:val="21"/>
          <w:highlight w:val="none"/>
        </w:rPr>
      </w:pPr>
      <w:bookmarkStart w:id="33" w:name="_Toc155802447"/>
      <w:r>
        <w:rPr>
          <w:rFonts w:hint="eastAsia" w:ascii="宋体" w:hAnsi="宋体" w:cs="宋体"/>
          <w:color w:val="auto"/>
          <w:sz w:val="21"/>
          <w:szCs w:val="21"/>
          <w:highlight w:val="none"/>
        </w:rPr>
        <w:t>4. 磋商费用</w:t>
      </w:r>
      <w:bookmarkEnd w:id="28"/>
      <w:bookmarkEnd w:id="33"/>
    </w:p>
    <w:p>
      <w:pPr>
        <w:tabs>
          <w:tab w:val="left" w:pos="1635"/>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不论磋商结果如何，供应商均应自行承担所有与磋商有关的全部费用。</w:t>
      </w:r>
    </w:p>
    <w:p>
      <w:pPr>
        <w:pStyle w:val="4"/>
        <w:numPr>
          <w:ilvl w:val="0"/>
          <w:numId w:val="2"/>
        </w:numPr>
        <w:spacing w:line="360" w:lineRule="auto"/>
        <w:ind w:firstLine="420" w:firstLineChars="200"/>
        <w:rPr>
          <w:rFonts w:ascii="宋体" w:hAnsi="宋体" w:cs="宋体"/>
          <w:color w:val="auto"/>
          <w:sz w:val="21"/>
          <w:szCs w:val="21"/>
          <w:highlight w:val="none"/>
        </w:rPr>
      </w:pPr>
      <w:bookmarkStart w:id="34" w:name="_Toc31376"/>
      <w:bookmarkStart w:id="35" w:name="_Toc155802448"/>
      <w:r>
        <w:rPr>
          <w:rFonts w:hint="eastAsia" w:ascii="宋体" w:hAnsi="宋体" w:cs="宋体"/>
          <w:color w:val="auto"/>
          <w:sz w:val="21"/>
          <w:szCs w:val="21"/>
          <w:highlight w:val="none"/>
        </w:rPr>
        <w:t>联合体要求</w:t>
      </w:r>
      <w:bookmarkEnd w:id="34"/>
      <w:bookmarkEnd w:id="35"/>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本项目不接受联合体参与磋商</w:t>
      </w:r>
      <w:bookmarkStart w:id="36" w:name="_Toc6998"/>
    </w:p>
    <w:p>
      <w:pPr>
        <w:pStyle w:val="4"/>
        <w:numPr>
          <w:ilvl w:val="0"/>
          <w:numId w:val="2"/>
        </w:numPr>
        <w:spacing w:line="360" w:lineRule="auto"/>
        <w:ind w:firstLine="420" w:firstLineChars="200"/>
        <w:rPr>
          <w:rFonts w:ascii="宋体" w:hAnsi="宋体" w:cs="宋体"/>
          <w:color w:val="auto"/>
          <w:sz w:val="21"/>
          <w:szCs w:val="21"/>
          <w:highlight w:val="none"/>
        </w:rPr>
      </w:pPr>
      <w:bookmarkStart w:id="37" w:name="_Toc155802449"/>
      <w:r>
        <w:rPr>
          <w:rFonts w:hint="eastAsia" w:ascii="宋体" w:hAnsi="宋体" w:cs="宋体"/>
          <w:color w:val="auto"/>
          <w:sz w:val="21"/>
          <w:szCs w:val="21"/>
          <w:highlight w:val="none"/>
        </w:rPr>
        <w:t>转包与分包</w:t>
      </w:r>
      <w:bookmarkEnd w:id="36"/>
      <w:bookmarkEnd w:id="37"/>
    </w:p>
    <w:p>
      <w:pPr>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6.1 本项目不允许转包。</w:t>
      </w:r>
    </w:p>
    <w:p>
      <w:pPr>
        <w:ind w:firstLine="420" w:firstLineChars="200"/>
        <w:rPr>
          <w:rFonts w:ascii="宋体" w:hAnsi="宋体" w:cs="宋体"/>
          <w:bCs/>
          <w:color w:val="auto"/>
          <w:szCs w:val="21"/>
          <w:highlight w:val="none"/>
        </w:rPr>
      </w:pPr>
      <w:r>
        <w:rPr>
          <w:rFonts w:hint="eastAsia" w:asciiTheme="minorEastAsia" w:hAnsiTheme="minorEastAsia" w:eastAsiaTheme="minorEastAsia" w:cstheme="minorEastAsia"/>
          <w:color w:val="auto"/>
          <w:highlight w:val="none"/>
        </w:rPr>
        <w:t xml:space="preserve">6.2 </w:t>
      </w:r>
      <w:r>
        <w:rPr>
          <w:rFonts w:hint="eastAsia"/>
          <w:color w:val="auto"/>
          <w:highlight w:val="none"/>
        </w:rPr>
        <w:t>本项目不可以分包。</w:t>
      </w:r>
    </w:p>
    <w:p>
      <w:pPr>
        <w:pStyle w:val="4"/>
        <w:spacing w:line="360" w:lineRule="auto"/>
        <w:ind w:firstLine="420" w:firstLineChars="200"/>
        <w:rPr>
          <w:rFonts w:ascii="宋体" w:hAnsi="宋体" w:cs="宋体"/>
          <w:color w:val="auto"/>
          <w:sz w:val="21"/>
          <w:szCs w:val="21"/>
          <w:highlight w:val="none"/>
        </w:rPr>
      </w:pPr>
      <w:bookmarkStart w:id="38" w:name="_Toc155802450"/>
      <w:bookmarkStart w:id="39" w:name="_Toc4152"/>
      <w:r>
        <w:rPr>
          <w:rFonts w:hint="eastAsia" w:ascii="宋体" w:hAnsi="宋体" w:cs="宋体"/>
          <w:color w:val="auto"/>
          <w:sz w:val="21"/>
          <w:szCs w:val="21"/>
          <w:highlight w:val="none"/>
        </w:rPr>
        <w:t>7. 质疑和投诉</w:t>
      </w:r>
      <w:bookmarkEnd w:id="38"/>
      <w:bookmarkEnd w:id="39"/>
      <w:r>
        <w:rPr>
          <w:rFonts w:hint="eastAsia" w:ascii="宋体" w:hAnsi="宋体" w:cs="宋体"/>
          <w:color w:val="auto"/>
          <w:sz w:val="21"/>
          <w:szCs w:val="21"/>
          <w:highlight w:val="none"/>
        </w:rPr>
        <w:tab/>
      </w:r>
    </w:p>
    <w:p>
      <w:pPr>
        <w:tabs>
          <w:tab w:val="left" w:pos="2190"/>
        </w:tabs>
        <w:spacing w:line="360" w:lineRule="exact"/>
        <w:ind w:firstLine="435"/>
        <w:rPr>
          <w:rFonts w:ascii="宋体" w:hAnsi="宋体" w:cs="宋体"/>
          <w:color w:val="auto"/>
          <w:szCs w:val="21"/>
          <w:highlight w:val="none"/>
        </w:rPr>
      </w:pPr>
      <w:bookmarkStart w:id="40" w:name="_Toc8195"/>
      <w:bookmarkStart w:id="41" w:name="_Toc26087"/>
      <w:r>
        <w:rPr>
          <w:rFonts w:hint="eastAsia" w:ascii="宋体" w:hAnsi="宋体" w:cs="宋体"/>
          <w:color w:val="auto"/>
          <w:szCs w:val="21"/>
          <w:highlight w:val="none"/>
        </w:rPr>
        <w:t>7.1供应对政府采购活动事项有疑问的，可以向采购人提出询问。</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7.2供应商认为磋商文件使自己的合法权益受到损害的，应当在竞争性磋商公告期限届满之日起七个工作日内，以书面形式向采购代理机构（广西安臻工程管理有限公司）提出质疑。供应商认为采购过程或成交结果使自己的合法权益受到损害的，应当在各采购程序环节结束之日起七个工作日内，以书面形式向采购代理机构（广西安臻工程管理有限公司）提出质疑。采购代理机构应认真做好质疑处理工作。</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7.3供应商对采购代理机构的质疑答复不满意或者采购代理机构未在规定的时间内作出答复的，可以在答复期满后十五个工作日内向本级财政部门投诉。</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7.4质疑、投诉应当采用书面形式，质疑书、投诉书实行实名制，均应明确阐述磋商文件、采购过程或成交结果中使自己合法权益受到损害的实质性内容，提供相关事实、明确的请求，并提供必要的证明材料。</w:t>
      </w:r>
    </w:p>
    <w:p>
      <w:pPr>
        <w:tabs>
          <w:tab w:val="left" w:pos="2190"/>
        </w:tabs>
        <w:spacing w:line="360" w:lineRule="exact"/>
        <w:ind w:firstLine="435"/>
        <w:rPr>
          <w:rFonts w:ascii="宋体" w:hAnsi="宋体" w:cs="宋体"/>
          <w:color w:val="auto"/>
          <w:szCs w:val="21"/>
          <w:highlight w:val="none"/>
        </w:rPr>
      </w:pPr>
      <w:r>
        <w:rPr>
          <w:rFonts w:hint="eastAsia" w:ascii="宋体" w:hAnsi="宋体" w:cs="宋体"/>
          <w:color w:val="auto"/>
          <w:szCs w:val="21"/>
          <w:highlight w:val="none"/>
        </w:rPr>
        <w:t>7.5质疑联系部门：广西安臻工程管理有限公司；联系电话：</w:t>
      </w:r>
      <w:r>
        <w:rPr>
          <w:rFonts w:hint="eastAsia" w:ascii="宋体" w:hAnsi="宋体" w:cs="宋体"/>
          <w:color w:val="auto"/>
          <w:szCs w:val="21"/>
          <w:highlight w:val="none"/>
          <w:lang w:eastAsia="zh-CN"/>
        </w:rPr>
        <w:t>18078360291</w:t>
      </w:r>
      <w:r>
        <w:rPr>
          <w:rFonts w:hint="eastAsia" w:ascii="宋体" w:hAnsi="宋体" w:cs="宋体"/>
          <w:color w:val="auto"/>
          <w:szCs w:val="21"/>
          <w:highlight w:val="none"/>
        </w:rPr>
        <w:t>；</w:t>
      </w:r>
    </w:p>
    <w:p>
      <w:pPr>
        <w:tabs>
          <w:tab w:val="left" w:pos="2190"/>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Theme="minorEastAsia" w:hAnsiTheme="minorEastAsia" w:eastAsiaTheme="minorEastAsia" w:cstheme="minorEastAsia"/>
          <w:color w:val="auto"/>
          <w:szCs w:val="21"/>
          <w:highlight w:val="none"/>
        </w:rPr>
        <w:t>临桂区临桂镇仕通路69号精通.伊顿国际</w:t>
      </w:r>
      <w:r>
        <w:rPr>
          <w:rFonts w:hint="eastAsia" w:ascii="宋体" w:hAnsi="宋体" w:cs="宋体"/>
          <w:color w:val="auto"/>
          <w:szCs w:val="21"/>
          <w:highlight w:val="none"/>
        </w:rPr>
        <w:t>。</w:t>
      </w:r>
    </w:p>
    <w:p>
      <w:pPr>
        <w:tabs>
          <w:tab w:val="left" w:pos="2190"/>
        </w:tabs>
        <w:spacing w:line="360" w:lineRule="exact"/>
        <w:ind w:firstLine="435"/>
        <w:rPr>
          <w:color w:val="auto"/>
          <w:highlight w:val="none"/>
        </w:rPr>
      </w:pPr>
      <w:r>
        <w:rPr>
          <w:rFonts w:hint="eastAsia" w:ascii="宋体" w:hAnsi="宋体" w:cs="宋体"/>
          <w:color w:val="auto"/>
          <w:szCs w:val="21"/>
          <w:highlight w:val="none"/>
        </w:rPr>
        <w:t>7.6 投诉联系部门：</w:t>
      </w:r>
      <w:bookmarkEnd w:id="40"/>
      <w:bookmarkEnd w:id="41"/>
      <w:r>
        <w:rPr>
          <w:rFonts w:hint="eastAsia" w:ascii="宋体" w:hAnsi="宋体"/>
          <w:color w:val="auto"/>
          <w:szCs w:val="21"/>
          <w:highlight w:val="none"/>
        </w:rPr>
        <w:t>桂林市财政局；联系电话：0773-2862142</w:t>
      </w:r>
    </w:p>
    <w:p>
      <w:pPr>
        <w:pStyle w:val="26"/>
        <w:ind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7.7 供应商在法定质疑期内应当一次性提出针对同一采购程序环节的质疑。</w:t>
      </w:r>
    </w:p>
    <w:p>
      <w:pPr>
        <w:pStyle w:val="26"/>
        <w:ind w:firstLine="420" w:firstLineChars="200"/>
        <w:rPr>
          <w:rFonts w:ascii="宋体" w:hAnsi="宋体" w:cs="宋体"/>
          <w:color w:val="auto"/>
          <w:szCs w:val="21"/>
          <w:highlight w:val="none"/>
        </w:rPr>
      </w:pPr>
      <w:r>
        <w:rPr>
          <w:rFonts w:hint="eastAsia" w:ascii="宋体" w:hAnsi="宋体" w:cs="宋体"/>
          <w:color w:val="auto"/>
          <w:kern w:val="2"/>
          <w:sz w:val="21"/>
          <w:szCs w:val="21"/>
          <w:highlight w:val="none"/>
        </w:rPr>
        <w:t>7.8 不在法定质疑期内提出的质疑函可以拒收。不符合要求的质疑函在法定质疑期内及时补充完整，否则作质疑不成立处理。</w:t>
      </w:r>
    </w:p>
    <w:p>
      <w:pPr>
        <w:pStyle w:val="4"/>
        <w:spacing w:line="360" w:lineRule="auto"/>
        <w:ind w:firstLine="420" w:firstLineChars="200"/>
        <w:rPr>
          <w:rFonts w:ascii="宋体" w:hAnsi="宋体" w:cs="宋体"/>
          <w:color w:val="auto"/>
          <w:sz w:val="21"/>
          <w:szCs w:val="21"/>
          <w:highlight w:val="none"/>
        </w:rPr>
      </w:pPr>
      <w:bookmarkStart w:id="42" w:name="_Toc155802451"/>
      <w:bookmarkStart w:id="43" w:name="_Toc3368"/>
      <w:r>
        <w:rPr>
          <w:rFonts w:hint="eastAsia" w:ascii="宋体" w:hAnsi="宋体" w:cs="宋体"/>
          <w:color w:val="auto"/>
          <w:sz w:val="21"/>
          <w:szCs w:val="21"/>
          <w:highlight w:val="none"/>
        </w:rPr>
        <w:t>8. 特别说明</w:t>
      </w:r>
      <w:bookmarkEnd w:id="42"/>
      <w:bookmarkEnd w:id="43"/>
    </w:p>
    <w:p>
      <w:pPr>
        <w:tabs>
          <w:tab w:val="left" w:pos="1635"/>
        </w:tabs>
        <w:spacing w:line="360" w:lineRule="exact"/>
        <w:ind w:firstLine="420" w:firstLineChars="200"/>
        <w:rPr>
          <w:rFonts w:ascii="宋体" w:hAnsi="宋体" w:cs="宋体"/>
          <w:b/>
          <w:color w:val="auto"/>
          <w:szCs w:val="21"/>
          <w:highlight w:val="none"/>
        </w:rPr>
      </w:pPr>
      <w:r>
        <w:rPr>
          <w:rFonts w:hint="eastAsia" w:ascii="宋体" w:hAnsi="宋体" w:cs="宋体"/>
          <w:b/>
          <w:color w:val="auto"/>
          <w:szCs w:val="21"/>
          <w:highlight w:val="none"/>
        </w:rPr>
        <w:t>8.1关联供应商不得参加同一合同项下政府采购活动，否则响应文件将被视为无效：</w:t>
      </w:r>
    </w:p>
    <w:p>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（1）单位负责人为同一人或者存在直接控股、管理关系的，不得参加同一合同项下的政府采购活动。</w:t>
      </w:r>
    </w:p>
    <w:p>
      <w:pPr>
        <w:tabs>
          <w:tab w:val="left" w:pos="1635"/>
        </w:tabs>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（2）为本采购项目提供整体设计、规范编制或者项目管理、监理、检测等服务的供应商，不得再参加本次采购活动。</w:t>
      </w:r>
    </w:p>
    <w:p>
      <w:pPr>
        <w:tabs>
          <w:tab w:val="left" w:pos="1635"/>
        </w:tabs>
        <w:spacing w:line="360" w:lineRule="exact"/>
        <w:ind w:firstLine="435"/>
        <w:rPr>
          <w:rFonts w:ascii="宋体" w:hAnsi="宋体" w:cs="宋体"/>
          <w:b/>
          <w:bCs/>
          <w:color w:val="auto"/>
          <w:szCs w:val="21"/>
          <w:highlight w:val="none"/>
        </w:rPr>
      </w:pPr>
      <w:r>
        <w:rPr>
          <w:rFonts w:hint="eastAsia" w:ascii="宋体" w:hAnsi="宋体" w:cs="宋体"/>
          <w:b/>
          <w:color w:val="auto"/>
          <w:szCs w:val="21"/>
          <w:highlight w:val="none"/>
        </w:rPr>
        <w:t>8.2</w:t>
      </w:r>
      <w:r>
        <w:rPr>
          <w:rFonts w:hint="eastAsia" w:ascii="宋体" w:hAnsi="宋体" w:cs="宋体"/>
          <w:b/>
          <w:bCs/>
          <w:color w:val="auto"/>
          <w:szCs w:val="21"/>
          <w:highlight w:val="none"/>
        </w:rPr>
        <w:t>提供相同品牌产品的不同供应商参加同一合同项下磋商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pPr>
        <w:pStyle w:val="8"/>
        <w:rPr>
          <w:rFonts w:ascii="宋体" w:hAnsi="宋体" w:cs="宋体"/>
          <w:color w:val="auto"/>
          <w:highlight w:val="none"/>
        </w:rPr>
      </w:pPr>
    </w:p>
    <w:p>
      <w:pPr>
        <w:pStyle w:val="3"/>
        <w:jc w:val="center"/>
        <w:rPr>
          <w:rFonts w:ascii="宋体" w:hAnsi="宋体" w:cs="宋体"/>
          <w:b/>
          <w:bCs w:val="0"/>
          <w:color w:val="auto"/>
          <w:szCs w:val="28"/>
          <w:highlight w:val="none"/>
        </w:rPr>
      </w:pPr>
      <w:bookmarkStart w:id="44" w:name="_Toc155802452"/>
      <w:bookmarkStart w:id="45" w:name="_Toc22498"/>
      <w:r>
        <w:rPr>
          <w:rFonts w:hint="eastAsia" w:ascii="宋体" w:hAnsi="宋体" w:cs="宋体"/>
          <w:b/>
          <w:bCs w:val="0"/>
          <w:color w:val="auto"/>
          <w:szCs w:val="28"/>
          <w:highlight w:val="none"/>
        </w:rPr>
        <w:t>二、磋商文件</w:t>
      </w:r>
      <w:bookmarkEnd w:id="44"/>
      <w:bookmarkEnd w:id="45"/>
    </w:p>
    <w:p>
      <w:pPr>
        <w:pStyle w:val="4"/>
        <w:spacing w:line="360" w:lineRule="auto"/>
        <w:ind w:firstLine="420" w:firstLineChars="200"/>
        <w:rPr>
          <w:rFonts w:ascii="宋体" w:hAnsi="宋体" w:cs="宋体"/>
          <w:color w:val="auto"/>
          <w:sz w:val="21"/>
          <w:szCs w:val="21"/>
          <w:highlight w:val="none"/>
          <w:lang w:val="pt-BR"/>
        </w:rPr>
      </w:pPr>
      <w:bookmarkStart w:id="46" w:name="_Toc18964"/>
      <w:bookmarkStart w:id="47" w:name="_Toc155802453"/>
      <w:r>
        <w:rPr>
          <w:rFonts w:hint="eastAsia" w:ascii="宋体" w:hAnsi="宋体" w:cs="宋体"/>
          <w:color w:val="auto"/>
          <w:sz w:val="21"/>
          <w:szCs w:val="21"/>
          <w:highlight w:val="none"/>
          <w:lang w:val="pt-BR"/>
        </w:rPr>
        <w:t xml:space="preserve">9. </w:t>
      </w:r>
      <w:r>
        <w:rPr>
          <w:rFonts w:hint="eastAsia" w:ascii="宋体" w:hAnsi="宋体" w:cs="宋体"/>
          <w:color w:val="auto"/>
          <w:sz w:val="21"/>
          <w:szCs w:val="21"/>
          <w:highlight w:val="none"/>
        </w:rPr>
        <w:t>磋商文件的构成</w:t>
      </w:r>
      <w:bookmarkEnd w:id="46"/>
      <w:bookmarkEnd w:id="4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（1）竞争性磋商公告；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（2）供应商须知；</w:t>
      </w:r>
    </w:p>
    <w:p>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（3）采购需求</w:t>
      </w:r>
      <w:r>
        <w:rPr>
          <w:rFonts w:hint="eastAsia" w:ascii="宋体" w:hAnsi="宋体" w:cs="宋体"/>
          <w:bCs/>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（5）采购合同（合同主要条款及格式）；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（6）响应文件（格式）。</w:t>
      </w:r>
    </w:p>
    <w:p>
      <w:pPr>
        <w:pStyle w:val="4"/>
        <w:spacing w:line="360" w:lineRule="auto"/>
        <w:ind w:firstLine="420" w:firstLineChars="200"/>
        <w:rPr>
          <w:rFonts w:ascii="宋体" w:hAnsi="宋体" w:cs="宋体"/>
          <w:color w:val="auto"/>
          <w:sz w:val="21"/>
          <w:szCs w:val="21"/>
          <w:highlight w:val="none"/>
        </w:rPr>
      </w:pPr>
      <w:bookmarkStart w:id="48" w:name="_Toc9103"/>
      <w:bookmarkStart w:id="49" w:name="_Toc155802454"/>
      <w:r>
        <w:rPr>
          <w:rFonts w:hint="eastAsia" w:ascii="宋体" w:hAnsi="宋体" w:cs="宋体"/>
          <w:color w:val="auto"/>
          <w:sz w:val="21"/>
          <w:szCs w:val="21"/>
          <w:highlight w:val="none"/>
        </w:rPr>
        <w:t>10. 磋商文件的澄清与修改</w:t>
      </w:r>
      <w:bookmarkEnd w:id="48"/>
      <w:bookmarkEnd w:id="49"/>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10.1 提交首次响应文件截止之日前，采购代理机构可以对已发出的磋商文件进行必要澄清、答复、修改或</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补充，澄清或者修改的内容可能影响响应文件编制的，澄清或者修改的内容作为磋商文件的组成部分。采购代理机构应当在提交首次响应文件递交截止时间</w:t>
      </w:r>
      <w:r>
        <w:rPr>
          <w:rFonts w:hint="eastAsia" w:ascii="宋体" w:hAnsi="宋体" w:cs="宋体"/>
          <w:b/>
          <w:bCs/>
          <w:color w:val="auto"/>
          <w:szCs w:val="21"/>
          <w:highlight w:val="none"/>
        </w:rPr>
        <w:t>五日</w:t>
      </w:r>
      <w:r>
        <w:rPr>
          <w:rFonts w:hint="eastAsia" w:ascii="宋体" w:hAnsi="宋体" w:cs="宋体"/>
          <w:color w:val="auto"/>
          <w:szCs w:val="21"/>
          <w:highlight w:val="none"/>
        </w:rPr>
        <w:t>前在本项目竞争性磋商公告发布的同一媒体上发布更正公告，不足</w:t>
      </w:r>
      <w:r>
        <w:rPr>
          <w:rFonts w:hint="eastAsia" w:ascii="宋体" w:hAnsi="宋体" w:cs="宋体"/>
          <w:b/>
          <w:bCs/>
          <w:color w:val="auto"/>
          <w:szCs w:val="21"/>
          <w:highlight w:val="none"/>
        </w:rPr>
        <w:t>五日</w:t>
      </w:r>
      <w:r>
        <w:rPr>
          <w:rFonts w:hint="eastAsia" w:ascii="宋体" w:hAnsi="宋体" w:cs="宋体"/>
          <w:color w:val="auto"/>
          <w:szCs w:val="21"/>
          <w:highlight w:val="none"/>
        </w:rPr>
        <w:t>的，应当顺延首次响应文件递交截止时间。</w:t>
      </w:r>
    </w:p>
    <w:p>
      <w:pPr>
        <w:spacing w:line="360" w:lineRule="auto"/>
        <w:ind w:left="420" w:leftChars="200"/>
        <w:jc w:val="left"/>
        <w:rPr>
          <w:rFonts w:ascii="宋体" w:hAnsi="宋体" w:cs="宋体"/>
          <w:b/>
          <w:bCs/>
          <w:color w:val="auto"/>
          <w:szCs w:val="21"/>
          <w:highlight w:val="none"/>
        </w:rPr>
      </w:pPr>
      <w:r>
        <w:rPr>
          <w:rFonts w:hint="eastAsia" w:ascii="宋体" w:hAnsi="宋体" w:cs="宋体"/>
          <w:color w:val="auto"/>
          <w:szCs w:val="21"/>
          <w:highlight w:val="none"/>
        </w:rPr>
        <w:t>10.2</w:t>
      </w:r>
      <w:r>
        <w:rPr>
          <w:rFonts w:hint="eastAsia" w:ascii="宋体" w:hAnsi="宋体" w:cs="宋体"/>
          <w:b/>
          <w:bCs/>
          <w:color w:val="auto"/>
          <w:szCs w:val="21"/>
          <w:highlight w:val="none"/>
        </w:rPr>
        <w:t>供应商应实时关注本项目信息公告发布媒体相关网站了解澄清、修改等与项目有关的内容，如因供应</w:t>
      </w: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rPr>
        <w:t>商未及时登录相关网站了解澄清、修改等与项目有关的内容，从而导致响应文件无效的，由供应商自行承担责任。</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10.3澄清或者修改的内容为磋商文件的组成部分。当澄清或者修改通知就同一内容的表述不一致时，以最</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后发出的文件为准。</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10.4 磋商文件的澄清或者修改都应该通过本项目采购代理机构以法定形式发布，采购人非通过本机构，不</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得擅自澄清或者修改磋商文件。</w:t>
      </w:r>
    </w:p>
    <w:p>
      <w:pPr>
        <w:spacing w:line="360" w:lineRule="auto"/>
        <w:ind w:left="420" w:leftChars="200"/>
        <w:jc w:val="left"/>
        <w:rPr>
          <w:rFonts w:ascii="宋体" w:hAnsi="宋体" w:cs="宋体"/>
          <w:color w:val="auto"/>
          <w:szCs w:val="21"/>
          <w:highlight w:val="none"/>
        </w:rPr>
      </w:pPr>
      <w:r>
        <w:rPr>
          <w:rFonts w:hint="eastAsia" w:ascii="宋体" w:hAnsi="宋体" w:cs="宋体"/>
          <w:color w:val="auto"/>
          <w:szCs w:val="21"/>
          <w:highlight w:val="none"/>
        </w:rPr>
        <w:t>10.5采购单位可以视采购具体情况，延长响应文件截止时间和磋商时间，在本项目竞争性磋商公告发布的</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同一媒体上发布变更公告。</w:t>
      </w:r>
    </w:p>
    <w:p>
      <w:pPr>
        <w:pStyle w:val="26"/>
        <w:rPr>
          <w:rFonts w:ascii="宋体" w:hAnsi="宋体" w:cs="宋体"/>
          <w:color w:val="auto"/>
          <w:highlight w:val="none"/>
        </w:rPr>
      </w:pPr>
    </w:p>
    <w:p>
      <w:pPr>
        <w:pStyle w:val="3"/>
        <w:jc w:val="center"/>
        <w:rPr>
          <w:rFonts w:ascii="宋体" w:hAnsi="宋体" w:cs="宋体"/>
          <w:b/>
          <w:bCs w:val="0"/>
          <w:color w:val="auto"/>
          <w:szCs w:val="28"/>
          <w:highlight w:val="none"/>
        </w:rPr>
      </w:pPr>
      <w:bookmarkStart w:id="50" w:name="_Toc155802455"/>
      <w:bookmarkStart w:id="51" w:name="_Toc20830"/>
      <w:r>
        <w:rPr>
          <w:rFonts w:hint="eastAsia" w:ascii="宋体" w:hAnsi="宋体" w:cs="宋体"/>
          <w:b/>
          <w:bCs w:val="0"/>
          <w:color w:val="auto"/>
          <w:szCs w:val="28"/>
          <w:highlight w:val="none"/>
        </w:rPr>
        <w:t>三、竞争性磋商响应文件的编制</w:t>
      </w:r>
      <w:bookmarkEnd w:id="50"/>
      <w:bookmarkEnd w:id="51"/>
    </w:p>
    <w:p>
      <w:pPr>
        <w:pStyle w:val="4"/>
        <w:spacing w:line="360" w:lineRule="auto"/>
        <w:ind w:firstLine="420" w:firstLineChars="200"/>
        <w:rPr>
          <w:rFonts w:ascii="宋体" w:hAnsi="宋体" w:cs="宋体"/>
          <w:color w:val="auto"/>
          <w:sz w:val="21"/>
          <w:szCs w:val="21"/>
          <w:highlight w:val="none"/>
        </w:rPr>
      </w:pPr>
      <w:bookmarkStart w:id="52" w:name="_Toc155802456"/>
      <w:r>
        <w:rPr>
          <w:rFonts w:hint="eastAsia" w:ascii="宋体" w:hAnsi="宋体" w:cs="宋体"/>
          <w:color w:val="auto"/>
          <w:sz w:val="21"/>
          <w:szCs w:val="21"/>
          <w:highlight w:val="none"/>
        </w:rPr>
        <w:t>11.竞争性磋商响应文件编制基本要求</w:t>
      </w:r>
      <w:bookmarkEnd w:id="52"/>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11.1 本项目实行电子投标，供应商应准备电子磋商响应文件：</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11.1.1 电子响应文件按政采云平台要求及本磋商文件要求制作、加密并递交。具体操作流程可参考《政府采购项目电子交易管理操作指南-供应商》，指南可在 “http://www.ccgp-guangxi.gov.cn/PurchaseAdvisory/ImportantNotice/2866753.html”下载。 </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11.2竞争性磋商响应文件（以下简称响应文件）的组成及要求</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11.2.1响应文件组成【格式见第六章“响应文件（格式）”】</w:t>
      </w:r>
    </w:p>
    <w:p>
      <w:pPr>
        <w:spacing w:line="360" w:lineRule="auto"/>
        <w:ind w:firstLine="420" w:firstLineChars="200"/>
        <w:rPr>
          <w:rFonts w:ascii="宋体" w:hAnsi="宋体" w:cs="宋体"/>
          <w:color w:val="auto"/>
          <w:szCs w:val="21"/>
          <w:highlight w:val="none"/>
        </w:rPr>
      </w:pPr>
      <w:r>
        <w:rPr>
          <w:rFonts w:hint="eastAsia" w:ascii="宋体" w:hAnsi="宋体" w:cs="宋体"/>
          <w:b/>
          <w:bCs/>
          <w:color w:val="auto"/>
          <w:szCs w:val="21"/>
          <w:highlight w:val="none"/>
        </w:rPr>
        <w:t>11.2.1.1资格性响应证明材料：</w:t>
      </w:r>
    </w:p>
    <w:p>
      <w:pPr>
        <w:tabs>
          <w:tab w:val="left" w:pos="1305"/>
        </w:tabs>
        <w:spacing w:line="38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（1）响应函</w:t>
      </w:r>
      <w:r>
        <w:rPr>
          <w:rFonts w:hint="eastAsia" w:ascii="宋体" w:hAnsi="宋体" w:cs="宋体"/>
          <w:b/>
          <w:color w:val="auto"/>
          <w:kern w:val="0"/>
          <w:szCs w:val="21"/>
          <w:highlight w:val="none"/>
        </w:rPr>
        <w:t>（必须提供）；</w:t>
      </w:r>
    </w:p>
    <w:p>
      <w:pPr>
        <w:tabs>
          <w:tab w:val="left" w:pos="1305"/>
        </w:tabs>
        <w:spacing w:line="380" w:lineRule="exact"/>
        <w:ind w:firstLine="420"/>
        <w:rPr>
          <w:rFonts w:ascii="宋体" w:hAnsi="宋体" w:cs="宋体"/>
          <w:color w:val="auto"/>
          <w:kern w:val="0"/>
          <w:szCs w:val="21"/>
          <w:highlight w:val="none"/>
        </w:rPr>
      </w:pPr>
      <w:r>
        <w:rPr>
          <w:rFonts w:hint="eastAsia" w:ascii="宋体" w:hAnsi="宋体" w:cs="宋体"/>
          <w:color w:val="auto"/>
          <w:szCs w:val="21"/>
          <w:highlight w:val="none"/>
        </w:rPr>
        <w:t>（2）供应商相应的法定代表人身份证正反两面复印件</w:t>
      </w:r>
      <w:r>
        <w:rPr>
          <w:rFonts w:hint="eastAsia" w:ascii="宋体" w:hAnsi="宋体" w:cs="宋体"/>
          <w:b/>
          <w:color w:val="auto"/>
          <w:szCs w:val="21"/>
          <w:highlight w:val="none"/>
        </w:rPr>
        <w:t>（必须提供）</w:t>
      </w:r>
      <w:r>
        <w:rPr>
          <w:rFonts w:hint="eastAsia" w:ascii="宋体" w:hAnsi="宋体" w:cs="宋体"/>
          <w:color w:val="auto"/>
          <w:szCs w:val="21"/>
          <w:highlight w:val="none"/>
        </w:rPr>
        <w:t>；</w:t>
      </w:r>
    </w:p>
    <w:p>
      <w:pPr>
        <w:tabs>
          <w:tab w:val="left" w:pos="1305"/>
        </w:tabs>
        <w:spacing w:line="380" w:lineRule="exact"/>
        <w:ind w:firstLine="420"/>
        <w:rPr>
          <w:rFonts w:ascii="宋体" w:hAnsi="宋体" w:cs="宋体"/>
          <w:color w:val="auto"/>
          <w:kern w:val="0"/>
          <w:szCs w:val="21"/>
          <w:highlight w:val="none"/>
        </w:rPr>
      </w:pPr>
      <w:r>
        <w:rPr>
          <w:rFonts w:hint="eastAsia" w:ascii="宋体" w:hAnsi="宋体" w:cs="宋体"/>
          <w:color w:val="auto"/>
          <w:szCs w:val="21"/>
          <w:highlight w:val="none"/>
        </w:rPr>
        <w:t>（3）供应商的授权委托书原件、委托代理人</w:t>
      </w:r>
      <w:r>
        <w:rPr>
          <w:rFonts w:hint="eastAsia" w:ascii="宋体" w:hAnsi="宋体" w:cs="宋体"/>
          <w:color w:val="auto"/>
          <w:highlight w:val="none"/>
        </w:rPr>
        <w:t>身份证正反面</w:t>
      </w:r>
      <w:r>
        <w:rPr>
          <w:rFonts w:hint="eastAsia" w:ascii="宋体" w:hAnsi="宋体" w:cs="宋体"/>
          <w:color w:val="auto"/>
          <w:szCs w:val="21"/>
          <w:highlight w:val="none"/>
        </w:rPr>
        <w:t>复印件以及供应商为委托代理人交纳的2023年以来任意3个月的社保证明复印件【属自然人的应提供自然人本人及为委托代理人所交纳的2023年以来任意3个月的社保证明复印件】</w:t>
      </w:r>
      <w:r>
        <w:rPr>
          <w:rFonts w:hint="eastAsia" w:ascii="宋体" w:hAnsi="宋体" w:cs="宋体"/>
          <w:b/>
          <w:color w:val="auto"/>
          <w:szCs w:val="21"/>
          <w:highlight w:val="none"/>
        </w:rPr>
        <w:t>（委托代理时必须提供）</w:t>
      </w:r>
      <w:r>
        <w:rPr>
          <w:rFonts w:hint="eastAsia" w:ascii="宋体" w:hAnsi="宋体" w:cs="宋体"/>
          <w:color w:val="auto"/>
          <w:szCs w:val="21"/>
          <w:highlight w:val="none"/>
        </w:rPr>
        <w:t>；</w:t>
      </w:r>
    </w:p>
    <w:p>
      <w:pPr>
        <w:tabs>
          <w:tab w:val="left" w:pos="1305"/>
        </w:tabs>
        <w:spacing w:line="380" w:lineRule="exact"/>
        <w:ind w:firstLine="420"/>
        <w:rPr>
          <w:rFonts w:ascii="宋体" w:hAnsi="宋体" w:cs="宋体"/>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color w:val="auto"/>
          <w:szCs w:val="21"/>
          <w:highlight w:val="none"/>
        </w:rPr>
        <w:t>（必须提供，自然人除外）；</w:t>
      </w:r>
    </w:p>
    <w:p>
      <w:pPr>
        <w:tabs>
          <w:tab w:val="left" w:pos="1305"/>
        </w:tabs>
        <w:spacing w:line="380" w:lineRule="exact"/>
        <w:ind w:firstLine="422"/>
        <w:rPr>
          <w:rFonts w:ascii="宋体" w:hAnsi="宋体" w:cs="宋体"/>
          <w:b/>
          <w:color w:val="auto"/>
          <w:szCs w:val="21"/>
          <w:highlight w:val="none"/>
        </w:rPr>
      </w:pPr>
      <w:r>
        <w:rPr>
          <w:rFonts w:ascii="宋体" w:hAnsi="宋体" w:cs="宋体"/>
          <w:b/>
          <w:color w:val="auto"/>
          <w:szCs w:val="21"/>
          <w:highlight w:val="none"/>
        </w:rPr>
        <w:t>注：</w:t>
      </w:r>
      <w:r>
        <w:rPr>
          <w:rFonts w:hint="eastAsia" w:ascii="宋体" w:hAnsi="宋体" w:cs="宋体"/>
          <w:b/>
          <w:color w:val="auto"/>
          <w:szCs w:val="21"/>
          <w:highlight w:val="none"/>
        </w:rPr>
        <w:t>①</w:t>
      </w:r>
      <w:r>
        <w:rPr>
          <w:rFonts w:ascii="宋体" w:hAnsi="宋体" w:cs="宋体"/>
          <w:b/>
          <w:color w:val="auto"/>
          <w:szCs w:val="21"/>
          <w:highlight w:val="none"/>
        </w:rPr>
        <w:t>法人包括企业法人、机关法人、事业单位法人和社会团体法人；其他组织主要包括合伙企业、非企业专业服务机构、个体工商户、农村承包经营户。</w:t>
      </w:r>
      <w:r>
        <w:rPr>
          <w:rFonts w:hint="eastAsia" w:ascii="宋体" w:hAnsi="宋体" w:cs="宋体"/>
          <w:b/>
          <w:color w:val="auto"/>
          <w:szCs w:val="21"/>
          <w:highlight w:val="none"/>
        </w:rPr>
        <w:t>②</w:t>
      </w:r>
      <w:r>
        <w:rPr>
          <w:rFonts w:ascii="宋体" w:hAnsi="宋体" w:cs="宋体"/>
          <w:b/>
          <w:color w:val="auto"/>
          <w:szCs w:val="21"/>
          <w:highlight w:val="none"/>
        </w:rPr>
        <w:t>如</w:t>
      </w:r>
      <w:r>
        <w:rPr>
          <w:rFonts w:hint="eastAsia" w:ascii="宋体" w:hAnsi="宋体" w:cs="宋体"/>
          <w:b/>
          <w:color w:val="auto"/>
          <w:szCs w:val="21"/>
          <w:highlight w:val="none"/>
        </w:rPr>
        <w:t>供应商</w:t>
      </w:r>
      <w:r>
        <w:rPr>
          <w:rFonts w:ascii="宋体" w:hAnsi="宋体" w:cs="宋体"/>
          <w:b/>
          <w:color w:val="auto"/>
          <w:szCs w:val="21"/>
          <w:highlight w:val="none"/>
        </w:rPr>
        <w:t>为独立法人的，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b/>
          <w:color w:val="auto"/>
          <w:szCs w:val="21"/>
          <w:highlight w:val="none"/>
        </w:rPr>
        <w:t>③</w:t>
      </w:r>
      <w:r>
        <w:rPr>
          <w:rFonts w:ascii="宋体" w:hAnsi="宋体" w:cs="宋体"/>
          <w:b/>
          <w:color w:val="auto"/>
          <w:szCs w:val="21"/>
          <w:highlight w:val="none"/>
        </w:rPr>
        <w:t>供应商为分公司参与</w:t>
      </w:r>
      <w:r>
        <w:rPr>
          <w:rFonts w:hint="eastAsia" w:ascii="宋体" w:hAnsi="宋体" w:cs="宋体"/>
          <w:b/>
          <w:color w:val="auto"/>
          <w:szCs w:val="21"/>
          <w:highlight w:val="none"/>
        </w:rPr>
        <w:t>磋商</w:t>
      </w:r>
      <w:r>
        <w:rPr>
          <w:rFonts w:ascii="宋体" w:hAnsi="宋体" w:cs="宋体"/>
          <w:b/>
          <w:color w:val="auto"/>
          <w:szCs w:val="21"/>
          <w:highlight w:val="none"/>
        </w:rPr>
        <w:t>的，必须取得总公司授权，并于</w:t>
      </w:r>
      <w:r>
        <w:rPr>
          <w:rFonts w:hint="eastAsia" w:ascii="宋体" w:hAnsi="宋体" w:cs="宋体"/>
          <w:b/>
          <w:color w:val="auto"/>
          <w:szCs w:val="21"/>
          <w:highlight w:val="none"/>
        </w:rPr>
        <w:t>响应</w:t>
      </w:r>
      <w:r>
        <w:rPr>
          <w:rFonts w:ascii="宋体" w:hAnsi="宋体" w:cs="宋体"/>
          <w:b/>
          <w:color w:val="auto"/>
          <w:szCs w:val="21"/>
          <w:highlight w:val="none"/>
        </w:rPr>
        <w:t>文件中提供相应总公司法人授权书原件</w:t>
      </w:r>
      <w:r>
        <w:rPr>
          <w:rFonts w:hint="eastAsia" w:ascii="宋体" w:hAnsi="宋体" w:cs="宋体"/>
          <w:b/>
          <w:color w:val="auto"/>
          <w:szCs w:val="21"/>
          <w:highlight w:val="none"/>
        </w:rPr>
        <w:t>扫描件</w:t>
      </w:r>
      <w:r>
        <w:rPr>
          <w:rFonts w:ascii="宋体" w:hAnsi="宋体" w:cs="宋体"/>
          <w:b/>
          <w:color w:val="auto"/>
          <w:szCs w:val="21"/>
          <w:highlight w:val="none"/>
        </w:rPr>
        <w:t>。</w:t>
      </w:r>
    </w:p>
    <w:p>
      <w:pPr>
        <w:spacing w:line="380" w:lineRule="exact"/>
        <w:ind w:firstLine="411" w:firstLineChars="196"/>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供应商</w:t>
      </w:r>
      <w:r>
        <w:rPr>
          <w:rFonts w:hint="eastAsia" w:ascii="宋体" w:hAnsi="宋体" w:cs="宋体"/>
          <w:color w:val="auto"/>
          <w:szCs w:val="21"/>
          <w:highlight w:val="none"/>
        </w:rPr>
        <w:t>有效的《食品生产许可证》或《食品经营许可证》复印件</w:t>
      </w:r>
      <w:r>
        <w:rPr>
          <w:rFonts w:hint="eastAsia" w:ascii="宋体" w:hAnsi="宋体" w:cs="宋体"/>
          <w:b/>
          <w:color w:val="auto"/>
          <w:szCs w:val="21"/>
          <w:highlight w:val="none"/>
        </w:rPr>
        <w:t>（必须提供）；</w:t>
      </w:r>
    </w:p>
    <w:p>
      <w:pPr>
        <w:spacing w:line="380" w:lineRule="exact"/>
        <w:ind w:firstLine="411" w:firstLineChars="196"/>
        <w:rPr>
          <w:rFonts w:ascii="宋体" w:hAnsi="宋体" w:cs="宋体"/>
          <w:color w:val="auto"/>
          <w:kern w:val="0"/>
          <w:szCs w:val="21"/>
          <w:highlight w:val="none"/>
        </w:rPr>
      </w:pPr>
      <w:r>
        <w:rPr>
          <w:rFonts w:hint="eastAsia" w:ascii="宋体" w:hAnsi="宋体" w:cs="宋体"/>
          <w:color w:val="auto"/>
          <w:kern w:val="0"/>
          <w:szCs w:val="21"/>
          <w:highlight w:val="none"/>
        </w:rPr>
        <w:t>（6）供应商2022年以来任意一年度的财务状况报告（或2023年以来银行出具的资信证明）复印件</w:t>
      </w:r>
      <w:r>
        <w:rPr>
          <w:rFonts w:hint="eastAsia" w:ascii="宋体" w:hAnsi="宋体" w:cs="宋体"/>
          <w:b/>
          <w:color w:val="auto"/>
          <w:kern w:val="0"/>
          <w:szCs w:val="21"/>
          <w:highlight w:val="none"/>
        </w:rPr>
        <w:t>（必须提供）；</w:t>
      </w:r>
    </w:p>
    <w:p>
      <w:pPr>
        <w:spacing w:line="380" w:lineRule="exact"/>
        <w:ind w:firstLine="411" w:firstLineChars="196"/>
        <w:rPr>
          <w:rFonts w:ascii="宋体" w:hAnsi="宋体" w:cs="宋体"/>
          <w:b/>
          <w:color w:val="auto"/>
          <w:kern w:val="0"/>
          <w:szCs w:val="21"/>
          <w:highlight w:val="none"/>
        </w:rPr>
      </w:pPr>
      <w:r>
        <w:rPr>
          <w:rFonts w:hint="eastAsia" w:ascii="宋体" w:hAnsi="宋体" w:cs="宋体"/>
          <w:color w:val="auto"/>
          <w:kern w:val="0"/>
          <w:szCs w:val="21"/>
          <w:highlight w:val="none"/>
        </w:rPr>
        <w:t>（7）供应商2023年以来任意3个月依法缴纳税收的相关材料复印件</w:t>
      </w:r>
      <w:r>
        <w:rPr>
          <w:rFonts w:hint="eastAsia" w:ascii="宋体" w:hAnsi="宋体" w:cs="宋体"/>
          <w:b/>
          <w:color w:val="auto"/>
          <w:kern w:val="0"/>
          <w:szCs w:val="21"/>
          <w:highlight w:val="none"/>
        </w:rPr>
        <w:t>（必须提供）；</w:t>
      </w:r>
    </w:p>
    <w:p>
      <w:pPr>
        <w:tabs>
          <w:tab w:val="left" w:pos="1305"/>
        </w:tabs>
        <w:spacing w:line="380" w:lineRule="exact"/>
        <w:ind w:firstLine="420"/>
        <w:rPr>
          <w:rFonts w:ascii="宋体" w:hAnsi="宋体" w:cs="宋体"/>
          <w:b/>
          <w:color w:val="auto"/>
          <w:kern w:val="0"/>
          <w:szCs w:val="21"/>
          <w:highlight w:val="none"/>
        </w:rPr>
      </w:pPr>
      <w:r>
        <w:rPr>
          <w:rFonts w:hint="eastAsia" w:ascii="宋体" w:hAnsi="宋体" w:cs="宋体"/>
          <w:color w:val="auto"/>
          <w:kern w:val="0"/>
          <w:szCs w:val="21"/>
          <w:highlight w:val="none"/>
        </w:rPr>
        <w:t>（8）供应商参加政府采购活动前3年内在经营活动中没有重大违法记录及有关信用信息的书面声明</w:t>
      </w:r>
      <w:r>
        <w:rPr>
          <w:rFonts w:hint="eastAsia" w:ascii="宋体" w:hAnsi="宋体" w:cs="宋体"/>
          <w:b/>
          <w:color w:val="auto"/>
          <w:kern w:val="0"/>
          <w:szCs w:val="21"/>
          <w:highlight w:val="none"/>
        </w:rPr>
        <w:t>（必须提供）；</w:t>
      </w:r>
    </w:p>
    <w:p>
      <w:pPr>
        <w:ind w:left="420"/>
        <w:jc w:val="left"/>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（9）</w:t>
      </w:r>
      <w:r>
        <w:rPr>
          <w:rFonts w:hint="eastAsia" w:ascii="宋体" w:hAnsi="宋体" w:cs="宋体"/>
          <w:color w:val="auto"/>
          <w:kern w:val="0"/>
          <w:szCs w:val="21"/>
          <w:highlight w:val="none"/>
          <w:lang w:val="zh-CN" w:eastAsia="zh-CN"/>
        </w:rPr>
        <w:t>供应商</w:t>
      </w:r>
      <w:r>
        <w:rPr>
          <w:rFonts w:hint="eastAsia" w:ascii="宋体" w:hAnsi="宋体" w:cs="宋体"/>
          <w:color w:val="auto"/>
          <w:kern w:val="0"/>
          <w:szCs w:val="21"/>
          <w:highlight w:val="none"/>
          <w:lang w:val="zh-CN"/>
        </w:rPr>
        <w:t>符合</w:t>
      </w:r>
      <w:r>
        <w:rPr>
          <w:rFonts w:hint="eastAsia" w:ascii="宋体" w:hAnsi="宋体" w:cs="宋体"/>
          <w:bCs/>
          <w:color w:val="auto"/>
          <w:szCs w:val="21"/>
          <w:highlight w:val="none"/>
          <w:lang w:val="en-US" w:eastAsia="zh-CN"/>
        </w:rPr>
        <w:t>小微</w:t>
      </w:r>
      <w:r>
        <w:rPr>
          <w:rFonts w:hint="eastAsia" w:ascii="宋体" w:hAnsi="宋体" w:cs="宋体"/>
          <w:color w:val="auto"/>
          <w:kern w:val="0"/>
          <w:szCs w:val="21"/>
          <w:highlight w:val="none"/>
          <w:lang w:val="zh-CN"/>
        </w:rPr>
        <w:t>企业规定的相应</w:t>
      </w:r>
      <w:r>
        <w:rPr>
          <w:rFonts w:hint="eastAsia" w:ascii="宋体" w:hAnsi="宋体" w:cs="宋体"/>
          <w:color w:val="auto"/>
          <w:kern w:val="0"/>
          <w:szCs w:val="21"/>
          <w:highlight w:val="none"/>
          <w:lang w:val="zh-CN" w:eastAsia="zh-CN"/>
        </w:rPr>
        <w:t>证明材料</w:t>
      </w:r>
      <w:r>
        <w:rPr>
          <w:rFonts w:hint="eastAsia" w:ascii="宋体" w:hAnsi="宋体" w:cs="宋体"/>
          <w:color w:val="auto"/>
          <w:kern w:val="0"/>
          <w:szCs w:val="21"/>
          <w:highlight w:val="none"/>
          <w:lang w:val="zh-CN"/>
        </w:rPr>
        <w:t>复印件</w:t>
      </w:r>
      <w:r>
        <w:rPr>
          <w:rFonts w:hint="eastAsia" w:ascii="宋体" w:hAnsi="宋体" w:cs="宋体"/>
          <w:b/>
          <w:color w:val="auto"/>
          <w:kern w:val="0"/>
          <w:szCs w:val="21"/>
          <w:highlight w:val="none"/>
          <w:lang w:val="zh-CN" w:eastAsia="zh-CN"/>
        </w:rPr>
        <w:t>（必须提供）</w:t>
      </w:r>
      <w:r>
        <w:rPr>
          <w:rFonts w:hint="eastAsia" w:ascii="宋体" w:hAnsi="宋体" w:cs="宋体"/>
          <w:b/>
          <w:color w:val="auto"/>
          <w:kern w:val="0"/>
          <w:szCs w:val="21"/>
          <w:highlight w:val="none"/>
          <w:lang w:val="zh-CN"/>
        </w:rPr>
        <w:t>；</w:t>
      </w:r>
    </w:p>
    <w:p>
      <w:pPr>
        <w:tabs>
          <w:tab w:val="left" w:pos="1305"/>
        </w:tabs>
        <w:spacing w:line="380" w:lineRule="exact"/>
        <w:ind w:firstLine="422"/>
        <w:rPr>
          <w:rFonts w:ascii="宋体" w:hAnsi="宋体" w:cs="宋体"/>
          <w:color w:val="auto"/>
          <w:kern w:val="0"/>
          <w:szCs w:val="21"/>
          <w:highlight w:val="none"/>
        </w:rPr>
      </w:pPr>
      <w:r>
        <w:rPr>
          <w:rFonts w:hint="eastAsia" w:ascii="宋体" w:hAnsi="宋体" w:cs="宋体"/>
          <w:b/>
          <w:color w:val="auto"/>
          <w:szCs w:val="21"/>
          <w:highlight w:val="none"/>
        </w:rPr>
        <w:t>注：本项目专门面向</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 供应可根据自身情况，相应提供以下证明材料：①供应商如为符合政策要求的</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企业且承接本项目全部服务的，提供《</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声明函》（并对声明的真实性负责）。②供应商如属于监狱企业且承接本项目全部服务的，提供由省级以上监狱管理局、戒毒管理局(含新疆生产建设兵团)出具的属于监狱企业的证明文件。③供应商如属于符合条件的残疾人福利性单位且承接本项目全部服务的，提供《残疾人福利性单位声明函》（并对声明的真实性负责）。</w:t>
      </w:r>
    </w:p>
    <w:p>
      <w:pPr>
        <w:tabs>
          <w:tab w:val="left" w:pos="1305"/>
        </w:tabs>
        <w:spacing w:line="380" w:lineRule="exact"/>
        <w:ind w:firstLine="420"/>
        <w:rPr>
          <w:rFonts w:ascii="宋体" w:hAnsi="宋体" w:cs="宋体"/>
          <w:b/>
          <w:color w:val="auto"/>
          <w:kern w:val="0"/>
          <w:szCs w:val="21"/>
          <w:highlight w:val="none"/>
        </w:rPr>
      </w:pPr>
      <w:r>
        <w:rPr>
          <w:rFonts w:hint="eastAsia" w:ascii="宋体" w:hAnsi="宋体" w:cs="宋体"/>
          <w:color w:val="auto"/>
          <w:kern w:val="0"/>
          <w:szCs w:val="21"/>
          <w:highlight w:val="none"/>
        </w:rPr>
        <w:t>（10）供应商参加本项目无围标串标行为的承诺函</w:t>
      </w:r>
      <w:r>
        <w:rPr>
          <w:rFonts w:hint="eastAsia" w:ascii="宋体" w:hAnsi="宋体" w:cs="宋体"/>
          <w:b/>
          <w:color w:val="auto"/>
          <w:kern w:val="0"/>
          <w:szCs w:val="21"/>
          <w:highlight w:val="none"/>
        </w:rPr>
        <w:t>（必须提供）。</w:t>
      </w:r>
    </w:p>
    <w:p>
      <w:pPr>
        <w:pStyle w:val="20"/>
        <w:ind w:left="0" w:leftChars="0" w:firstLine="422"/>
        <w:rPr>
          <w:rFonts w:ascii="宋体" w:hAnsi="宋体" w:cs="宋体"/>
          <w:color w:val="auto"/>
          <w:highlight w:val="none"/>
        </w:rPr>
      </w:pPr>
      <w:r>
        <w:rPr>
          <w:rFonts w:hint="eastAsia" w:ascii="宋体" w:hAnsi="宋体" w:cs="宋体"/>
          <w:b/>
          <w:bCs/>
          <w:color w:val="auto"/>
          <w:szCs w:val="21"/>
          <w:highlight w:val="none"/>
        </w:rPr>
        <w:t>11.2.1.2符合性响应证明材料：</w:t>
      </w:r>
    </w:p>
    <w:p>
      <w:pPr>
        <w:tabs>
          <w:tab w:val="left" w:pos="1305"/>
        </w:tabs>
        <w:spacing w:line="38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（1）磋商报价表</w:t>
      </w:r>
      <w:r>
        <w:rPr>
          <w:rFonts w:hint="eastAsia" w:ascii="宋体" w:hAnsi="宋体" w:cs="宋体"/>
          <w:b/>
          <w:color w:val="auto"/>
          <w:kern w:val="0"/>
          <w:szCs w:val="21"/>
          <w:highlight w:val="none"/>
        </w:rPr>
        <w:t>（必须提供）</w:t>
      </w:r>
      <w:r>
        <w:rPr>
          <w:rFonts w:hint="eastAsia" w:ascii="宋体" w:hAnsi="宋体" w:cs="宋体"/>
          <w:color w:val="auto"/>
          <w:kern w:val="0"/>
          <w:szCs w:val="21"/>
          <w:highlight w:val="none"/>
        </w:rPr>
        <w:t>；</w:t>
      </w:r>
    </w:p>
    <w:p>
      <w:pPr>
        <w:adjustRightInd w:val="0"/>
        <w:spacing w:line="380" w:lineRule="exact"/>
        <w:ind w:firstLine="420"/>
        <w:rPr>
          <w:rFonts w:ascii="宋体" w:hAnsi="宋体" w:cs="宋体"/>
          <w:b/>
          <w:color w:val="auto"/>
          <w:highlight w:val="none"/>
        </w:rPr>
      </w:pPr>
      <w:r>
        <w:rPr>
          <w:rFonts w:hint="eastAsia" w:ascii="宋体" w:hAnsi="宋体" w:cs="宋体"/>
          <w:color w:val="auto"/>
          <w:kern w:val="0"/>
          <w:szCs w:val="21"/>
          <w:highlight w:val="none"/>
        </w:rPr>
        <w:t>（2）服务内容及要求响应表</w:t>
      </w:r>
      <w:r>
        <w:rPr>
          <w:rFonts w:hint="eastAsia" w:ascii="宋体" w:hAnsi="宋体" w:cs="宋体"/>
          <w:b/>
          <w:color w:val="auto"/>
          <w:highlight w:val="none"/>
        </w:rPr>
        <w:t>（必须提供）；</w:t>
      </w:r>
    </w:p>
    <w:p>
      <w:pPr>
        <w:adjustRightInd w:val="0"/>
        <w:spacing w:line="380" w:lineRule="exact"/>
        <w:ind w:firstLine="420"/>
        <w:rPr>
          <w:rFonts w:ascii="宋体" w:hAnsi="宋体" w:cs="宋体"/>
          <w:b/>
          <w:color w:val="auto"/>
          <w:highlight w:val="none"/>
        </w:rPr>
      </w:pPr>
      <w:r>
        <w:rPr>
          <w:rFonts w:hint="eastAsia" w:ascii="宋体" w:hAnsi="宋体" w:cs="宋体"/>
          <w:color w:val="auto"/>
          <w:kern w:val="0"/>
          <w:szCs w:val="21"/>
          <w:highlight w:val="none"/>
        </w:rPr>
        <w:t>（3）商务响应表</w:t>
      </w:r>
      <w:r>
        <w:rPr>
          <w:rFonts w:hint="eastAsia" w:ascii="宋体" w:hAnsi="宋体" w:cs="宋体"/>
          <w:b/>
          <w:color w:val="auto"/>
          <w:highlight w:val="none"/>
        </w:rPr>
        <w:t>（必须提供）。</w:t>
      </w:r>
    </w:p>
    <w:p>
      <w:pPr>
        <w:pStyle w:val="20"/>
        <w:ind w:left="0" w:leftChars="0" w:firstLine="422"/>
        <w:rPr>
          <w:rFonts w:ascii="宋体" w:hAnsi="宋体" w:cs="宋体"/>
          <w:b/>
          <w:bCs/>
          <w:color w:val="auto"/>
          <w:szCs w:val="21"/>
          <w:highlight w:val="none"/>
        </w:rPr>
      </w:pPr>
      <w:r>
        <w:rPr>
          <w:rFonts w:hint="eastAsia" w:ascii="宋体" w:hAnsi="宋体" w:cs="宋体"/>
          <w:b/>
          <w:bCs/>
          <w:color w:val="auto"/>
          <w:szCs w:val="21"/>
          <w:highlight w:val="none"/>
        </w:rPr>
        <w:t>11.2.1.3其他有效证明材料</w:t>
      </w:r>
    </w:p>
    <w:p>
      <w:pPr>
        <w:tabs>
          <w:tab w:val="left" w:pos="1305"/>
        </w:tabs>
        <w:spacing w:line="380" w:lineRule="exact"/>
        <w:ind w:firstLine="420"/>
        <w:rPr>
          <w:rFonts w:ascii="宋体" w:hAnsi="宋体" w:cs="宋体"/>
          <w:b/>
          <w:color w:val="auto"/>
          <w:kern w:val="0"/>
          <w:highlight w:val="none"/>
        </w:rPr>
      </w:pPr>
      <w:r>
        <w:rPr>
          <w:rFonts w:hint="eastAsia" w:ascii="宋体" w:hAnsi="宋体"/>
          <w:color w:val="auto"/>
          <w:kern w:val="0"/>
          <w:highlight w:val="none"/>
        </w:rPr>
        <w:t>（1）供应商的项目实施方案</w:t>
      </w:r>
      <w:r>
        <w:rPr>
          <w:rFonts w:hint="eastAsia" w:hAnsi="宋体"/>
          <w:b/>
          <w:color w:val="auto"/>
          <w:highlight w:val="none"/>
        </w:rPr>
        <w:t>（如有，请提供）</w:t>
      </w:r>
      <w:r>
        <w:rPr>
          <w:rFonts w:hint="eastAsia" w:ascii="宋体" w:hAnsi="宋体" w:cs="宋体"/>
          <w:b/>
          <w:color w:val="auto"/>
          <w:kern w:val="0"/>
          <w:highlight w:val="none"/>
        </w:rPr>
        <w:t>；</w:t>
      </w:r>
    </w:p>
    <w:p>
      <w:pPr>
        <w:tabs>
          <w:tab w:val="left" w:pos="1305"/>
        </w:tabs>
        <w:spacing w:line="380" w:lineRule="exact"/>
        <w:ind w:firstLine="420"/>
        <w:rPr>
          <w:rFonts w:ascii="宋体" w:hAnsi="宋体"/>
          <w:color w:val="auto"/>
          <w:szCs w:val="21"/>
          <w:highlight w:val="none"/>
        </w:rPr>
      </w:pPr>
      <w:r>
        <w:rPr>
          <w:rFonts w:hint="eastAsia" w:ascii="宋体" w:hAnsi="宋体"/>
          <w:color w:val="auto"/>
          <w:kern w:val="0"/>
          <w:highlight w:val="none"/>
        </w:rPr>
        <w:t>注：项目实施方案</w:t>
      </w:r>
      <w:r>
        <w:rPr>
          <w:rFonts w:hint="eastAsia" w:ascii="宋体" w:hAnsi="宋体"/>
          <w:color w:val="auto"/>
          <w:szCs w:val="21"/>
          <w:highlight w:val="none"/>
        </w:rPr>
        <w:t>包含但不限于：</w:t>
      </w:r>
      <w:r>
        <w:rPr>
          <w:rFonts w:hint="eastAsia"/>
          <w:color w:val="auto"/>
          <w:kern w:val="0"/>
          <w:szCs w:val="21"/>
          <w:highlight w:val="none"/>
        </w:rPr>
        <w:t>配送服务方案、应急方案、食材质量安全保障方案等。</w:t>
      </w:r>
    </w:p>
    <w:p>
      <w:pPr>
        <w:tabs>
          <w:tab w:val="left" w:pos="1305"/>
        </w:tabs>
        <w:spacing w:line="380" w:lineRule="exact"/>
        <w:ind w:firstLine="420"/>
        <w:rPr>
          <w:rFonts w:ascii="宋体" w:hAnsi="宋体"/>
          <w:color w:val="auto"/>
          <w:szCs w:val="21"/>
          <w:highlight w:val="none"/>
        </w:rPr>
      </w:pPr>
      <w:r>
        <w:rPr>
          <w:rFonts w:hint="eastAsia" w:ascii="宋体" w:hAnsi="宋体"/>
          <w:color w:val="auto"/>
          <w:kern w:val="0"/>
          <w:highlight w:val="none"/>
        </w:rPr>
        <w:t>（2）</w:t>
      </w:r>
      <w:r>
        <w:rPr>
          <w:rFonts w:hint="eastAsia" w:ascii="宋体" w:hAnsi="宋体"/>
          <w:color w:val="auto"/>
          <w:szCs w:val="21"/>
          <w:highlight w:val="none"/>
        </w:rPr>
        <w:t>供应商的认证认可、奖项及业绩等</w:t>
      </w:r>
      <w:r>
        <w:rPr>
          <w:rFonts w:hint="eastAsia" w:ascii="宋体" w:hAnsi="宋体" w:cs="新宋体"/>
          <w:color w:val="auto"/>
          <w:szCs w:val="21"/>
          <w:highlight w:val="none"/>
        </w:rPr>
        <w:t>履约能力相关证明材料</w:t>
      </w:r>
      <w:r>
        <w:rPr>
          <w:rFonts w:hint="eastAsia" w:hAnsi="宋体"/>
          <w:b/>
          <w:color w:val="auto"/>
          <w:highlight w:val="none"/>
        </w:rPr>
        <w:t>（如有，请提供）；</w:t>
      </w:r>
    </w:p>
    <w:p>
      <w:pPr>
        <w:tabs>
          <w:tab w:val="left" w:pos="1305"/>
        </w:tabs>
        <w:spacing w:line="380" w:lineRule="exact"/>
        <w:ind w:firstLine="420"/>
        <w:rPr>
          <w:rFonts w:ascii="宋体" w:hAnsi="宋体" w:cs="宋体"/>
          <w:color w:val="auto"/>
          <w:kern w:val="0"/>
          <w:highlight w:val="none"/>
        </w:rPr>
      </w:pPr>
      <w:r>
        <w:rPr>
          <w:rFonts w:hint="eastAsia" w:ascii="宋体" w:hAnsi="宋体" w:cs="宋体"/>
          <w:color w:val="auto"/>
          <w:kern w:val="0"/>
          <w:highlight w:val="none"/>
        </w:rPr>
        <w:t>（3）供应商可结合本项目的评审办法视自身情况自行提交其他相关证明材料</w:t>
      </w:r>
      <w:r>
        <w:rPr>
          <w:rFonts w:hint="eastAsia" w:ascii="宋体" w:hAnsi="宋体" w:cs="宋体"/>
          <w:b/>
          <w:color w:val="auto"/>
          <w:kern w:val="0"/>
          <w:highlight w:val="none"/>
        </w:rPr>
        <w:t>（如有，请提供）。</w:t>
      </w:r>
    </w:p>
    <w:p>
      <w:pPr>
        <w:spacing w:line="380" w:lineRule="exact"/>
        <w:ind w:firstLine="422"/>
        <w:rPr>
          <w:rFonts w:ascii="宋体" w:hAnsi="宋体"/>
          <w:b/>
          <w:color w:val="auto"/>
          <w:szCs w:val="21"/>
          <w:highlight w:val="none"/>
        </w:rPr>
      </w:pPr>
      <w:r>
        <w:rPr>
          <w:rFonts w:hint="eastAsia" w:ascii="宋体" w:hAnsi="宋体"/>
          <w:b/>
          <w:color w:val="auto"/>
          <w:szCs w:val="21"/>
          <w:highlight w:val="none"/>
        </w:rPr>
        <w:t>供应商提供第11.1.1-11.1.3的相关证明材料必须真实有效，属于“必须提供”的文件应加盖供应商电子签章，否则，响应文件按无效处理；其中“必须提供”的文件在“第六章 响应文件（格式）”中有要求法定代表人或相应的授权委托代理人在规定位置签字（或电子签名）的，必须按要求签字（或电子签名），否则，响应文件按无效处理。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11.3 供应商应按竞争性磋商文件第六章“响应文件（格式）”编制响应文件。</w:t>
      </w:r>
    </w:p>
    <w:p>
      <w:pPr>
        <w:spacing w:line="36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特别说明：</w:t>
      </w:r>
    </w:p>
    <w:p>
      <w:pPr>
        <w:spacing w:line="360" w:lineRule="exact"/>
        <w:ind w:firstLine="420" w:firstLineChars="200"/>
        <w:rPr>
          <w:rFonts w:ascii="宋体" w:hAnsi="宋体" w:cs="宋体"/>
          <w:b/>
          <w:color w:val="auto"/>
          <w:szCs w:val="21"/>
          <w:highlight w:val="none"/>
        </w:rPr>
      </w:pPr>
      <w:r>
        <w:rPr>
          <w:rFonts w:hint="eastAsia" w:ascii="宋体" w:hAnsi="宋体" w:cs="宋体"/>
          <w:b/>
          <w:bCs/>
          <w:color w:val="auto"/>
          <w:szCs w:val="21"/>
          <w:highlight w:val="none"/>
        </w:rPr>
        <w:t>（1）响</w:t>
      </w:r>
      <w:r>
        <w:rPr>
          <w:rFonts w:hint="eastAsia" w:ascii="宋体" w:hAnsi="宋体" w:cs="宋体"/>
          <w:b/>
          <w:color w:val="auto"/>
          <w:szCs w:val="21"/>
          <w:highlight w:val="none"/>
        </w:rPr>
        <w:t>应文件（电子响应文件），其中电子响应文件中所须加盖公章部分均采用CA签章。若磋商文件中有专门标注的某关联点，并要求供应商在电子投标系统中作出磋商响应的，如供应商未对关联点进行响应或者在响应文件其它内容进行描述，造成电子评审不能查询的责任由供应商自行承担。</w:t>
      </w:r>
    </w:p>
    <w:p>
      <w:pPr>
        <w:numPr>
          <w:ilvl w:val="0"/>
          <w:numId w:val="3"/>
        </w:numPr>
        <w:spacing w:line="360" w:lineRule="exact"/>
        <w:ind w:firstLine="420" w:firstLineChars="200"/>
        <w:rPr>
          <w:rFonts w:ascii="宋体" w:hAnsi="宋体" w:cs="宋体"/>
          <w:b/>
          <w:color w:val="auto"/>
          <w:szCs w:val="21"/>
          <w:highlight w:val="none"/>
        </w:rPr>
      </w:pPr>
      <w:r>
        <w:rPr>
          <w:rFonts w:hint="eastAsia" w:ascii="宋体" w:hAnsi="宋体" w:cs="宋体"/>
          <w:b/>
          <w:bCs/>
          <w:color w:val="auto"/>
          <w:szCs w:val="21"/>
          <w:highlight w:val="none"/>
        </w:rPr>
        <w:t>磋商文件要求法定代表人（负责人）或委托代理人签字的部分必须签字然后扫描或者拍照做成 pdf 格式上传（或加盖个人CA签章），无签字的视为响应无效。</w:t>
      </w:r>
    </w:p>
    <w:p>
      <w:pPr>
        <w:pStyle w:val="4"/>
        <w:spacing w:line="360" w:lineRule="auto"/>
        <w:ind w:firstLine="420" w:firstLineChars="200"/>
        <w:rPr>
          <w:rFonts w:ascii="宋体" w:hAnsi="宋体" w:cs="宋体"/>
          <w:color w:val="auto"/>
          <w:sz w:val="21"/>
          <w:szCs w:val="21"/>
          <w:highlight w:val="none"/>
        </w:rPr>
      </w:pPr>
      <w:bookmarkStart w:id="53" w:name="_Toc155802457"/>
      <w:bookmarkStart w:id="54" w:name="_Toc2180"/>
      <w:r>
        <w:rPr>
          <w:rFonts w:hint="eastAsia" w:ascii="宋体" w:hAnsi="宋体" w:cs="宋体"/>
          <w:color w:val="auto"/>
          <w:sz w:val="21"/>
          <w:szCs w:val="21"/>
          <w:highlight w:val="none"/>
        </w:rPr>
        <w:t>12. 响应文件的语言及计量</w:t>
      </w:r>
      <w:bookmarkEnd w:id="53"/>
      <w:bookmarkEnd w:id="54"/>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 响应文件以及供应商与采购代理机构就有关磋商事宜的所有来往函电，均应以中文汉语书写。供应商提交的支持文件和印刷的文献可以使用别的语言，但其相应内容必须附有中文翻译文本，在解释响应文件时以中文翻译文本为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 磋商计量单位，磋商文件已有明确规定的，使用磋商文件规定的计量单位；磋商文件没有规定的，应采用中华人民共和国法定计量单位（货币单位：人民币元），否则视同未响应。</w:t>
      </w:r>
    </w:p>
    <w:p>
      <w:pPr>
        <w:pStyle w:val="4"/>
        <w:spacing w:line="360" w:lineRule="auto"/>
        <w:ind w:firstLine="420" w:firstLineChars="200"/>
        <w:rPr>
          <w:rFonts w:ascii="宋体" w:hAnsi="宋体" w:cs="宋体"/>
          <w:color w:val="auto"/>
          <w:sz w:val="21"/>
          <w:szCs w:val="21"/>
          <w:highlight w:val="none"/>
        </w:rPr>
      </w:pPr>
      <w:bookmarkStart w:id="55" w:name="_Toc10838"/>
      <w:bookmarkStart w:id="56" w:name="_Toc155802458"/>
      <w:r>
        <w:rPr>
          <w:rFonts w:hint="eastAsia" w:ascii="宋体" w:hAnsi="宋体" w:cs="宋体"/>
          <w:color w:val="auto"/>
          <w:sz w:val="21"/>
          <w:szCs w:val="21"/>
          <w:highlight w:val="none"/>
        </w:rPr>
        <w:t>13. 磋商报价及采购预算金额</w:t>
      </w:r>
      <w:bookmarkEnd w:id="55"/>
      <w:bookmarkEnd w:id="56"/>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13.1供应商必须就“采购需求”中要求配送的各类物资作完整唯一综合折扣率（%）报价。在服务期限内，成交供应商的成交综合折扣率（%）不得以市场价格波动等情况进行调整，成交供应商应承担由此带来的相应风险。</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13.2各类物资综合折扣率（%）控制价如下：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①肉、鸡鸭类、冻货、禽蛋类综合折扣率控制价：</w:t>
      </w:r>
      <w:r>
        <w:rPr>
          <w:rFonts w:ascii="宋体" w:hAnsi="宋体" w:cs="宋体"/>
          <w:color w:val="auto"/>
          <w:szCs w:val="21"/>
          <w:highlight w:val="none"/>
        </w:rPr>
        <w:t>90</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②蔬菜类综合折扣率控制价：</w:t>
      </w:r>
      <w:r>
        <w:rPr>
          <w:rFonts w:ascii="宋体" w:hAnsi="宋体" w:cs="宋体"/>
          <w:color w:val="auto"/>
          <w:szCs w:val="21"/>
          <w:highlight w:val="none"/>
        </w:rPr>
        <w:t>88</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③调味品干杂香料、食用油类、</w:t>
      </w:r>
      <w:r>
        <w:rPr>
          <w:rFonts w:hint="eastAsia" w:ascii="宋体" w:hAnsi="宋体" w:cs="仿宋"/>
          <w:color w:val="auto"/>
          <w:szCs w:val="21"/>
          <w:highlight w:val="none"/>
        </w:rPr>
        <w:t>副食品类</w:t>
      </w:r>
      <w:r>
        <w:rPr>
          <w:rFonts w:hint="eastAsia" w:ascii="宋体" w:hAnsi="宋体" w:cs="宋体"/>
          <w:color w:val="auto"/>
          <w:szCs w:val="21"/>
          <w:highlight w:val="none"/>
        </w:rPr>
        <w:t>综合折扣率控制价：88%；</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供应商的各类物资磋商综合折扣率（%）报价不得高于上述相应各类物资综合折扣率（%）控制价，否则响应文件按无效处理。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13.3磋商综合折扣率（%）报价应包含采购范围内的物资定点供应价款、所承诺的配送相关服务（含提供的物资、包装、运输、装卸、送货到位、检验等）、服务质量保障、保险、税金、利润、所承诺的优惠措施及所发生的各种服务的费用及其他所有费用，供应商应综合考虑进磋商报价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13.4物资供应基础价格：物资供应基础价格优先参考广西桂林市发展和改革委员会网站中公布的近期《十二家市场农副产品价格采集表》、《桂林市市区部分居民基本生活消费品市场价格表》相关内容，广西桂林市发展和改革委员会网站中没有发布的物资价格由成交供应商根据市场调查，形成市场价格目录表提供给采购人，采购人根据其提供的市场价格目录表进行市场核价，双方按核查后的市场价格作为供应基础价格。本项目市场调查地点为农贸市场（如：桂林市汇东批发市场、桂林市北门冷冻厂、七星</w:t>
      </w:r>
      <w:r>
        <w:rPr>
          <w:rFonts w:ascii="宋体" w:hAnsi="宋体" w:cs="宋体"/>
          <w:color w:val="auto"/>
          <w:szCs w:val="21"/>
          <w:highlight w:val="none"/>
        </w:rPr>
        <w:t>菜市</w:t>
      </w:r>
      <w:r>
        <w:rPr>
          <w:rFonts w:hint="eastAsia" w:ascii="宋体" w:hAnsi="宋体" w:cs="宋体"/>
          <w:color w:val="auto"/>
          <w:szCs w:val="21"/>
          <w:highlight w:val="none"/>
        </w:rPr>
        <w:t>窑农贸等)。成交供应商在服务期限内认为物资供应价格受市场价格的变动，需要申请变动调整物资供应价格的，必须将详细调整内容申请上报采购人，采购人同意后方可调整。</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13.5结算方式：本项目服务期限内，相应类别的物资供应价款实际结算=相应类别的物资供应基础价格×数量×相应类别物资成交综合折扣率（%）。</w:t>
      </w:r>
    </w:p>
    <w:p>
      <w:pPr>
        <w:pStyle w:val="4"/>
        <w:spacing w:line="360" w:lineRule="auto"/>
        <w:ind w:firstLine="420" w:firstLineChars="200"/>
        <w:rPr>
          <w:rFonts w:ascii="宋体" w:hAnsi="宋体" w:cs="宋体"/>
          <w:color w:val="auto"/>
          <w:sz w:val="21"/>
          <w:szCs w:val="21"/>
          <w:highlight w:val="none"/>
        </w:rPr>
      </w:pPr>
      <w:bookmarkStart w:id="57" w:name="_Toc26881"/>
      <w:bookmarkStart w:id="58" w:name="_Toc155802459"/>
      <w:r>
        <w:rPr>
          <w:rFonts w:hint="eastAsia" w:ascii="宋体" w:hAnsi="宋体" w:cs="宋体"/>
          <w:color w:val="auto"/>
          <w:sz w:val="21"/>
          <w:szCs w:val="21"/>
          <w:highlight w:val="none"/>
        </w:rPr>
        <w:t>14. 响应文件有效期</w:t>
      </w:r>
      <w:bookmarkEnd w:id="57"/>
      <w:bookmarkEnd w:id="58"/>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14.1 响应文件有效期：响应文件递交截止时间之日起90天，有效期不足的响应文件将被拒绝。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14.2 出现特殊情况下，需要延长响应文件有效期的，采购代理机构书面通知供应商延长响应文件有效期。供应商同意延长的，但不能修改响应文件。供应商拒绝延长的，其响应文件无效。</w:t>
      </w:r>
    </w:p>
    <w:p>
      <w:pPr>
        <w:pStyle w:val="4"/>
        <w:spacing w:line="360" w:lineRule="auto"/>
        <w:ind w:firstLine="420" w:firstLineChars="200"/>
        <w:rPr>
          <w:rFonts w:ascii="宋体" w:hAnsi="宋体" w:cs="宋体"/>
          <w:color w:val="auto"/>
          <w:sz w:val="21"/>
          <w:szCs w:val="21"/>
          <w:highlight w:val="none"/>
        </w:rPr>
      </w:pPr>
      <w:bookmarkStart w:id="59" w:name="_Toc22602"/>
      <w:bookmarkStart w:id="60" w:name="_Toc155802460"/>
      <w:r>
        <w:rPr>
          <w:rFonts w:hint="eastAsia" w:ascii="宋体" w:hAnsi="宋体" w:cs="宋体"/>
          <w:color w:val="auto"/>
          <w:sz w:val="21"/>
          <w:szCs w:val="21"/>
          <w:highlight w:val="none"/>
        </w:rPr>
        <w:t>15. 磋商保证金</w:t>
      </w:r>
      <w:bookmarkEnd w:id="59"/>
      <w:bookmarkEnd w:id="60"/>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本项目无需缴纳磋商保证金。</w:t>
      </w:r>
    </w:p>
    <w:p>
      <w:pPr>
        <w:pStyle w:val="4"/>
        <w:spacing w:line="360" w:lineRule="auto"/>
        <w:ind w:firstLine="420" w:firstLineChars="200"/>
        <w:rPr>
          <w:rFonts w:ascii="宋体" w:hAnsi="宋体" w:cs="宋体"/>
          <w:color w:val="auto"/>
          <w:sz w:val="21"/>
          <w:szCs w:val="21"/>
          <w:highlight w:val="none"/>
        </w:rPr>
      </w:pPr>
      <w:bookmarkStart w:id="61" w:name="_Toc387"/>
      <w:bookmarkStart w:id="62" w:name="_Toc155802461"/>
      <w:r>
        <w:rPr>
          <w:rFonts w:hint="eastAsia" w:ascii="宋体" w:hAnsi="宋体" w:cs="宋体"/>
          <w:color w:val="auto"/>
          <w:sz w:val="21"/>
          <w:szCs w:val="21"/>
          <w:highlight w:val="none"/>
        </w:rPr>
        <w:t>16. 竞争性磋商响应文件的</w:t>
      </w:r>
      <w:bookmarkEnd w:id="61"/>
      <w:r>
        <w:rPr>
          <w:rFonts w:hint="eastAsia" w:ascii="宋体" w:hAnsi="宋体" w:cs="宋体"/>
          <w:color w:val="auto"/>
          <w:sz w:val="21"/>
          <w:szCs w:val="21"/>
          <w:highlight w:val="none"/>
        </w:rPr>
        <w:t>制作</w:t>
      </w:r>
      <w:bookmarkEnd w:id="62"/>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 电子磋商响应文件中须加盖供应商公章部分均采用 CA 签章，并根据“政府采购项目电子交易管理操作指南-供应商” 及本磋商文件规定的格式和顺序编制电子磋商响应文件并进行关联定位，以便磋商小组在评审时，点击评分项可直接定位到该评分项内容。如对磋商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 漏读，或者在按采购文件规定的部位查找不到相关内容的，由供应商自行承担。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16.2供应商法人（负责人）或授权代表持有政采云个人CA签章的，应在响应文件中涉及到签字的位置使用个人CA签章，没有办理政采云个人CA签章的可在响应文件中涉及到签字的位置手写签字后扫描或者拍照做成 PDF 的格式上传即可。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 磋商响应文件不得涂改，若有修改错漏处，须法定代表人（负责人）或授权委托人签字（或个人CA签章）。磋商响应文件因字迹潦草或表达不清所引起的后果由供应商负责。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16.4磋商前准备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16.4.1本项目实行在线磋商，采用电子磋商响应文件。若供应商参与磋商，自行承担磋商一切费用。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16.4.2各供应商应在截标前应确保成为政采云平台正式注册入库供应商，并完成 CA 数字证书申领。因未注册入库、未办理 CA 数字证书等原因造成无法磋商或磋商失败等后果由供应商自行承担。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16.4.3供应商将政采云电子交易客户端下载、安装完成后，可通过账号密码或 CA 登录客户端进行响应文件制作。客户端请至网站下载专区查看，如有问题可拨打政采云客户服务热线 95763 进行咨询。</w:t>
      </w:r>
    </w:p>
    <w:p>
      <w:pPr>
        <w:pStyle w:val="4"/>
        <w:spacing w:line="360" w:lineRule="auto"/>
        <w:ind w:firstLine="420" w:firstLineChars="200"/>
        <w:rPr>
          <w:rFonts w:ascii="宋体" w:hAnsi="宋体" w:cs="宋体"/>
          <w:color w:val="auto"/>
          <w:sz w:val="21"/>
          <w:szCs w:val="21"/>
          <w:highlight w:val="none"/>
        </w:rPr>
      </w:pPr>
      <w:bookmarkStart w:id="63" w:name="_Toc155802462"/>
      <w:r>
        <w:rPr>
          <w:rFonts w:hint="eastAsia" w:ascii="宋体" w:hAnsi="宋体" w:cs="宋体"/>
          <w:color w:val="auto"/>
          <w:sz w:val="21"/>
          <w:szCs w:val="21"/>
          <w:highlight w:val="none"/>
        </w:rPr>
        <w:t>17. 响应文件的修改和撤回</w:t>
      </w:r>
      <w:bookmarkEnd w:id="6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17.1 响应文件递交截止时间前可以撤回电子磋商响应文件。补充或者修改电子磋商响应文件的，应当先行撤回原文件，补充、修改后重新传输递交，磋商响应文件递交截止时间前未完成传输的，视为撤回磋商响应文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 在响应文件递交截止时间后的响应文件有效期内，供应商不得撤回其响应文件。</w:t>
      </w:r>
    </w:p>
    <w:p>
      <w:pPr>
        <w:pStyle w:val="4"/>
        <w:spacing w:line="360" w:lineRule="auto"/>
        <w:ind w:firstLine="420" w:firstLineChars="200"/>
        <w:rPr>
          <w:rFonts w:ascii="宋体" w:hAnsi="宋体" w:cs="宋体"/>
          <w:color w:val="auto"/>
          <w:sz w:val="21"/>
          <w:szCs w:val="21"/>
          <w:highlight w:val="none"/>
        </w:rPr>
      </w:pPr>
      <w:bookmarkStart w:id="64" w:name="_Toc155802463"/>
      <w:bookmarkStart w:id="65" w:name="_Toc30156"/>
      <w:r>
        <w:rPr>
          <w:rFonts w:hint="eastAsia" w:ascii="宋体" w:hAnsi="宋体" w:cs="宋体"/>
          <w:color w:val="auto"/>
          <w:sz w:val="21"/>
          <w:szCs w:val="21"/>
          <w:highlight w:val="none"/>
        </w:rPr>
        <w:t>18. 响应文件的递交和解密</w:t>
      </w:r>
      <w:bookmarkEnd w:id="64"/>
      <w:bookmarkEnd w:id="6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18.1响应文件递交截止时间：于</w:t>
      </w:r>
      <w:r>
        <w:rPr>
          <w:rFonts w:hint="eastAsia" w:ascii="宋体" w:hAnsi="宋体" w:cs="宋体"/>
          <w:color w:val="auto"/>
          <w:szCs w:val="21"/>
          <w:highlight w:val="none"/>
          <w:u w:val="single"/>
          <w:lang w:eastAsia="zh-CN"/>
        </w:rPr>
        <w:t>2024年2月2日</w:t>
      </w:r>
      <w:r>
        <w:rPr>
          <w:rFonts w:hint="eastAsia" w:ascii="宋体" w:hAnsi="宋体" w:cs="宋体"/>
          <w:color w:val="auto"/>
          <w:szCs w:val="21"/>
          <w:highlight w:val="none"/>
          <w:u w:val="single"/>
        </w:rPr>
        <w:t>上午9时30分</w:t>
      </w:r>
      <w:r>
        <w:rPr>
          <w:rFonts w:hint="eastAsia" w:ascii="宋体" w:hAnsi="宋体" w:cs="宋体"/>
          <w:color w:val="auto"/>
          <w:szCs w:val="21"/>
          <w:highlight w:val="none"/>
        </w:rPr>
        <w:t>之前将电子磋商响应文件上传到政采云平台。应按照本项目磋商文件和政采云平台的要求编制、加密传输磋商响应文件。供应商在使用系统进行投标的过程中遇到涉及平台使用的任何问题，可致电政采云平台技术支持热线咨询，联系方式：95763。</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18.2磋商响应文件解密时间：截标时间后</w:t>
      </w:r>
      <w:r>
        <w:rPr>
          <w:rFonts w:hint="eastAsia" w:ascii="宋体" w:hAnsi="宋体" w:cs="宋体"/>
          <w:color w:val="auto"/>
          <w:szCs w:val="21"/>
          <w:highlight w:val="none"/>
          <w:u w:val="single"/>
        </w:rPr>
        <w:t>30</w:t>
      </w:r>
      <w:r>
        <w:rPr>
          <w:rFonts w:hint="eastAsia" w:ascii="宋体" w:hAnsi="宋体" w:cs="宋体"/>
          <w:color w:val="auto"/>
          <w:szCs w:val="21"/>
          <w:highlight w:val="none"/>
        </w:rPr>
        <w:t>分钟内（</w:t>
      </w:r>
      <w:r>
        <w:rPr>
          <w:rFonts w:hint="eastAsia" w:ascii="宋体" w:hAnsi="宋体" w:cs="宋体"/>
          <w:color w:val="auto"/>
          <w:szCs w:val="21"/>
          <w:highlight w:val="none"/>
          <w:u w:val="single"/>
          <w:lang w:eastAsia="zh-CN"/>
        </w:rPr>
        <w:t>2024年2月2日</w:t>
      </w:r>
      <w:r>
        <w:rPr>
          <w:rFonts w:hint="eastAsia" w:ascii="宋体" w:hAnsi="宋体" w:cs="宋体"/>
          <w:color w:val="auto"/>
          <w:szCs w:val="21"/>
          <w:highlight w:val="none"/>
          <w:u w:val="single"/>
        </w:rPr>
        <w:t>上午9时30分至10时00分</w:t>
      </w:r>
      <w:r>
        <w:rPr>
          <w:rFonts w:hint="eastAsia" w:ascii="宋体" w:hAnsi="宋体" w:cs="宋体"/>
          <w:color w:val="auto"/>
          <w:szCs w:val="21"/>
          <w:highlight w:val="none"/>
        </w:rPr>
        <w:t>)磋商供应商可以登录政采云平台，用“项目采购-开标评标”功能进行解密磋商文件。</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注：投标文件网上递交截止时间后，各投标人须在解密时限内对上传政采云的投标文件进行解密，所有投标人在规定的解密时限内解密完成或解密时限结束后，我中心开启已解密的响应文件。投标人超过解密时限未解密的，系统默认自动放弃，造成投标无效的后果由投标人自行承担。</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 除竞争性磋商文件另有规定外，供应商所递交的响应文件不予退还。</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 电子响应文件的相关说明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供应商进行电子投标应安装客户端软件，并按照采购文件和电子交易平台的要求编制并加密磋商响应文件。供应商未按规定加密的磋商响应文件，电子交易平台将拒收。供应商应当在磋商截止时间前完成磋商响应文件的传输递交，并可以补充、修改或者撤回磋商响应文件。补充或者修改磋商响应文件的，应当先行撤回原文件，补充、修改后重新传输递交。磋商截止时间前未完成传输的，视为撤回磋商响应文件。磋商截止时间后递交的磋商响应文件，电子交易平台将拒收。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（2）如有特殊情况，采购代理机构延长截止时间和开标时间，采购代理机构和供应商的权利和义务将受到新的截止时间和开标时间的约束。</w:t>
      </w:r>
    </w:p>
    <w:p>
      <w:pPr>
        <w:pStyle w:val="3"/>
        <w:jc w:val="center"/>
        <w:rPr>
          <w:rFonts w:ascii="宋体" w:hAnsi="宋体" w:cs="宋体"/>
          <w:b/>
          <w:bCs w:val="0"/>
          <w:color w:val="auto"/>
          <w:szCs w:val="28"/>
          <w:highlight w:val="none"/>
        </w:rPr>
      </w:pPr>
      <w:bookmarkStart w:id="66" w:name="_Toc2433"/>
      <w:bookmarkStart w:id="67" w:name="_Toc155802464"/>
      <w:r>
        <w:rPr>
          <w:rFonts w:hint="eastAsia" w:ascii="宋体" w:hAnsi="宋体" w:cs="宋体"/>
          <w:b/>
          <w:bCs w:val="0"/>
          <w:color w:val="auto"/>
          <w:szCs w:val="28"/>
          <w:highlight w:val="none"/>
        </w:rPr>
        <w:t>四、竞争性磋商（简称磋商）与评审</w:t>
      </w:r>
      <w:bookmarkEnd w:id="66"/>
      <w:bookmarkEnd w:id="67"/>
    </w:p>
    <w:p>
      <w:pPr>
        <w:pStyle w:val="4"/>
        <w:spacing w:line="360" w:lineRule="auto"/>
        <w:ind w:firstLine="420" w:firstLineChars="200"/>
        <w:rPr>
          <w:rFonts w:ascii="宋体" w:hAnsi="宋体" w:cs="宋体"/>
          <w:color w:val="auto"/>
          <w:sz w:val="21"/>
          <w:szCs w:val="21"/>
          <w:highlight w:val="none"/>
        </w:rPr>
      </w:pPr>
      <w:bookmarkStart w:id="68" w:name="_Toc155802465"/>
      <w:bookmarkStart w:id="69" w:name="_Toc31588"/>
      <w:r>
        <w:rPr>
          <w:rFonts w:hint="eastAsia" w:ascii="宋体" w:hAnsi="宋体" w:cs="宋体"/>
          <w:color w:val="auto"/>
          <w:sz w:val="21"/>
          <w:szCs w:val="21"/>
          <w:highlight w:val="none"/>
        </w:rPr>
        <w:t>19. 磋商小组组成及磋商时间、地点、人员</w:t>
      </w:r>
      <w:bookmarkEnd w:id="68"/>
      <w:bookmarkEnd w:id="6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19.1 磋商小组组成：</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磋商及评审工作由采购代理机构负责组织，具体磋商、评审工作由依法组建的磋商小组负责，磋商小组由采购人代表和评审专家组成。磋商小组的构成：</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人，其中采购人代表</w:t>
      </w:r>
      <w:r>
        <w:rPr>
          <w:rFonts w:hint="eastAsia" w:ascii="宋体" w:hAnsi="宋体" w:cs="宋体"/>
          <w:color w:val="auto"/>
          <w:szCs w:val="21"/>
          <w:highlight w:val="none"/>
          <w:u w:val="single"/>
        </w:rPr>
        <w:t xml:space="preserve"> 1 </w:t>
      </w:r>
      <w:r>
        <w:rPr>
          <w:rFonts w:hint="eastAsia" w:ascii="宋体" w:hAnsi="宋体" w:cs="宋体"/>
          <w:color w:val="auto"/>
          <w:szCs w:val="21"/>
          <w:highlight w:val="none"/>
        </w:rPr>
        <w:t>人，评审专家</w:t>
      </w:r>
      <w:r>
        <w:rPr>
          <w:rFonts w:hint="eastAsia" w:ascii="宋体" w:hAnsi="宋体" w:cs="宋体"/>
          <w:color w:val="auto"/>
          <w:szCs w:val="21"/>
          <w:highlight w:val="none"/>
          <w:u w:val="single"/>
        </w:rPr>
        <w:t xml:space="preserve"> 2 </w:t>
      </w:r>
      <w:r>
        <w:rPr>
          <w:rFonts w:hint="eastAsia" w:ascii="宋体" w:hAnsi="宋体" w:cs="宋体"/>
          <w:color w:val="auto"/>
          <w:szCs w:val="21"/>
          <w:highlight w:val="none"/>
        </w:rPr>
        <w:t>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19.2 磋商时间、地点、人员：</w:t>
      </w:r>
    </w:p>
    <w:p>
      <w:pPr>
        <w:spacing w:line="360" w:lineRule="auto"/>
        <w:ind w:firstLine="420" w:firstLineChars="200"/>
        <w:rPr>
          <w:rFonts w:ascii="宋体" w:hAnsi="宋体" w:cs="宋体"/>
          <w:color w:val="auto"/>
          <w:szCs w:val="21"/>
          <w:highlight w:val="none"/>
        </w:rPr>
      </w:pPr>
      <w:bookmarkStart w:id="70" w:name="_Toc9878"/>
      <w:r>
        <w:rPr>
          <w:rFonts w:hint="eastAsia" w:ascii="宋体" w:hAnsi="宋体" w:cs="宋体"/>
          <w:color w:val="auto"/>
          <w:szCs w:val="21"/>
          <w:highlight w:val="none"/>
        </w:rPr>
        <w:t>19.2.1磋商时间：响应文件递交截止时间后。</w:t>
      </w:r>
      <w:bookmarkEnd w:id="70"/>
    </w:p>
    <w:p>
      <w:pPr>
        <w:spacing w:line="360" w:lineRule="auto"/>
        <w:ind w:firstLine="420" w:firstLineChars="200"/>
        <w:rPr>
          <w:rFonts w:ascii="宋体" w:hAnsi="宋体" w:cs="宋体"/>
          <w:color w:val="auto"/>
          <w:szCs w:val="21"/>
          <w:highlight w:val="none"/>
        </w:rPr>
      </w:pPr>
      <w:bookmarkStart w:id="71" w:name="_Toc29268"/>
      <w:r>
        <w:rPr>
          <w:rFonts w:hint="eastAsia" w:ascii="宋体" w:hAnsi="宋体" w:cs="宋体"/>
          <w:color w:val="auto"/>
          <w:szCs w:val="21"/>
          <w:highlight w:val="none"/>
        </w:rPr>
        <w:t>19.2.2磋商地点：</w:t>
      </w:r>
      <w:bookmarkEnd w:id="71"/>
      <w:r>
        <w:rPr>
          <w:rFonts w:hint="eastAsia" w:ascii="宋体" w:hAnsi="宋体" w:cs="宋体"/>
          <w:color w:val="auto"/>
          <w:szCs w:val="21"/>
          <w:highlight w:val="none"/>
        </w:rPr>
        <w:t>本项目需要磋商供应商代表在截标当天截标后，按磋商小组要求及时登陆政采云平台等候在线磋商。</w:t>
      </w:r>
    </w:p>
    <w:p>
      <w:pPr>
        <w:spacing w:line="360" w:lineRule="auto"/>
        <w:ind w:firstLine="420" w:firstLineChars="200"/>
        <w:rPr>
          <w:rFonts w:ascii="宋体" w:hAnsi="宋体" w:cs="宋体"/>
          <w:bCs/>
          <w:color w:val="auto"/>
          <w:szCs w:val="21"/>
          <w:highlight w:val="none"/>
        </w:rPr>
      </w:pPr>
      <w:bookmarkStart w:id="72" w:name="_Toc21307"/>
      <w:r>
        <w:rPr>
          <w:rFonts w:hint="eastAsia" w:ascii="宋体" w:hAnsi="宋体" w:cs="宋体"/>
          <w:color w:val="auto"/>
          <w:szCs w:val="21"/>
          <w:highlight w:val="none"/>
        </w:rPr>
        <w:t>19</w:t>
      </w:r>
      <w:r>
        <w:rPr>
          <w:rFonts w:hint="eastAsia" w:ascii="宋体" w:hAnsi="宋体" w:cs="宋体"/>
          <w:bCs/>
          <w:color w:val="auto"/>
          <w:szCs w:val="21"/>
          <w:highlight w:val="none"/>
        </w:rPr>
        <w:t>.2.3磋商参加人员：供应商法定代表人、负责人、自然人或相应的委托代理人持</w:t>
      </w:r>
      <w:r>
        <w:rPr>
          <w:rFonts w:hint="eastAsia" w:ascii="宋体" w:hAnsi="宋体" w:cs="宋体"/>
          <w:bCs/>
          <w:color w:val="auto"/>
          <w:szCs w:val="21"/>
          <w:highlight w:val="none"/>
          <w:u w:val="single"/>
        </w:rPr>
        <w:t>有效身份证原件</w:t>
      </w:r>
      <w:r>
        <w:rPr>
          <w:rFonts w:hint="eastAsia" w:ascii="宋体" w:hAnsi="宋体" w:cs="宋体"/>
          <w:bCs/>
          <w:color w:val="auto"/>
          <w:szCs w:val="21"/>
          <w:highlight w:val="none"/>
        </w:rPr>
        <w:t>和供应商</w:t>
      </w:r>
      <w:r>
        <w:rPr>
          <w:rFonts w:hint="eastAsia" w:ascii="宋体" w:hAnsi="宋体" w:cs="宋体"/>
          <w:bCs/>
          <w:color w:val="auto"/>
          <w:szCs w:val="21"/>
          <w:highlight w:val="none"/>
          <w:u w:val="single"/>
        </w:rPr>
        <w:t>政采云平台CA数字证书</w:t>
      </w:r>
      <w:r>
        <w:rPr>
          <w:rFonts w:hint="eastAsia" w:ascii="宋体" w:hAnsi="宋体" w:cs="宋体"/>
          <w:bCs/>
          <w:color w:val="auto"/>
          <w:szCs w:val="21"/>
          <w:highlight w:val="none"/>
        </w:rPr>
        <w:t>参加磋商。请供应商按时到达指定地点等候磋商。</w:t>
      </w:r>
      <w:bookmarkEnd w:id="72"/>
    </w:p>
    <w:p>
      <w:pPr>
        <w:spacing w:line="360" w:lineRule="auto"/>
        <w:ind w:firstLine="420" w:firstLineChars="200"/>
        <w:rPr>
          <w:rFonts w:ascii="宋体" w:hAnsi="宋体" w:cs="宋体"/>
          <w:bCs/>
          <w:color w:val="auto"/>
          <w:szCs w:val="21"/>
          <w:highlight w:val="none"/>
        </w:rPr>
      </w:pPr>
      <w:bookmarkStart w:id="73" w:name="_Toc6288"/>
      <w:r>
        <w:rPr>
          <w:rFonts w:hint="eastAsia" w:ascii="宋体" w:hAnsi="宋体" w:cs="宋体"/>
          <w:bCs/>
          <w:color w:val="auto"/>
          <w:szCs w:val="21"/>
          <w:highlight w:val="none"/>
        </w:rPr>
        <w:t>19.2.4响应文件递交截止时间后，由磋商小组在评标室内线上开启响应文件。</w:t>
      </w:r>
      <w:bookmarkEnd w:id="73"/>
    </w:p>
    <w:p>
      <w:pPr>
        <w:pStyle w:val="4"/>
        <w:spacing w:line="360" w:lineRule="auto"/>
        <w:ind w:firstLine="420" w:firstLineChars="200"/>
        <w:rPr>
          <w:rFonts w:ascii="宋体" w:hAnsi="宋体" w:cs="宋体"/>
          <w:color w:val="auto"/>
          <w:sz w:val="21"/>
          <w:szCs w:val="21"/>
          <w:highlight w:val="none"/>
        </w:rPr>
      </w:pPr>
      <w:bookmarkStart w:id="74" w:name="_Toc155802466"/>
      <w:bookmarkStart w:id="75" w:name="_Toc25258"/>
      <w:r>
        <w:rPr>
          <w:rFonts w:hint="eastAsia" w:ascii="宋体" w:hAnsi="宋体" w:cs="宋体"/>
          <w:color w:val="auto"/>
          <w:sz w:val="21"/>
          <w:szCs w:val="21"/>
          <w:highlight w:val="none"/>
        </w:rPr>
        <w:t>20. 评审原则</w:t>
      </w:r>
      <w:bookmarkEnd w:id="74"/>
      <w:bookmarkEnd w:id="7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 磋商小组必须坚持公平、公正、科学和择优的原则。</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评审办法：综合评分法，具体详见第四章评审办法。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磋商小组应按磋商文件进行评审，不得擅自更改评审办法。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在评审过程中，磋商小组任何人不得对某个供应商发表任何倾向性意见，不得向其他磋商小组成员明示或者暗示自己的评审意见。</w:t>
      </w:r>
    </w:p>
    <w:p>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20.5 磋商小组成员对需要共同认定的事项存在争议的，按照少数服从多数的原则作出结论。持不同意见的磋商小组成员应当在评审报告上签署不同意见并说明理由，否则视为同意。</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20.6 响应文件最后报价出现前后不一致的，除竞争性磋商文件另有规定外，按照下列规定修正：</w:t>
      </w:r>
    </w:p>
    <w:p>
      <w:pPr>
        <w:pStyle w:val="2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(1) </w:t>
      </w:r>
      <w:r>
        <w:rPr>
          <w:rFonts w:hint="eastAsia" w:ascii="宋体" w:hAnsi="宋体" w:cs="宋体"/>
          <w:color w:val="auto"/>
          <w:highlight w:val="none"/>
        </w:rPr>
        <w:t>响应文件中磋商报价表内容与响应文件中相应内容不一致的，以最后磋商报价表为准；</w:t>
      </w:r>
    </w:p>
    <w:p>
      <w:pPr>
        <w:pStyle w:val="2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 xml:space="preserve"> 大写金额和小写金额不一致的，以大写金额为准；</w:t>
      </w:r>
    </w:p>
    <w:p>
      <w:pPr>
        <w:pStyle w:val="2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(3)</w:t>
      </w:r>
      <w:r>
        <w:rPr>
          <w:rFonts w:hint="eastAsia" w:ascii="宋体" w:hAnsi="宋体" w:cs="宋体"/>
          <w:color w:val="auto"/>
          <w:highlight w:val="none"/>
        </w:rPr>
        <w:t xml:space="preserve"> 单价金额小数点或者百分比有明显错位的，以报价表的总价为准，并修改单价；</w:t>
      </w:r>
    </w:p>
    <w:p>
      <w:pPr>
        <w:pStyle w:val="27"/>
        <w:tabs>
          <w:tab w:val="left" w:pos="1099"/>
        </w:tabs>
        <w:spacing w:before="130"/>
        <w:ind w:left="420" w:leftChars="200" w:firstLine="0" w:firstLineChars="0"/>
        <w:jc w:val="left"/>
        <w:rPr>
          <w:rFonts w:ascii="宋体" w:hAnsi="宋体" w:cs="宋体"/>
          <w:color w:val="auto"/>
          <w:highlight w:val="none"/>
        </w:rPr>
      </w:pPr>
      <w:r>
        <w:rPr>
          <w:rFonts w:hint="eastAsia" w:ascii="宋体" w:hAnsi="宋体" w:cs="宋体"/>
          <w:color w:val="auto"/>
          <w:szCs w:val="21"/>
          <w:highlight w:val="none"/>
        </w:rPr>
        <w:t xml:space="preserve">(4) </w:t>
      </w:r>
      <w:r>
        <w:rPr>
          <w:rFonts w:hint="eastAsia" w:ascii="宋体" w:hAnsi="宋体" w:cs="宋体"/>
          <w:color w:val="auto"/>
          <w:highlight w:val="none"/>
        </w:rPr>
        <w:t>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同时出现两种以上不一致的，按照前款规定的顺序修正。修正后的报价（不得超出响应文件的范围或者改变响应文件的实质性内容）经磋商供应商确认后产生约束力，磋商供应商不确认的，作无效响应处理。</w:t>
      </w:r>
    </w:p>
    <w:p>
      <w:pPr>
        <w:pStyle w:val="4"/>
        <w:spacing w:line="360" w:lineRule="auto"/>
        <w:ind w:firstLine="420" w:firstLineChars="200"/>
        <w:rPr>
          <w:rFonts w:ascii="宋体" w:hAnsi="宋体" w:cs="宋体"/>
          <w:color w:val="auto"/>
          <w:sz w:val="21"/>
          <w:szCs w:val="21"/>
          <w:highlight w:val="none"/>
        </w:rPr>
      </w:pPr>
      <w:bookmarkStart w:id="76" w:name="_Toc155802467"/>
      <w:bookmarkStart w:id="77" w:name="_Toc27193"/>
      <w:r>
        <w:rPr>
          <w:rFonts w:hint="eastAsia" w:ascii="宋体" w:hAnsi="宋体" w:cs="宋体"/>
          <w:color w:val="auto"/>
          <w:sz w:val="21"/>
          <w:szCs w:val="21"/>
          <w:highlight w:val="none"/>
        </w:rPr>
        <w:t>21. 评审程序及磋商要求</w:t>
      </w:r>
      <w:bookmarkEnd w:id="76"/>
      <w:bookmarkEnd w:id="7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21.1磋商小组成员的通讯工具或相关电子设备交由桂林市公共资源交易中心统一保管后到达评标室，采购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代理机构核实磋商小组成员身份，告知回避要求，宣布评审工作纪律和程序，推选磋商小组组长。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磋商小组应当对发布公告的竞争性磋商文件（简称磋商文件）进行确认，审查供应商的响应文件并作出评价；要求供应商解释或者澄清其响应文件；编写评审报告；告知采购人、采购代理机构在评审过程中发现的供应商的违法违规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21.3 磋商小组依据竞争性磋商文件的规定，首先对响应文件进行资格性审查，以确定供应商是否具备本项 目供应商资格；再对通过资格性审查的供应商响应文件的有效性、完整性和对磋商文件的响应程度进行符合性 审查，以确定是否对磋商文件的实质性要求做出响应。 </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21.4 磋商小组在对供应商进行资格性审查时，将对供应商企业股东及出资等信息进行查询。根据 《 中华人民共和国政府采购法实施条例 》 第十八条第一款规定，审查中如发现供应商存在单位负责人为同一人或者存在直接控股、管理关系的不同供应商参加同一合同项下的政府采购活动的，按响应文件无效处理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21.4.1 查询渠道：《国家企业信用信息公示系统》（网址：www.gsxt.gov.cn/index.html）</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21.4.2 审查流程：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（1）进入《国家企业信用信息公示系统》（网址：www.gsxt.gov.cn/index.html），输入企业名称，进入企业信息主页面；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（2）查看主页“股东及出资信息”栏，或年报中的“股东及出资信息”栏信息；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（3）将各供应商的股东及出资信息进行比对，得出审查结论；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（4）将相关资料作为评审资料打印存档。</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21.5 磋商小组如发现供应商提供的证明文件不齐全或不符合规定格式的，应一次性告知供应商，供应商应在规定的时间内线上补正或更正。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21.6 磋商小组在对响应文件的有效性、完整性和响应程度进行审查时，可以要求供应商对响应文件中含义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不明确、同类问题表述不一致或者有明显文字和计算错误的内容等作出必要的澄清、说明或者更正。供应商的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澄清、说明或者更正不得超出响应文件的范围或者改变响应文件的实质性内容。澄清、说明或者更正应由其法 </w:t>
      </w:r>
    </w:p>
    <w:p>
      <w:pPr>
        <w:pStyle w:val="7"/>
        <w:rPr>
          <w:rFonts w:ascii="宋体" w:hAnsi="宋体" w:cs="宋体"/>
          <w:color w:val="auto"/>
          <w:szCs w:val="21"/>
          <w:highlight w:val="none"/>
        </w:rPr>
      </w:pPr>
      <w:r>
        <w:rPr>
          <w:rFonts w:hint="eastAsia" w:ascii="宋体" w:hAnsi="宋体" w:cs="宋体"/>
          <w:color w:val="auto"/>
          <w:szCs w:val="21"/>
          <w:highlight w:val="none"/>
        </w:rPr>
        <w:t>定代表人或相应的授权委托代表签字（</w:t>
      </w:r>
      <w:r>
        <w:rPr>
          <w:rFonts w:hint="eastAsia" w:ascii="宋体" w:hAnsi="宋体" w:cs="宋体"/>
          <w:color w:val="auto"/>
          <w:highlight w:val="none"/>
        </w:rPr>
        <w:t>个人CA签章)</w:t>
      </w:r>
      <w:r>
        <w:rPr>
          <w:rFonts w:hint="eastAsia" w:ascii="宋体" w:hAnsi="宋体" w:cs="宋体"/>
          <w:color w:val="auto"/>
          <w:szCs w:val="21"/>
          <w:highlight w:val="none"/>
        </w:rPr>
        <w:t>或者加盖供应商公章(CA签章)。</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根据磋商文件规定的程序、评定成交的标准等事项与实质性响应竞争性磋商文件要求的供应商进行磋商。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未实质性响应磋商文件的响应文件按无效处理，磋商小组应当告知有关供应商。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磋商小组所有成员应当按已确定的磋商顺序集中与单一供应商分别进行磋商，并给予所有实质性响应竞争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性磋商文件要求的供应商平等的磋商机会。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磋商中，磋商小组不得透露与磋商有关的其他供应商的技术资料、价格和其他信息。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磋商小组对磋商过程和重要磋商内容进行记录，磋商双方在记录上签字确认。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21.7当磋商小组一致确定磋商供应商的竞争性磋商响应文件能够详细列明采购标的的技术、服务要求且符合竞争性磋商文件要求，无需再磋商的，磋商小组按竞争性磋商文件设定的21.11、21.16程序和综合评分法确定成交候选人。第一轮磋商后竞争性磋商文件有实质性变动或仍需磋商的，磋商小组对竞争性磋商文件变动或提出磋商意见后进行第二轮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21.8 在磋商过程中，磋商小组可以根据磋商文件和磋商情况实质性变动项目需求中的技术、服务要求以及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合同草案条款，但不得变动磋商文件中的其他内容。实质性变动的内容，须经采购人代表确认。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对磋商文件作出的实质性变动是磋商文件的有效组成部分，磋商小组应当及时通过政采云平台同时通知所有参加磋商的供应商。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供应商应当按照磋商文件的变动情况和磋商小组的要求重新提交响应文件，并由其法定代表人、负责人、自然人或相应的授权委托代表签字（个人CA签章）或者加盖供应商公章(CA签章)。逾时不交的，视同放弃磋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21.9 第二轮磋商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磋商小组集中就重新提交的响应文件或磋商小组提出的磋商意见与单一响应供应商分别进行磋商。磋商小组对磋商过程和重要磋商内容进行记录，磋商双方在记录上签字确认（CA签章确认）。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磋商后，供应商根据磋商小组统一整理的书面磋商记录要求做出书面承诺，并由其法定代表人或授权代表签字或者加盖公章（CA签章）后按时线上提交。</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当磋商小组一致确定供应商的竞争性磋商响应文件符合竞争性磋商文件要求，无需再磋商的，磋商小组按竞争性磋商文件设定的21.11、21.16程序和评审方法确定成交候选人。第二轮磋商后竞争性磋商文件仍有实质性变动的或仍需磋商的，磋商小组对竞争性磋商文件变动或提出磋商意见后进行第三轮磋商。以此类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 最后报价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21.11.1 磋商文件能够详细列明采购标的的技术、服务要求的，磋商结束后，磋商小组应当要求所有继续参加磋商的供应商在规定时间内线上提交最后报价，提交最后报价的供应商不得少于 3 家。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21.11.2 磋商文件不能详细列明采购标的的技术、服务要求的，需由磋商供应商提供最终设计方案或解决方案的，磋商结束后，磋商小组应当按照少数服从多数的原则投票推荐 3 家以上（含 3 家）供应商的设计方案或者解决方案，并要求其在规定时间内线上提交最后报价。 </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 xml:space="preserve">21.11.3 根据《财政部关于政府采购竞争性磋商采购方式管理暂行办法有关问题的补充通知》(财库〔2015〕124 号)的规定，如采购项目为政府购买服务项目（含政府和社会资本合作项目），在采购过程中符合要求的供应商（社会资本）只有 2 家的，竞争性磋商采购活动可以继续进行，并要求其在规定时间内线上提交最后报价；采购过程中符合要求的供应商（社会资本）只有 1 家的，采购人或者采购代理机构应当终止竞争性磋商采购活动，发布项目终止公告并说明原因，重新开展采购活动。 </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21.11.4 根据《政府采购竞争性磋商采购方式管理暂行办法》(财库〔2014〕214 号)的规定：</w:t>
      </w:r>
      <w:r>
        <w:rPr>
          <w:rFonts w:hint="eastAsia" w:ascii="宋体" w:hAnsi="宋体" w:cs="宋体"/>
          <w:b/>
          <w:bCs/>
          <w:color w:val="auto"/>
          <w:szCs w:val="21"/>
          <w:highlight w:val="none"/>
        </w:rPr>
        <w:t xml:space="preserve">最后报价是供应商响应文件的有效组成部分。 </w:t>
      </w:r>
      <w:r>
        <w:rPr>
          <w:rFonts w:hint="eastAsia" w:ascii="宋体" w:hAnsi="宋体" w:cs="宋体"/>
          <w:color w:val="auto"/>
          <w:szCs w:val="21"/>
          <w:highlight w:val="none"/>
        </w:rPr>
        <w:t>符合本办法(财库〔2014〕214号)第三条第四项情形的，提交最后报价的供应商可以为2家。</w:t>
      </w:r>
      <w:r>
        <w:rPr>
          <w:rFonts w:hint="eastAsia" w:ascii="宋体" w:hAnsi="宋体" w:cs="宋体"/>
          <w:b/>
          <w:bCs/>
          <w:color w:val="auto"/>
          <w:szCs w:val="21"/>
          <w:highlight w:val="none"/>
        </w:rPr>
        <w:t>（财库〔2014〕214号文第三条第四项：市场竞争不充分的科研项目，以及需要扶持的科技成果转化项目。）</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21.12 已提交响应文件的供应商，在提交最后报价之前，可以根据磋商情况书面退出磋商。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未书面退出磋商的供应商在规定时间内线上提交最后报价，其最后报价超出采购预算导致已通过评审的响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应文件无效的，按供应商在提交响应文件截止时间后撤回响应文件处理。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21.13 评审报告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磋商小组应当从质量和服务均能满足磋商文件全部实质性响应要求的供应商中，按照最后综合得分由高到低的顺序提出 3 名以上（含 3 名）成交候选人，并编写评审报告。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21.14 在评审过程中出现法律法规和磋商文件均没有明确规定的情形时，由磋商小组现场协商解决，协商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不一致的，由全体磋商小组投票表决，以得票率二分之一以上磋商小组成员的意见为准。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21.15 采购代理机构发现磋商小组有明显的违规倾向或歧视现象，或不按评审办法进行，或其他不正常行 </w:t>
      </w:r>
    </w:p>
    <w:p>
      <w:pPr>
        <w:spacing w:line="360" w:lineRule="auto"/>
        <w:rPr>
          <w:rFonts w:ascii="宋体" w:hAnsi="宋体" w:cs="宋体"/>
          <w:color w:val="auto"/>
          <w:szCs w:val="21"/>
          <w:highlight w:val="none"/>
        </w:rPr>
      </w:pPr>
      <w:r>
        <w:rPr>
          <w:rFonts w:hint="eastAsia" w:ascii="宋体" w:hAnsi="宋体" w:cs="宋体"/>
          <w:color w:val="auto"/>
          <w:szCs w:val="21"/>
          <w:highlight w:val="none"/>
        </w:rPr>
        <w:t>为的，应当及时制止。如制止无效，应及时向桂林市政府采购监督管理机构报告。</w:t>
      </w:r>
    </w:p>
    <w:p>
      <w:pPr>
        <w:spacing w:line="360" w:lineRule="auto"/>
        <w:ind w:firstLine="420" w:firstLineChars="200"/>
        <w:rPr>
          <w:rFonts w:ascii="宋体" w:hAnsi="宋体" w:cs="宋体"/>
          <w:b/>
          <w:bCs/>
          <w:color w:val="auto"/>
          <w:highlight w:val="none"/>
        </w:rPr>
      </w:pPr>
      <w:r>
        <w:rPr>
          <w:rFonts w:hint="eastAsia" w:ascii="宋体" w:hAnsi="宋体" w:cs="宋体"/>
          <w:color w:val="auto"/>
          <w:szCs w:val="21"/>
          <w:highlight w:val="none"/>
        </w:rPr>
        <w:t>21.16 本采购项目的评审依据为竞争性磋商文件和竞争性磋商响应文件，采用的评审方法为</w:t>
      </w:r>
      <w:r>
        <w:rPr>
          <w:rFonts w:hint="eastAsia" w:ascii="宋体" w:hAnsi="宋体" w:cs="宋体"/>
          <w:b/>
          <w:bCs/>
          <w:color w:val="auto"/>
          <w:szCs w:val="21"/>
          <w:highlight w:val="none"/>
        </w:rPr>
        <w:t>综合评分法。</w:t>
      </w:r>
    </w:p>
    <w:p>
      <w:pPr>
        <w:pStyle w:val="4"/>
        <w:spacing w:line="360" w:lineRule="auto"/>
        <w:ind w:firstLine="420" w:firstLineChars="200"/>
        <w:rPr>
          <w:rFonts w:ascii="宋体" w:hAnsi="宋体" w:cs="宋体"/>
          <w:color w:val="auto"/>
          <w:sz w:val="21"/>
          <w:szCs w:val="21"/>
          <w:highlight w:val="none"/>
        </w:rPr>
      </w:pPr>
      <w:bookmarkStart w:id="78" w:name="_Toc155802468"/>
      <w:bookmarkStart w:id="79" w:name="_Toc32470"/>
      <w:r>
        <w:rPr>
          <w:rFonts w:hint="eastAsia" w:ascii="宋体" w:hAnsi="宋体" w:cs="宋体"/>
          <w:color w:val="auto"/>
          <w:sz w:val="21"/>
          <w:szCs w:val="21"/>
          <w:highlight w:val="none"/>
        </w:rPr>
        <w:t>22. 确定成交供应商</w:t>
      </w:r>
      <w:bookmarkEnd w:id="78"/>
      <w:bookmarkEnd w:id="79"/>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22.1磋商小组应当根据综合得分情况，按照综合得分由高到低顺序推荐成交候选人，并编写评审报告。磋商小组根据综合得分由高到低排列次序，若得分相同时，以评审报价由低到高顺序排列；若得分相同且评审报价相同的，以最后报价由低到高顺序排列；若仍相同的，由磋商小组按照抽签的方式决定排列次序。</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22.2采购单位应当确定磋商小组推荐排名第一的成交候选人为成交供应商。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22.3排名第一的成交候选人放弃成交、因不可抗力提出不能履行合同，或信用信息记录不符合相关规定的，或者磋商文件规定应当提交履约保证金而在规定的期限内未能提交的，采购单位可以确定排名第二的成交候选人为成交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22.4排名第二的成交候选人因前款规定的同样原因不能签订合同的，采购单位可以确定排名第三的成交候选人为成交供应商。</w:t>
      </w:r>
    </w:p>
    <w:p>
      <w:pPr>
        <w:pStyle w:val="4"/>
        <w:spacing w:line="360" w:lineRule="auto"/>
        <w:ind w:firstLine="420" w:firstLineChars="200"/>
        <w:rPr>
          <w:rFonts w:ascii="宋体" w:hAnsi="宋体" w:cs="宋体"/>
          <w:color w:val="auto"/>
          <w:sz w:val="21"/>
          <w:szCs w:val="21"/>
          <w:highlight w:val="none"/>
        </w:rPr>
      </w:pPr>
      <w:bookmarkStart w:id="80" w:name="_Toc155802469"/>
      <w:bookmarkStart w:id="81" w:name="_Toc21715"/>
      <w:r>
        <w:rPr>
          <w:rFonts w:hint="eastAsia" w:ascii="宋体" w:hAnsi="宋体" w:cs="宋体"/>
          <w:color w:val="auto"/>
          <w:sz w:val="21"/>
          <w:szCs w:val="21"/>
          <w:highlight w:val="none"/>
        </w:rPr>
        <w:t>23. 属于下列情况之一者，响应文件无效</w:t>
      </w:r>
      <w:bookmarkEnd w:id="80"/>
      <w:bookmarkEnd w:id="81"/>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（1）未按磋商文件规定完整线上提交响应文件或未按规定要求线上签字、签章的；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（2）不具备磋商文件规定的资格要求的；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（3）响应文件未按磋商文件的内容和要求编制，或提供虚假材料的；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（4）响应文件有效期、交货时间、免费保修期（升级、维护）期/维护期、售后服务不能满足磋商文件要求的；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（5）供应商未就“采购需求”中的所有内容作完整唯一报价的，或报价超出采购预算总金额的；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（6）未在磋商小组规定的时间内提交响应文件(包括最后报价)的；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（7）超越了按照法律法规规定必须获得行政许可或者行政审批的经营范围的；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（8）未满足磋商文件实质性要求的或者响应文件有采购人不能接受的附加条件的；</w:t>
      </w:r>
    </w:p>
    <w:p>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（9）响应文件实质性要求未做变动，供应商最后报价高于第一次报价的；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（10）不符合法律、法规和磋商文件规定的其他实质性要求和条件的。</w:t>
      </w:r>
    </w:p>
    <w:p>
      <w:pPr>
        <w:spacing w:line="360"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供应商有下列情形之一的视为供应商相互串通磋商，响应文件将被视为无效</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（1）不同供应商的响应文件由同一单位或者个人编制；或不同供应商报名的IP地址一致的；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（4）不同供应商的响应文件异常一致或竞标报价呈规律性差异；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pPr>
        <w:pStyle w:val="4"/>
        <w:spacing w:line="360" w:lineRule="auto"/>
        <w:ind w:firstLine="420" w:firstLineChars="200"/>
        <w:rPr>
          <w:rFonts w:ascii="宋体" w:hAnsi="宋体" w:cs="宋体"/>
          <w:color w:val="auto"/>
          <w:sz w:val="21"/>
          <w:szCs w:val="21"/>
          <w:highlight w:val="none"/>
        </w:rPr>
      </w:pPr>
      <w:bookmarkStart w:id="82" w:name="_Toc155802470"/>
      <w:bookmarkStart w:id="83" w:name="_Toc5714"/>
      <w:r>
        <w:rPr>
          <w:rFonts w:hint="eastAsia" w:ascii="宋体" w:hAnsi="宋体" w:cs="宋体"/>
          <w:color w:val="auto"/>
          <w:sz w:val="21"/>
          <w:szCs w:val="21"/>
          <w:highlight w:val="none"/>
        </w:rPr>
        <w:t>24. 出现下列情形之一的，采购人或者采购代理机构应当终止竞争性磋商采购活动，发布项目终止公告并说明原因，重新开展采购活动</w:t>
      </w:r>
      <w:bookmarkEnd w:id="82"/>
      <w:bookmarkEnd w:id="83"/>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（2）出现影响采购公正的违法、违规行为的； </w:t>
      </w:r>
    </w:p>
    <w:p>
      <w:pPr>
        <w:spacing w:line="360" w:lineRule="auto"/>
        <w:ind w:firstLine="420" w:firstLineChars="200"/>
        <w:rPr>
          <w:rFonts w:ascii="宋体" w:hAnsi="宋体" w:cs="宋体"/>
          <w:b/>
          <w:bCs/>
          <w:color w:val="auto"/>
          <w:szCs w:val="21"/>
          <w:highlight w:val="none"/>
        </w:rPr>
      </w:pPr>
      <w:r>
        <w:rPr>
          <w:rFonts w:hint="eastAsia" w:ascii="宋体" w:hAnsi="宋体" w:cs="宋体"/>
          <w:color w:val="auto"/>
          <w:szCs w:val="21"/>
          <w:highlight w:val="none"/>
        </w:rPr>
        <w:t>（3）在采购过程中符合竞争要求的供应商或者报价未超过采购预算的供应商不足3家的。</w:t>
      </w:r>
      <w:r>
        <w:rPr>
          <w:rFonts w:hint="eastAsia" w:ascii="宋体" w:hAnsi="宋体" w:cs="宋体"/>
          <w:b/>
          <w:bCs/>
          <w:color w:val="auto"/>
          <w:szCs w:val="21"/>
          <w:highlight w:val="none"/>
        </w:rPr>
        <w:t xml:space="preserve">（除财库〔2014〕214 号《政府采购竞争性磋商采购方式管理暂行办法》第二十一条第三款规定的情形外） </w:t>
      </w:r>
    </w:p>
    <w:p>
      <w:pPr>
        <w:pStyle w:val="4"/>
        <w:spacing w:line="360" w:lineRule="auto"/>
        <w:ind w:firstLine="420" w:firstLineChars="200"/>
        <w:rPr>
          <w:rFonts w:ascii="宋体" w:hAnsi="宋体" w:cs="宋体"/>
          <w:color w:val="auto"/>
          <w:sz w:val="21"/>
          <w:szCs w:val="21"/>
          <w:highlight w:val="none"/>
        </w:rPr>
      </w:pPr>
      <w:bookmarkStart w:id="84" w:name="_Toc155802471"/>
      <w:bookmarkStart w:id="85" w:name="_Toc19105"/>
      <w:r>
        <w:rPr>
          <w:rFonts w:hint="eastAsia" w:ascii="宋体" w:hAnsi="宋体" w:cs="宋体"/>
          <w:color w:val="auto"/>
          <w:sz w:val="21"/>
          <w:szCs w:val="21"/>
          <w:highlight w:val="none"/>
        </w:rPr>
        <w:t>25. 磋商过程的监控</w:t>
      </w:r>
      <w:bookmarkEnd w:id="84"/>
      <w:bookmarkEnd w:id="85"/>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本项目磋商过程实行全程录音、录像监控，供应商在磋商过程中所进行的试图影响磋商结果的不公正活动，可能导致其磋商被拒绝。</w:t>
      </w:r>
    </w:p>
    <w:p>
      <w:pPr>
        <w:pStyle w:val="4"/>
        <w:numPr>
          <w:ilvl w:val="0"/>
          <w:numId w:val="4"/>
        </w:numPr>
        <w:spacing w:line="360" w:lineRule="auto"/>
        <w:ind w:firstLine="420" w:firstLineChars="200"/>
        <w:rPr>
          <w:rFonts w:ascii="宋体" w:hAnsi="宋体" w:cs="宋体"/>
          <w:color w:val="auto"/>
          <w:sz w:val="21"/>
          <w:szCs w:val="21"/>
          <w:highlight w:val="none"/>
        </w:rPr>
      </w:pPr>
      <w:bookmarkStart w:id="86" w:name="_Toc14787"/>
      <w:bookmarkStart w:id="87" w:name="_Toc155802472"/>
      <w:r>
        <w:rPr>
          <w:rFonts w:hint="eastAsia" w:ascii="宋体" w:hAnsi="宋体" w:cs="宋体"/>
          <w:color w:val="auto"/>
          <w:sz w:val="21"/>
          <w:szCs w:val="21"/>
          <w:highlight w:val="none"/>
        </w:rPr>
        <w:t>信用查询</w:t>
      </w:r>
      <w:bookmarkEnd w:id="86"/>
      <w:bookmarkEnd w:id="87"/>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根据《关于做好政府采购有关信用主体标识码登记及在政府采购活动中查询使用信用记录有关问题的通知》（桂财采〔2016〕37号</w:t>
      </w:r>
      <w:r>
        <w:rPr>
          <w:rFonts w:hint="eastAsia"/>
          <w:color w:val="auto"/>
          <w:highlight w:val="none"/>
        </w:rPr>
        <w:t>）</w:t>
      </w:r>
      <w:r>
        <w:rPr>
          <w:rFonts w:hint="eastAsia" w:ascii="宋体" w:hAnsi="宋体" w:cs="宋体"/>
          <w:color w:val="auto"/>
          <w:szCs w:val="21"/>
          <w:highlight w:val="none"/>
        </w:rPr>
        <w:t>，采购代理机构对成交人的成交资格进行信用查询：</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（1）查询渠道：“信用中国”网站(www.creditchina.gov.cn)、中国政府采购网(www.ccgp.gov.cn)等；</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（2）查询时间：成交通知书发出前；</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（3）信用信息查询记录和证据留存方式：在查询网站中直接打印查询记录，打印材料作为采购活动资料保存。</w:t>
      </w:r>
    </w:p>
    <w:p>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磋商小组推荐成交候选人排序表确定排名第二的成交候选人为成交供应商或者重新组织采购。</w:t>
      </w:r>
    </w:p>
    <w:p>
      <w:pPr>
        <w:spacing w:line="288" w:lineRule="auto"/>
        <w:ind w:firstLine="420" w:firstLineChars="200"/>
        <w:rPr>
          <w:rFonts w:ascii="宋体" w:hAnsi="宋体" w:cs="宋体"/>
          <w:color w:val="auto"/>
          <w:highlight w:val="none"/>
        </w:rPr>
      </w:pPr>
      <w:r>
        <w:rPr>
          <w:rFonts w:hint="eastAsia" w:ascii="宋体" w:hAnsi="宋体" w:cs="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4"/>
        <w:spacing w:line="288" w:lineRule="auto"/>
        <w:ind w:firstLine="420" w:firstLineChars="200"/>
        <w:rPr>
          <w:rFonts w:ascii="宋体" w:hAnsi="宋体" w:cs="宋体"/>
          <w:color w:val="auto"/>
          <w:sz w:val="21"/>
          <w:szCs w:val="21"/>
          <w:highlight w:val="none"/>
        </w:rPr>
      </w:pPr>
      <w:bookmarkStart w:id="88" w:name="_Toc155802473"/>
      <w:bookmarkStart w:id="89" w:name="_Toc9438"/>
      <w:r>
        <w:rPr>
          <w:rFonts w:hint="eastAsia" w:ascii="宋体" w:hAnsi="宋体" w:cs="宋体"/>
          <w:color w:val="auto"/>
          <w:sz w:val="21"/>
          <w:szCs w:val="21"/>
          <w:highlight w:val="none"/>
        </w:rPr>
        <w:t>27. 成交结果公告及成交通知书</w:t>
      </w:r>
      <w:bookmarkEnd w:id="88"/>
      <w:bookmarkEnd w:id="89"/>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 采购代理机构于磋商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 在发布成交公告的同时，采购代理机构向成交供应商发出成交通知书。成交供应商自接到通知之日起七个工作日内，办理成交通知书领取手续。</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 采购代理机构无义务向未成交的供应商解释未成交原因和退还响应文件。</w:t>
      </w:r>
    </w:p>
    <w:p>
      <w:pPr>
        <w:pStyle w:val="3"/>
        <w:spacing w:line="288" w:lineRule="auto"/>
        <w:jc w:val="center"/>
        <w:rPr>
          <w:rFonts w:ascii="宋体" w:hAnsi="宋体" w:cs="宋体"/>
          <w:b/>
          <w:bCs w:val="0"/>
          <w:color w:val="auto"/>
          <w:szCs w:val="28"/>
          <w:highlight w:val="none"/>
        </w:rPr>
      </w:pPr>
      <w:bookmarkStart w:id="90" w:name="_Toc155802474"/>
      <w:bookmarkStart w:id="91" w:name="_Toc25593"/>
      <w:r>
        <w:rPr>
          <w:rFonts w:hint="eastAsia" w:ascii="宋体" w:hAnsi="宋体" w:cs="宋体"/>
          <w:b/>
          <w:bCs w:val="0"/>
          <w:color w:val="auto"/>
          <w:szCs w:val="28"/>
          <w:highlight w:val="none"/>
        </w:rPr>
        <w:t>五、</w:t>
      </w:r>
      <w:r>
        <w:rPr>
          <w:rFonts w:hint="eastAsia" w:ascii="宋体" w:hAnsi="宋体" w:cs="宋体"/>
          <w:b/>
          <w:color w:val="auto"/>
          <w:szCs w:val="28"/>
          <w:highlight w:val="none"/>
        </w:rPr>
        <w:t>履约保证金及</w:t>
      </w:r>
      <w:r>
        <w:rPr>
          <w:rFonts w:hint="eastAsia" w:ascii="宋体" w:hAnsi="宋体" w:cs="宋体"/>
          <w:b/>
          <w:bCs w:val="0"/>
          <w:color w:val="auto"/>
          <w:szCs w:val="28"/>
          <w:highlight w:val="none"/>
        </w:rPr>
        <w:t>签订合同</w:t>
      </w:r>
      <w:bookmarkEnd w:id="90"/>
      <w:bookmarkEnd w:id="91"/>
    </w:p>
    <w:p>
      <w:pPr>
        <w:pStyle w:val="4"/>
        <w:spacing w:line="288" w:lineRule="auto"/>
        <w:ind w:firstLine="420" w:firstLineChars="200"/>
        <w:rPr>
          <w:rFonts w:ascii="宋体" w:hAnsi="宋体" w:cs="宋体"/>
          <w:color w:val="auto"/>
          <w:highlight w:val="none"/>
        </w:rPr>
      </w:pPr>
      <w:bookmarkStart w:id="92" w:name="_Toc155802475"/>
      <w:bookmarkStart w:id="93" w:name="_Toc26520"/>
      <w:r>
        <w:rPr>
          <w:rFonts w:hint="eastAsia" w:ascii="宋体" w:hAnsi="宋体" w:cs="宋体"/>
          <w:color w:val="auto"/>
          <w:sz w:val="21"/>
          <w:szCs w:val="21"/>
          <w:highlight w:val="none"/>
        </w:rPr>
        <w:t>28. 履约保证金</w:t>
      </w:r>
      <w:bookmarkEnd w:id="92"/>
      <w:bookmarkEnd w:id="93"/>
    </w:p>
    <w:p>
      <w:pPr>
        <w:pStyle w:val="4"/>
        <w:spacing w:line="288" w:lineRule="auto"/>
        <w:ind w:firstLine="420" w:firstLineChars="200"/>
        <w:rPr>
          <w:rFonts w:ascii="宋体" w:hAnsi="宋体" w:cs="宋体"/>
          <w:bCs/>
          <w:color w:val="auto"/>
          <w:sz w:val="21"/>
          <w:szCs w:val="21"/>
          <w:highlight w:val="none"/>
        </w:rPr>
      </w:pPr>
      <w:bookmarkStart w:id="94" w:name="_Toc155802476"/>
      <w:bookmarkStart w:id="95" w:name="_Toc4956"/>
      <w:r>
        <w:rPr>
          <w:rFonts w:hint="eastAsia" w:ascii="宋体" w:hAnsi="宋体" w:cs="宋体"/>
          <w:bCs/>
          <w:color w:val="auto"/>
          <w:sz w:val="21"/>
          <w:szCs w:val="21"/>
          <w:highlight w:val="none"/>
        </w:rPr>
        <w:t>本项目无需缴纳履约保证金。</w:t>
      </w:r>
      <w:bookmarkEnd w:id="94"/>
    </w:p>
    <w:p>
      <w:pPr>
        <w:pStyle w:val="4"/>
        <w:spacing w:line="288" w:lineRule="auto"/>
        <w:ind w:firstLine="420" w:firstLineChars="200"/>
        <w:rPr>
          <w:rFonts w:ascii="宋体" w:hAnsi="宋体" w:cs="宋体"/>
          <w:color w:val="auto"/>
          <w:sz w:val="21"/>
          <w:szCs w:val="21"/>
          <w:highlight w:val="none"/>
        </w:rPr>
      </w:pPr>
      <w:bookmarkStart w:id="96" w:name="_Toc155802477"/>
      <w:r>
        <w:rPr>
          <w:rFonts w:hint="eastAsia" w:ascii="宋体" w:hAnsi="宋体" w:cs="宋体"/>
          <w:color w:val="auto"/>
          <w:sz w:val="21"/>
          <w:szCs w:val="21"/>
          <w:highlight w:val="none"/>
        </w:rPr>
        <w:t>29. 签订合同</w:t>
      </w:r>
      <w:bookmarkEnd w:id="95"/>
      <w:bookmarkEnd w:id="96"/>
    </w:p>
    <w:p>
      <w:pPr>
        <w:spacing w:line="288" w:lineRule="auto"/>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29.1 签订合同时间：成交通知书发出之日起八个工作日内签订合同。成交供应商领取成交通知书后，应按规定与采购人签订合同。</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 如成交供应商有下列情形之一的，情节严重的，由财政部门将其列入不良行为记录名单，在一至三年内禁止参加政府采购活动，并予以通报。采购代理机构可从磋商小组推荐的成交候选人中按顺序重新确定成交供应商或重新组织采购。拒绝签订政府采购合同的成交供应商不得参加对该项目重新开展的采购活动。</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（1）成交后不与采购人签订合同的（不可抗力除外）；</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（2）将成交项目转让给他人，或者在响应文件中未说明，且未经采购人同意，将成交项目分包给他人的；</w:t>
      </w:r>
    </w:p>
    <w:p>
      <w:pPr>
        <w:spacing w:line="288"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（3）拒绝履行合同义务的。</w:t>
      </w:r>
    </w:p>
    <w:p>
      <w:pPr>
        <w:spacing w:line="288" w:lineRule="auto"/>
        <w:ind w:firstLine="420" w:firstLineChars="200"/>
        <w:rPr>
          <w:rFonts w:ascii="宋体" w:hAnsi="宋体" w:cs="宋体"/>
          <w:color w:val="auto"/>
          <w:highlight w:val="none"/>
        </w:rPr>
      </w:pPr>
      <w:r>
        <w:rPr>
          <w:rFonts w:hint="eastAsia" w:ascii="宋体" w:hAnsi="宋体" w:cs="宋体"/>
          <w:color w:val="auto"/>
          <w:szCs w:val="21"/>
          <w:highlight w:val="none"/>
        </w:rPr>
        <w:t>29.3 合同备案存档：</w:t>
      </w:r>
      <w:r>
        <w:rPr>
          <w:rFonts w:hint="eastAsia" w:ascii="宋体" w:hAnsi="宋体"/>
          <w:color w:val="auto"/>
          <w:highlight w:val="none"/>
        </w:rPr>
        <w:t>政府采购合同双方自签订之日起1个工作日内将合同原件两份交采购代理机构。采购代理机构将政府采购合同在省级以上人民政府财政部门指定媒体上公告并于合同签订之日起七个工作日内将一份合同原件送桂林市财政局备案，一份由采购代理机构存档。</w:t>
      </w:r>
    </w:p>
    <w:p>
      <w:pPr>
        <w:pStyle w:val="3"/>
        <w:spacing w:line="288" w:lineRule="auto"/>
        <w:jc w:val="center"/>
        <w:rPr>
          <w:rFonts w:ascii="宋体" w:hAnsi="宋体" w:cs="宋体"/>
          <w:b/>
          <w:bCs w:val="0"/>
          <w:color w:val="auto"/>
          <w:szCs w:val="28"/>
          <w:highlight w:val="none"/>
        </w:rPr>
      </w:pPr>
      <w:bookmarkStart w:id="97" w:name="_Toc16348"/>
      <w:bookmarkStart w:id="98" w:name="_Toc155802478"/>
      <w:r>
        <w:rPr>
          <w:rFonts w:hint="eastAsia" w:ascii="宋体" w:hAnsi="宋体" w:cs="宋体"/>
          <w:b/>
          <w:bCs w:val="0"/>
          <w:color w:val="auto"/>
          <w:szCs w:val="28"/>
          <w:highlight w:val="none"/>
        </w:rPr>
        <w:t>六、其他事项</w:t>
      </w:r>
      <w:bookmarkEnd w:id="97"/>
      <w:bookmarkEnd w:id="98"/>
    </w:p>
    <w:p>
      <w:pPr>
        <w:pStyle w:val="4"/>
        <w:spacing w:line="288" w:lineRule="auto"/>
        <w:ind w:firstLine="420" w:firstLineChars="200"/>
        <w:rPr>
          <w:rFonts w:ascii="宋体" w:hAnsi="宋体" w:cs="宋体"/>
          <w:color w:val="auto"/>
          <w:sz w:val="21"/>
          <w:szCs w:val="21"/>
          <w:highlight w:val="none"/>
        </w:rPr>
      </w:pPr>
      <w:bookmarkStart w:id="99" w:name="_Toc155802479"/>
      <w:bookmarkStart w:id="100" w:name="_Toc28647"/>
      <w:r>
        <w:rPr>
          <w:rFonts w:hint="eastAsia" w:ascii="宋体" w:hAnsi="宋体" w:cs="宋体"/>
          <w:color w:val="auto"/>
          <w:sz w:val="21"/>
          <w:szCs w:val="21"/>
          <w:highlight w:val="none"/>
        </w:rPr>
        <w:t>30. 采购代理服务费</w:t>
      </w:r>
      <w:bookmarkEnd w:id="99"/>
      <w:bookmarkEnd w:id="100"/>
    </w:p>
    <w:p>
      <w:pPr>
        <w:pStyle w:val="11"/>
        <w:spacing w:line="380" w:lineRule="exact"/>
        <w:ind w:firstLine="420" w:firstLineChars="200"/>
        <w:rPr>
          <w:rFonts w:hAnsi="宋体"/>
          <w:color w:val="auto"/>
          <w:szCs w:val="21"/>
          <w:highlight w:val="none"/>
        </w:rPr>
      </w:pPr>
      <w:r>
        <w:rPr>
          <w:rFonts w:hint="eastAsia" w:hAnsi="宋体"/>
          <w:color w:val="auto"/>
          <w:szCs w:val="21"/>
          <w:highlight w:val="none"/>
        </w:rPr>
        <w:t>1、成交供应商领取成交通知书前，向广西安臻工程管理有限公司一次性付清采购代理服务费。本项目的采购代理服务收费标准按计价格[2002]1980号《招标代理服务收费管理暂行办法》服务类收费标准和发改办价格[2003]857号文的规定向成交磋商供应商收取。</w:t>
      </w:r>
    </w:p>
    <w:p>
      <w:pPr>
        <w:spacing w:line="380" w:lineRule="exact"/>
        <w:jc w:val="center"/>
        <w:rPr>
          <w:rFonts w:ascii="宋体" w:hAnsi="宋体"/>
          <w:color w:val="auto"/>
          <w:szCs w:val="21"/>
          <w:highlight w:val="none"/>
        </w:rPr>
      </w:pPr>
      <w:r>
        <w:rPr>
          <w:rFonts w:hint="eastAsia" w:ascii="宋体" w:hAnsi="宋体"/>
          <w:color w:val="auto"/>
          <w:szCs w:val="21"/>
          <w:highlight w:val="none"/>
        </w:rPr>
        <w:t>采购代理服务收费标准</w:t>
      </w:r>
    </w:p>
    <w:tbl>
      <w:tblPr>
        <w:tblStyle w:val="21"/>
        <w:tblW w:w="900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9"/>
        <w:gridCol w:w="2002"/>
        <w:gridCol w:w="1992"/>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719" w:type="dxa"/>
          </w:tcPr>
          <w:p>
            <w:pPr>
              <w:pStyle w:val="11"/>
              <w:spacing w:line="380" w:lineRule="exact"/>
              <w:ind w:left="25"/>
              <w:rPr>
                <w:rFonts w:hAnsi="宋体"/>
                <w:color w:val="auto"/>
                <w:highlight w:val="none"/>
              </w:rPr>
            </w:pPr>
            <w:r>
              <w:rPr>
                <w:rFonts w:hAnsi="宋体"/>
                <w:color w:val="auto"/>
                <w:highlight w:val="none"/>
              </w:rPr>
              <w:pict>
                <v:line id="直线 101" o:spid="_x0000_s1027" o:spt="20" style="position:absolute;left:0pt;margin-left:23.35pt;margin-top:0.85pt;height:49.7pt;width:106.5pt;z-index:251661312;mso-width-relative:page;mso-height-relative:page;" coordsize="21600,21600">
                  <v:path arrowok="t"/>
                  <v:fill focussize="0,0"/>
                  <v:stroke/>
                  <v:imagedata o:title=""/>
                  <o:lock v:ext="edit"/>
                </v:line>
              </w:pict>
            </w:r>
            <w:r>
              <w:rPr>
                <w:rFonts w:hint="eastAsia" w:hAnsi="宋体"/>
                <w:color w:val="auto"/>
                <w:highlight w:val="none"/>
              </w:rPr>
              <w:t>费率           服务类型</w:t>
            </w:r>
          </w:p>
          <w:p>
            <w:pPr>
              <w:pStyle w:val="11"/>
              <w:spacing w:line="380" w:lineRule="exact"/>
              <w:ind w:left="25"/>
              <w:rPr>
                <w:rFonts w:hAnsi="宋体"/>
                <w:color w:val="auto"/>
                <w:highlight w:val="none"/>
              </w:rPr>
            </w:pPr>
            <w:r>
              <w:rPr>
                <w:rFonts w:hAnsi="宋体"/>
                <w:color w:val="auto"/>
                <w:highlight w:val="none"/>
              </w:rPr>
              <w:pict>
                <v:line id="直线 102" o:spid="_x0000_s1028" o:spt="20" style="position:absolute;left:0pt;margin-left:-5.35pt;margin-top:3.55pt;height:31.2pt;width:135pt;z-index:251662336;mso-width-relative:page;mso-height-relative:page;" coordsize="21600,21600">
                  <v:path arrowok="t"/>
                  <v:fill focussize="0,0"/>
                  <v:stroke/>
                  <v:imagedata o:title=""/>
                  <o:lock v:ext="edit"/>
                </v:line>
              </w:pict>
            </w:r>
          </w:p>
          <w:p>
            <w:pPr>
              <w:pStyle w:val="11"/>
              <w:spacing w:line="380" w:lineRule="exact"/>
              <w:ind w:left="25"/>
              <w:rPr>
                <w:rFonts w:hAnsi="宋体"/>
                <w:color w:val="auto"/>
                <w:highlight w:val="none"/>
              </w:rPr>
            </w:pPr>
            <w:r>
              <w:rPr>
                <w:rFonts w:hint="eastAsia" w:hAnsi="宋体"/>
                <w:color w:val="auto"/>
                <w:highlight w:val="none"/>
              </w:rPr>
              <w:t>中标金额（万元）</w:t>
            </w:r>
          </w:p>
        </w:tc>
        <w:tc>
          <w:tcPr>
            <w:tcW w:w="2002" w:type="dxa"/>
            <w:vAlign w:val="center"/>
          </w:tcPr>
          <w:p>
            <w:pPr>
              <w:pStyle w:val="11"/>
              <w:spacing w:line="380" w:lineRule="exact"/>
              <w:ind w:left="25"/>
              <w:jc w:val="center"/>
              <w:rPr>
                <w:rFonts w:hAnsi="宋体"/>
                <w:color w:val="auto"/>
                <w:highlight w:val="none"/>
              </w:rPr>
            </w:pPr>
            <w:r>
              <w:rPr>
                <w:rFonts w:hint="eastAsia" w:hAnsi="宋体"/>
                <w:color w:val="auto"/>
                <w:highlight w:val="none"/>
              </w:rPr>
              <w:t>货物招标</w:t>
            </w:r>
          </w:p>
        </w:tc>
        <w:tc>
          <w:tcPr>
            <w:tcW w:w="1992" w:type="dxa"/>
            <w:vAlign w:val="center"/>
          </w:tcPr>
          <w:p>
            <w:pPr>
              <w:pStyle w:val="11"/>
              <w:spacing w:line="380" w:lineRule="exact"/>
              <w:ind w:left="25"/>
              <w:jc w:val="center"/>
              <w:rPr>
                <w:rFonts w:hAnsi="宋体"/>
                <w:color w:val="auto"/>
                <w:highlight w:val="none"/>
              </w:rPr>
            </w:pPr>
            <w:r>
              <w:rPr>
                <w:rFonts w:hint="eastAsia" w:hAnsi="宋体"/>
                <w:color w:val="auto"/>
                <w:highlight w:val="none"/>
              </w:rPr>
              <w:t>服务招标</w:t>
            </w:r>
          </w:p>
        </w:tc>
        <w:tc>
          <w:tcPr>
            <w:tcW w:w="2293" w:type="dxa"/>
            <w:vAlign w:val="center"/>
          </w:tcPr>
          <w:p>
            <w:pPr>
              <w:pStyle w:val="11"/>
              <w:spacing w:line="380" w:lineRule="exact"/>
              <w:ind w:left="25"/>
              <w:jc w:val="center"/>
              <w:rPr>
                <w:rFonts w:hAnsi="宋体"/>
                <w:color w:val="auto"/>
                <w:highlight w:val="none"/>
              </w:rPr>
            </w:pPr>
            <w:r>
              <w:rPr>
                <w:rFonts w:hint="eastAsia" w:hAnsi="宋体"/>
                <w:color w:val="auto"/>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100以下</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1.5%</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1.5%</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100-500</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1.1%</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0.8%</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500-1000</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0.8%</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0.45%</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1000-5000</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0.5%</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0.25%</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5000-10000</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0.25%</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0.1%</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10000-100000</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0.05%</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0.05%</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719" w:type="dxa"/>
          </w:tcPr>
          <w:p>
            <w:pPr>
              <w:pStyle w:val="11"/>
              <w:spacing w:line="380" w:lineRule="exact"/>
              <w:ind w:left="25"/>
              <w:rPr>
                <w:rFonts w:hAnsi="宋体"/>
                <w:color w:val="auto"/>
                <w:highlight w:val="none"/>
              </w:rPr>
            </w:pPr>
            <w:r>
              <w:rPr>
                <w:rFonts w:hint="eastAsia" w:hAnsi="宋体"/>
                <w:color w:val="auto"/>
                <w:highlight w:val="none"/>
              </w:rPr>
              <w:t>100000以上</w:t>
            </w:r>
          </w:p>
        </w:tc>
        <w:tc>
          <w:tcPr>
            <w:tcW w:w="2002" w:type="dxa"/>
          </w:tcPr>
          <w:p>
            <w:pPr>
              <w:pStyle w:val="11"/>
              <w:spacing w:line="380" w:lineRule="exact"/>
              <w:ind w:left="25"/>
              <w:jc w:val="center"/>
              <w:rPr>
                <w:rFonts w:hAnsi="宋体"/>
                <w:color w:val="auto"/>
                <w:highlight w:val="none"/>
              </w:rPr>
            </w:pPr>
            <w:r>
              <w:rPr>
                <w:rFonts w:hint="eastAsia" w:hAnsi="宋体"/>
                <w:color w:val="auto"/>
                <w:highlight w:val="none"/>
              </w:rPr>
              <w:t>0.01%</w:t>
            </w:r>
          </w:p>
        </w:tc>
        <w:tc>
          <w:tcPr>
            <w:tcW w:w="1992" w:type="dxa"/>
          </w:tcPr>
          <w:p>
            <w:pPr>
              <w:pStyle w:val="11"/>
              <w:spacing w:line="380" w:lineRule="exact"/>
              <w:ind w:left="25"/>
              <w:jc w:val="center"/>
              <w:rPr>
                <w:rFonts w:hAnsi="宋体"/>
                <w:color w:val="auto"/>
                <w:highlight w:val="none"/>
              </w:rPr>
            </w:pPr>
            <w:r>
              <w:rPr>
                <w:rFonts w:hint="eastAsia" w:hAnsi="宋体"/>
                <w:color w:val="auto"/>
                <w:highlight w:val="none"/>
              </w:rPr>
              <w:t>0.01%</w:t>
            </w:r>
          </w:p>
        </w:tc>
        <w:tc>
          <w:tcPr>
            <w:tcW w:w="2293" w:type="dxa"/>
          </w:tcPr>
          <w:p>
            <w:pPr>
              <w:pStyle w:val="11"/>
              <w:spacing w:line="380" w:lineRule="exact"/>
              <w:ind w:left="25"/>
              <w:jc w:val="center"/>
              <w:rPr>
                <w:rFonts w:hAnsi="宋体"/>
                <w:color w:val="auto"/>
                <w:highlight w:val="none"/>
              </w:rPr>
            </w:pPr>
            <w:r>
              <w:rPr>
                <w:rFonts w:hint="eastAsia" w:hAnsi="宋体"/>
                <w:color w:val="auto"/>
                <w:highlight w:val="none"/>
              </w:rPr>
              <w:t>0.01%</w:t>
            </w:r>
          </w:p>
        </w:tc>
      </w:tr>
    </w:tbl>
    <w:p>
      <w:pPr>
        <w:pStyle w:val="11"/>
        <w:spacing w:line="380" w:lineRule="exact"/>
        <w:ind w:left="25"/>
        <w:rPr>
          <w:rFonts w:hAnsi="宋体"/>
          <w:color w:val="auto"/>
          <w:highlight w:val="none"/>
        </w:rPr>
      </w:pPr>
      <w:r>
        <w:rPr>
          <w:rFonts w:hint="eastAsia" w:hAnsi="宋体"/>
          <w:color w:val="auto"/>
          <w:highlight w:val="none"/>
        </w:rPr>
        <w:t>注：采购代理服务收费按差额定率累进法计算。</w:t>
      </w:r>
    </w:p>
    <w:p>
      <w:pPr>
        <w:spacing w:line="380" w:lineRule="exact"/>
        <w:ind w:firstLine="420" w:firstLineChars="200"/>
        <w:rPr>
          <w:rFonts w:ascii="宋体" w:hAnsi="宋体"/>
          <w:color w:val="auto"/>
          <w:highlight w:val="none"/>
        </w:rPr>
      </w:pPr>
      <w:r>
        <w:rPr>
          <w:rFonts w:hint="eastAsia" w:ascii="宋体" w:hAnsi="宋体"/>
          <w:color w:val="auto"/>
          <w:highlight w:val="none"/>
        </w:rPr>
        <w:t>31、</w:t>
      </w:r>
      <w:r>
        <w:rPr>
          <w:rFonts w:hint="eastAsia" w:ascii="宋体" w:hAnsi="宋体"/>
          <w:b/>
          <w:color w:val="auto"/>
          <w:highlight w:val="none"/>
        </w:rPr>
        <w:t>交纳代理服务费银行账户：</w:t>
      </w:r>
    </w:p>
    <w:p>
      <w:pPr>
        <w:pStyle w:val="11"/>
        <w:snapToGrid w:val="0"/>
        <w:spacing w:line="380" w:lineRule="exact"/>
        <w:ind w:firstLine="420" w:firstLineChars="200"/>
        <w:rPr>
          <w:rFonts w:hAnsi="宋体"/>
          <w:color w:val="auto"/>
          <w:highlight w:val="none"/>
        </w:rPr>
      </w:pPr>
      <w:r>
        <w:rPr>
          <w:rFonts w:hint="eastAsia" w:hAnsi="宋体"/>
          <w:color w:val="auto"/>
          <w:highlight w:val="none"/>
        </w:rPr>
        <w:t>采购代理机构银行账户：</w:t>
      </w:r>
    </w:p>
    <w:p>
      <w:pPr>
        <w:pStyle w:val="11"/>
        <w:snapToGrid w:val="0"/>
        <w:spacing w:line="360" w:lineRule="exact"/>
        <w:ind w:firstLine="420" w:firstLineChars="200"/>
        <w:rPr>
          <w:rFonts w:hAnsi="宋体"/>
          <w:color w:val="auto"/>
          <w:szCs w:val="21"/>
          <w:highlight w:val="none"/>
        </w:rPr>
      </w:pPr>
      <w:r>
        <w:rPr>
          <w:rFonts w:hint="eastAsia" w:hAnsi="宋体"/>
          <w:color w:val="auto"/>
          <w:szCs w:val="21"/>
          <w:highlight w:val="none"/>
        </w:rPr>
        <w:t>账户名称：广西安臻工程管理有限公司</w:t>
      </w:r>
    </w:p>
    <w:p>
      <w:pPr>
        <w:pStyle w:val="11"/>
        <w:snapToGrid w:val="0"/>
        <w:spacing w:line="380" w:lineRule="exact"/>
        <w:ind w:firstLine="420" w:firstLineChars="200"/>
        <w:rPr>
          <w:rFonts w:hAnsi="宋体" w:cs="宋体"/>
          <w:color w:val="auto"/>
          <w:highlight w:val="none"/>
        </w:rPr>
      </w:pPr>
      <w:r>
        <w:rPr>
          <w:rFonts w:hint="eastAsia" w:hAnsi="宋体"/>
          <w:color w:val="auto"/>
          <w:szCs w:val="21"/>
          <w:highlight w:val="none"/>
        </w:rPr>
        <w:t>开户银行：</w:t>
      </w:r>
      <w:r>
        <w:rPr>
          <w:rFonts w:hint="eastAsia" w:hAnsi="宋体" w:cs="宋体"/>
          <w:color w:val="auto"/>
          <w:highlight w:val="none"/>
        </w:rPr>
        <w:t>桂林银行股份有限公司临桂支行</w:t>
      </w:r>
    </w:p>
    <w:p>
      <w:pPr>
        <w:pStyle w:val="11"/>
        <w:snapToGrid w:val="0"/>
        <w:spacing w:line="380" w:lineRule="exact"/>
        <w:ind w:firstLine="420" w:firstLineChars="200"/>
        <w:rPr>
          <w:rFonts w:hAnsi="宋体" w:cs="宋体"/>
          <w:color w:val="auto"/>
          <w:highlight w:val="none"/>
        </w:rPr>
      </w:pPr>
      <w:r>
        <w:rPr>
          <w:rFonts w:hint="eastAsia" w:hAnsi="宋体" w:cs="宋体"/>
          <w:color w:val="auto"/>
          <w:highlight w:val="none"/>
        </w:rPr>
        <w:t>银行账号：</w:t>
      </w:r>
      <w:r>
        <w:rPr>
          <w:rFonts w:hAnsi="宋体" w:cs="宋体"/>
          <w:color w:val="auto"/>
          <w:highlight w:val="none"/>
        </w:rPr>
        <w:t>660000019867600018</w:t>
      </w:r>
    </w:p>
    <w:p>
      <w:pPr>
        <w:pStyle w:val="11"/>
        <w:snapToGrid w:val="0"/>
        <w:spacing w:line="380" w:lineRule="exact"/>
        <w:ind w:firstLine="420" w:firstLineChars="200"/>
        <w:rPr>
          <w:rFonts w:hAnsi="宋体"/>
          <w:color w:val="auto"/>
          <w:highlight w:val="none"/>
        </w:rPr>
      </w:pPr>
      <w:r>
        <w:rPr>
          <w:rFonts w:hint="eastAsia" w:hAnsi="宋体"/>
          <w:color w:val="auto"/>
          <w:highlight w:val="none"/>
        </w:rPr>
        <w:t>32、解释权：本竞争性磋商文件是根据</w:t>
      </w:r>
      <w:r>
        <w:rPr>
          <w:rFonts w:hint="eastAsia" w:hAnsi="宋体"/>
          <w:bCs/>
          <w:color w:val="auto"/>
          <w:highlight w:val="none"/>
        </w:rPr>
        <w:t>《中华人民共和国政府采购法》、《中华人民共和国政府采购法实施条例》、</w:t>
      </w:r>
      <w:r>
        <w:rPr>
          <w:rFonts w:hAnsi="宋体"/>
          <w:bCs/>
          <w:color w:val="auto"/>
          <w:highlight w:val="none"/>
        </w:rPr>
        <w:t>《政府采购竞争性磋商采购方式管理暂行办法》</w:t>
      </w:r>
      <w:r>
        <w:rPr>
          <w:rFonts w:hint="eastAsia" w:hAnsi="宋体"/>
          <w:color w:val="auto"/>
          <w:highlight w:val="none"/>
        </w:rPr>
        <w:t>和政府采购管理有关规定编制，本竞争性磋商文件的解释权属于采购代理机构。</w:t>
      </w:r>
    </w:p>
    <w:p>
      <w:pPr>
        <w:snapToGrid w:val="0"/>
        <w:spacing w:line="288" w:lineRule="auto"/>
        <w:ind w:firstLine="420" w:firstLineChars="200"/>
        <w:rPr>
          <w:color w:val="auto"/>
          <w:highlight w:val="none"/>
        </w:rPr>
      </w:pPr>
      <w:bookmarkStart w:id="101" w:name="_Toc155802480"/>
      <w:r>
        <w:rPr>
          <w:rStyle w:val="28"/>
          <w:rFonts w:hint="eastAsia" w:ascii="宋体" w:hAnsi="宋体" w:cs="宋体"/>
          <w:color w:val="auto"/>
          <w:sz w:val="21"/>
          <w:szCs w:val="21"/>
          <w:highlight w:val="none"/>
        </w:rPr>
        <w:t>33. 监督管理机构</w:t>
      </w:r>
      <w:bookmarkEnd w:id="101"/>
      <w:r>
        <w:rPr>
          <w:rFonts w:hint="eastAsia" w:ascii="宋体" w:hAnsi="宋体" w:cs="宋体"/>
          <w:color w:val="auto"/>
          <w:szCs w:val="21"/>
          <w:highlight w:val="none"/>
        </w:rPr>
        <w:t>：桂林市财政局；联系电话：</w:t>
      </w:r>
      <w:r>
        <w:rPr>
          <w:rFonts w:hint="eastAsia" w:ascii="宋体" w:hAnsi="宋体"/>
          <w:color w:val="auto"/>
          <w:szCs w:val="21"/>
          <w:highlight w:val="none"/>
        </w:rPr>
        <w:t>0773-2862142</w:t>
      </w:r>
      <w:r>
        <w:rPr>
          <w:rFonts w:hint="eastAsia" w:ascii="宋体" w:hAnsi="宋体" w:cs="宋体"/>
          <w:color w:val="auto"/>
          <w:szCs w:val="21"/>
          <w:highlight w:val="none"/>
        </w:rPr>
        <w:t>。</w:t>
      </w:r>
    </w:p>
    <w:p>
      <w:pPr>
        <w:widowControl/>
        <w:jc w:val="left"/>
        <w:rPr>
          <w:rFonts w:ascii="宋体" w:hAnsi="宋体" w:cs="宋体"/>
          <w:b/>
          <w:bCs/>
          <w:color w:val="auto"/>
          <w:kern w:val="44"/>
          <w:sz w:val="32"/>
          <w:szCs w:val="32"/>
          <w:highlight w:val="none"/>
        </w:rPr>
      </w:pPr>
      <w:r>
        <w:rPr>
          <w:rFonts w:ascii="宋体" w:hAnsi="宋体" w:cs="宋体"/>
          <w:color w:val="auto"/>
          <w:sz w:val="32"/>
          <w:szCs w:val="32"/>
          <w:highlight w:val="none"/>
        </w:rPr>
        <w:br w:type="page"/>
      </w:r>
    </w:p>
    <w:p>
      <w:pPr>
        <w:snapToGrid w:val="0"/>
        <w:rPr>
          <w:rFonts w:ascii="宋体" w:hAnsi="宋体" w:cs="宋体"/>
          <w:b/>
          <w:color w:val="auto"/>
          <w:highlight w:val="none"/>
        </w:rPr>
      </w:pPr>
      <w:r>
        <w:rPr>
          <w:rFonts w:hint="eastAsia" w:ascii="宋体" w:hAnsi="宋体" w:cs="宋体"/>
          <w:b/>
          <w:color w:val="auto"/>
          <w:highlight w:val="none"/>
        </w:rPr>
        <w:t>附表1：</w:t>
      </w:r>
    </w:p>
    <w:p>
      <w:pPr>
        <w:spacing w:line="460" w:lineRule="exact"/>
        <w:jc w:val="center"/>
        <w:rPr>
          <w:rFonts w:ascii="宋体" w:hAnsi="宋体" w:cs="宋体"/>
          <w:color w:val="auto"/>
          <w:sz w:val="44"/>
          <w:highlight w:val="none"/>
        </w:rPr>
      </w:pPr>
      <w:r>
        <w:rPr>
          <w:rFonts w:hint="eastAsia" w:ascii="宋体" w:hAnsi="宋体" w:cs="宋体"/>
          <w:color w:val="auto"/>
          <w:sz w:val="44"/>
          <w:highlight w:val="none"/>
        </w:rPr>
        <w:t>质疑函（格式）</w:t>
      </w:r>
    </w:p>
    <w:p>
      <w:pPr>
        <w:snapToGrid w:val="0"/>
        <w:spacing w:line="360" w:lineRule="exact"/>
        <w:ind w:firstLine="422"/>
        <w:rPr>
          <w:rFonts w:ascii="宋体" w:hAnsi="宋体" w:cs="宋体"/>
          <w:b/>
          <w:bCs/>
          <w:color w:val="auto"/>
          <w:szCs w:val="20"/>
          <w:highlight w:val="none"/>
        </w:rPr>
      </w:pPr>
      <w:r>
        <w:rPr>
          <w:rFonts w:hint="eastAsia" w:ascii="宋体" w:hAnsi="宋体" w:cs="宋体"/>
          <w:b/>
          <w:bCs/>
          <w:color w:val="auto"/>
          <w:szCs w:val="20"/>
          <w:highlight w:val="none"/>
        </w:rPr>
        <w:t>一、质疑供应商基本信息：</w:t>
      </w:r>
    </w:p>
    <w:p>
      <w:pPr>
        <w:snapToGrid w:val="0"/>
        <w:spacing w:line="36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质疑供应商：</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360" w:lineRule="exact"/>
        <w:ind w:firstLine="420"/>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360" w:lineRule="exact"/>
        <w:ind w:firstLine="420"/>
        <w:rPr>
          <w:rFonts w:ascii="宋体" w:hAnsi="宋体" w:cs="宋体"/>
          <w:bCs/>
          <w:color w:val="auto"/>
          <w:szCs w:val="20"/>
          <w:highlight w:val="non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pPr>
        <w:snapToGrid w:val="0"/>
        <w:spacing w:line="360" w:lineRule="exact"/>
        <w:ind w:firstLine="420"/>
        <w:rPr>
          <w:rFonts w:ascii="宋体" w:hAnsi="宋体" w:cs="宋体"/>
          <w:bCs/>
          <w:color w:val="auto"/>
          <w:szCs w:val="20"/>
          <w:highlight w:val="none"/>
        </w:rPr>
      </w:pPr>
      <w:r>
        <w:rPr>
          <w:rFonts w:hint="eastAsia" w:ascii="宋体" w:hAnsi="宋体" w:cs="宋体"/>
          <w:bCs/>
          <w:color w:val="auto"/>
          <w:szCs w:val="20"/>
          <w:highlight w:val="none"/>
        </w:rPr>
        <w:t>授权代表：</w:t>
      </w:r>
      <w:r>
        <w:rPr>
          <w:rFonts w:hint="eastAsia" w:ascii="宋体" w:hAnsi="宋体" w:cs="宋体"/>
          <w:bCs/>
          <w:color w:val="auto"/>
          <w:szCs w:val="20"/>
          <w:highlight w:val="none"/>
          <w:u w:val="single"/>
        </w:rPr>
        <w:t xml:space="preserve">                      </w:t>
      </w:r>
    </w:p>
    <w:p>
      <w:pPr>
        <w:snapToGrid w:val="0"/>
        <w:spacing w:line="36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pPr>
        <w:snapToGrid w:val="0"/>
        <w:spacing w:line="360" w:lineRule="exact"/>
        <w:ind w:firstLine="420"/>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360" w:lineRule="exact"/>
        <w:ind w:firstLine="422"/>
        <w:rPr>
          <w:rFonts w:ascii="宋体" w:hAnsi="宋体" w:cs="宋体"/>
          <w:b/>
          <w:bCs/>
          <w:color w:val="auto"/>
          <w:szCs w:val="20"/>
          <w:highlight w:val="none"/>
        </w:rPr>
      </w:pPr>
      <w:r>
        <w:rPr>
          <w:rFonts w:hint="eastAsia" w:ascii="宋体" w:hAnsi="宋体" w:cs="宋体"/>
          <w:b/>
          <w:bCs/>
          <w:color w:val="auto"/>
          <w:szCs w:val="20"/>
          <w:highlight w:val="none"/>
        </w:rPr>
        <w:t>二、质疑项目基本情况：</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rPr>
        <w:t>质疑</w:t>
      </w:r>
      <w:r>
        <w:rPr>
          <w:rFonts w:hint="eastAsia" w:ascii="宋体" w:hAnsi="宋体" w:cs="宋体"/>
          <w:color w:val="auto"/>
          <w:szCs w:val="21"/>
          <w:highlight w:val="none"/>
        </w:rPr>
        <w:t>项目的名称：</w:t>
      </w:r>
      <w:r>
        <w:rPr>
          <w:rFonts w:hint="eastAsia" w:ascii="宋体" w:hAnsi="宋体" w:cs="宋体"/>
          <w:bCs/>
          <w:color w:val="auto"/>
          <w:szCs w:val="20"/>
          <w:highlight w:val="none"/>
          <w:u w:val="singl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rPr>
        <w:t>质疑</w:t>
      </w:r>
      <w:r>
        <w:rPr>
          <w:rFonts w:hint="eastAsia" w:ascii="宋体" w:hAnsi="宋体" w:cs="宋体"/>
          <w:color w:val="auto"/>
          <w:szCs w:val="21"/>
          <w:highlight w:val="none"/>
        </w:rPr>
        <w:t>项目的编号：</w:t>
      </w:r>
      <w:r>
        <w:rPr>
          <w:rFonts w:hint="eastAsia" w:ascii="宋体" w:hAnsi="宋体" w:cs="宋体"/>
          <w:bCs/>
          <w:color w:val="auto"/>
          <w:szCs w:val="20"/>
          <w:highlight w:val="none"/>
          <w:u w:val="single"/>
        </w:rPr>
        <w:t xml:space="preserve">                                     </w:t>
      </w:r>
      <w:r>
        <w:rPr>
          <w:rFonts w:hint="eastAsia" w:ascii="宋体" w:hAnsi="宋体" w:cs="宋体"/>
          <w:color w:val="auto"/>
          <w:szCs w:val="21"/>
          <w:highlight w:val="non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采购人名称：</w:t>
      </w:r>
      <w:r>
        <w:rPr>
          <w:rFonts w:hint="eastAsia" w:ascii="宋体" w:hAnsi="宋体" w:cs="宋体"/>
          <w:bCs/>
          <w:color w:val="auto"/>
          <w:szCs w:val="20"/>
          <w:highlight w:val="none"/>
          <w:u w:val="singl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质疑事项：</w:t>
      </w:r>
    </w:p>
    <w:p>
      <w:pPr>
        <w:spacing w:line="360" w:lineRule="exact"/>
        <w:ind w:left="25" w:leftChars="12" w:firstLine="441" w:firstLineChars="147"/>
        <w:rPr>
          <w:rFonts w:ascii="宋体" w:hAnsi="宋体" w:cs="宋体"/>
          <w:color w:val="auto"/>
          <w:szCs w:val="21"/>
          <w:highlight w:val="none"/>
        </w:rPr>
      </w:pPr>
      <w:r>
        <w:rPr>
          <w:rFonts w:hint="eastAsia" w:ascii="宋体" w:hAnsi="宋体" w:cs="宋体"/>
          <w:color w:val="auto"/>
          <w:sz w:val="30"/>
          <w:szCs w:val="30"/>
          <w:highlight w:val="none"/>
        </w:rPr>
        <w:t>□</w:t>
      </w:r>
      <w:r>
        <w:rPr>
          <w:rFonts w:hint="eastAsia" w:ascii="宋体" w:hAnsi="宋体" w:cs="宋体"/>
          <w:color w:val="auto"/>
          <w:szCs w:val="21"/>
          <w:highlight w:val="none"/>
        </w:rPr>
        <w:t>磋商文件   采购文件获取日期：</w:t>
      </w:r>
      <w:r>
        <w:rPr>
          <w:rFonts w:hint="eastAsia" w:ascii="宋体" w:hAnsi="宋体" w:cs="宋体"/>
          <w:bCs/>
          <w:color w:val="auto"/>
          <w:szCs w:val="20"/>
          <w:highlight w:val="none"/>
          <w:u w:val="single"/>
        </w:rPr>
        <w:t xml:space="preserve">                                   </w:t>
      </w:r>
    </w:p>
    <w:p>
      <w:pPr>
        <w:spacing w:line="360" w:lineRule="exact"/>
        <w:ind w:left="25" w:leftChars="12" w:firstLine="441" w:firstLineChars="147"/>
        <w:rPr>
          <w:rFonts w:ascii="宋体" w:hAnsi="宋体" w:cs="宋体"/>
          <w:color w:val="auto"/>
          <w:szCs w:val="21"/>
          <w:highlight w:val="none"/>
        </w:rPr>
      </w:pPr>
      <w:r>
        <w:rPr>
          <w:rFonts w:hint="eastAsia" w:ascii="宋体" w:hAnsi="宋体" w:cs="宋体"/>
          <w:color w:val="auto"/>
          <w:sz w:val="30"/>
          <w:szCs w:val="30"/>
          <w:highlight w:val="none"/>
        </w:rPr>
        <w:t>□</w:t>
      </w:r>
      <w:r>
        <w:rPr>
          <w:rFonts w:hint="eastAsia" w:ascii="宋体" w:hAnsi="宋体" w:cs="宋体"/>
          <w:color w:val="auto"/>
          <w:szCs w:val="21"/>
          <w:highlight w:val="none"/>
        </w:rPr>
        <w:t xml:space="preserve">采购过程   </w:t>
      </w:r>
    </w:p>
    <w:p>
      <w:pPr>
        <w:spacing w:line="360" w:lineRule="exact"/>
        <w:ind w:left="25" w:leftChars="12" w:firstLine="441" w:firstLineChars="147"/>
        <w:rPr>
          <w:rFonts w:ascii="宋体" w:hAnsi="宋体" w:cs="宋体"/>
          <w:bCs/>
          <w:color w:val="auto"/>
          <w:szCs w:val="20"/>
          <w:highlight w:val="none"/>
          <w:u w:val="single"/>
        </w:rPr>
      </w:pPr>
      <w:r>
        <w:rPr>
          <w:rFonts w:hint="eastAsia" w:ascii="宋体" w:hAnsi="宋体" w:cs="宋体"/>
          <w:color w:val="auto"/>
          <w:sz w:val="30"/>
          <w:szCs w:val="30"/>
          <w:highlight w:val="none"/>
        </w:rPr>
        <w:t>□</w:t>
      </w:r>
      <w:r>
        <w:rPr>
          <w:rFonts w:hint="eastAsia" w:ascii="宋体" w:hAnsi="宋体" w:cs="宋体"/>
          <w:color w:val="auto"/>
          <w:szCs w:val="21"/>
          <w:highlight w:val="none"/>
        </w:rPr>
        <w:t xml:space="preserve">成交结果   </w:t>
      </w:r>
    </w:p>
    <w:p>
      <w:pPr>
        <w:spacing w:line="360" w:lineRule="exact"/>
        <w:ind w:left="25" w:leftChars="12" w:firstLine="411" w:firstLineChars="196"/>
        <w:rPr>
          <w:rFonts w:ascii="宋体" w:hAnsi="宋体" w:cs="宋体"/>
          <w:b/>
          <w:color w:val="auto"/>
          <w:szCs w:val="21"/>
          <w:highlight w:val="none"/>
        </w:rPr>
      </w:pPr>
      <w:r>
        <w:rPr>
          <w:rFonts w:hint="eastAsia" w:ascii="宋体" w:hAnsi="宋体" w:cs="宋体"/>
          <w:b/>
          <w:color w:val="auto"/>
          <w:szCs w:val="21"/>
          <w:highlight w:val="none"/>
        </w:rPr>
        <w:t>三、质疑事项具体内容</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质疑事项1：</w:t>
      </w:r>
      <w:r>
        <w:rPr>
          <w:rFonts w:hint="eastAsia" w:ascii="宋体" w:hAnsi="宋体" w:cs="宋体"/>
          <w:bCs/>
          <w:color w:val="auto"/>
          <w:szCs w:val="20"/>
          <w:highlight w:val="none"/>
          <w:u w:val="singl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事实依据：</w:t>
      </w:r>
      <w:r>
        <w:rPr>
          <w:rFonts w:hint="eastAsia" w:ascii="宋体" w:hAnsi="宋体" w:cs="宋体"/>
          <w:bCs/>
          <w:color w:val="auto"/>
          <w:szCs w:val="20"/>
          <w:highlight w:val="none"/>
          <w:u w:val="singl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法律依据：</w:t>
      </w:r>
      <w:r>
        <w:rPr>
          <w:rFonts w:hint="eastAsia" w:ascii="宋体" w:hAnsi="宋体" w:cs="宋体"/>
          <w:color w:val="auto"/>
          <w:szCs w:val="21"/>
          <w:highlight w:val="none"/>
          <w:u w:val="single"/>
        </w:rPr>
        <w:t xml:space="preserve">                                                        </w:t>
      </w:r>
      <w:r>
        <w:rPr>
          <w:rFonts w:hint="eastAsia" w:ascii="宋体" w:hAnsi="宋体" w:cs="宋体"/>
          <w:bCs/>
          <w:color w:val="auto"/>
          <w:szCs w:val="20"/>
          <w:highlight w:val="none"/>
          <w:u w:val="single"/>
        </w:rPr>
        <w:t xml:space="preserve">               </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质疑事项2</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四、与质疑事项相关的质疑请求：</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bCs/>
          <w:color w:val="auto"/>
          <w:szCs w:val="20"/>
          <w:highlight w:val="none"/>
          <w:u w:val="single"/>
        </w:rPr>
        <w:t xml:space="preserve">                                                                </w:t>
      </w:r>
    </w:p>
    <w:p>
      <w:pPr>
        <w:spacing w:line="360" w:lineRule="exact"/>
        <w:ind w:left="25" w:leftChars="12" w:firstLine="308" w:firstLineChars="147"/>
        <w:rPr>
          <w:rFonts w:ascii="宋体" w:hAnsi="宋体" w:cs="宋体"/>
          <w:color w:val="auto"/>
          <w:szCs w:val="21"/>
          <w:highlight w:val="none"/>
        </w:rPr>
      </w:pP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签字（签章）：                                       公章：</w:t>
      </w:r>
    </w:p>
    <w:p>
      <w:pPr>
        <w:spacing w:line="360" w:lineRule="exact"/>
        <w:ind w:left="25" w:leftChars="12" w:firstLine="308" w:firstLineChars="147"/>
        <w:rPr>
          <w:rFonts w:ascii="宋体" w:hAnsi="宋体" w:cs="宋体"/>
          <w:color w:val="auto"/>
          <w:szCs w:val="21"/>
          <w:highlight w:val="none"/>
        </w:rPr>
      </w:pP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日期：</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说明：</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1.供应商提出质疑时，应提交质疑函和必要的证明材料。</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3.质疑函的质疑事项应具体、明确，并有必要的事实依据和法律依据。</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4.质疑函的质疑请求应与质疑事项相关。</w:t>
      </w:r>
    </w:p>
    <w:p>
      <w:pPr>
        <w:snapToGrid w:val="0"/>
        <w:spacing w:line="340" w:lineRule="exact"/>
        <w:rPr>
          <w:rFonts w:ascii="宋体" w:hAnsi="宋体" w:cs="宋体"/>
          <w:b/>
          <w:color w:val="auto"/>
          <w:szCs w:val="21"/>
          <w:highlight w:val="none"/>
        </w:rPr>
      </w:pPr>
      <w:r>
        <w:rPr>
          <w:rFonts w:hint="eastAsia" w:ascii="宋体" w:hAnsi="宋体" w:cs="宋体"/>
          <w:b/>
          <w:color w:val="auto"/>
          <w:szCs w:val="21"/>
          <w:highlight w:val="none"/>
        </w:rPr>
        <w:t>5.质疑供应商为自然人的，质疑函应由本人签字；质疑供应商为法人或者其他组织的，质疑函应由法定代表人、主要负责人，或者其授权代表签字或者盖章，并加盖公章。</w:t>
      </w:r>
    </w:p>
    <w:p>
      <w:pPr>
        <w:widowControl/>
        <w:jc w:val="left"/>
        <w:rPr>
          <w:rFonts w:ascii="宋体" w:hAnsi="宋体" w:cs="宋体"/>
          <w:b/>
          <w:color w:val="auto"/>
          <w:highlight w:val="none"/>
        </w:rPr>
      </w:pPr>
      <w:r>
        <w:rPr>
          <w:rFonts w:ascii="宋体" w:hAnsi="宋体" w:cs="宋体"/>
          <w:b/>
          <w:color w:val="auto"/>
          <w:highlight w:val="none"/>
        </w:rPr>
        <w:br w:type="page"/>
      </w:r>
    </w:p>
    <w:p>
      <w:pPr>
        <w:snapToGrid w:val="0"/>
        <w:spacing w:line="340" w:lineRule="exact"/>
        <w:rPr>
          <w:rFonts w:ascii="宋体" w:hAnsi="宋体" w:cs="宋体"/>
          <w:b/>
          <w:color w:val="auto"/>
          <w:highlight w:val="none"/>
        </w:rPr>
      </w:pPr>
      <w:r>
        <w:rPr>
          <w:rFonts w:hint="eastAsia" w:ascii="宋体" w:hAnsi="宋体" w:cs="宋体"/>
          <w:b/>
          <w:color w:val="auto"/>
          <w:highlight w:val="none"/>
        </w:rPr>
        <w:t>附表2：</w:t>
      </w:r>
    </w:p>
    <w:p>
      <w:pPr>
        <w:ind w:left="2940"/>
        <w:rPr>
          <w:color w:val="auto"/>
          <w:highlight w:val="none"/>
        </w:rPr>
      </w:pPr>
    </w:p>
    <w:p>
      <w:pPr>
        <w:spacing w:line="460" w:lineRule="exact"/>
        <w:jc w:val="center"/>
        <w:rPr>
          <w:rFonts w:ascii="宋体" w:hAnsi="宋体" w:cs="宋体"/>
          <w:color w:val="auto"/>
          <w:sz w:val="44"/>
          <w:highlight w:val="none"/>
        </w:rPr>
      </w:pPr>
    </w:p>
    <w:p>
      <w:pPr>
        <w:spacing w:line="460" w:lineRule="exact"/>
        <w:jc w:val="center"/>
        <w:rPr>
          <w:rFonts w:ascii="宋体" w:hAnsi="宋体" w:cs="宋体"/>
          <w:color w:val="auto"/>
          <w:sz w:val="44"/>
          <w:highlight w:val="none"/>
        </w:rPr>
      </w:pPr>
      <w:r>
        <w:rPr>
          <w:rFonts w:hint="eastAsia" w:ascii="宋体" w:hAnsi="宋体" w:cs="宋体"/>
          <w:color w:val="auto"/>
          <w:sz w:val="44"/>
          <w:highlight w:val="none"/>
        </w:rPr>
        <w:t>投诉书（格式）</w:t>
      </w:r>
    </w:p>
    <w:p>
      <w:pPr>
        <w:snapToGrid w:val="0"/>
        <w:spacing w:line="400" w:lineRule="exact"/>
        <w:ind w:firstLine="422"/>
        <w:rPr>
          <w:rFonts w:ascii="宋体" w:hAnsi="宋体" w:cs="宋体"/>
          <w:b/>
          <w:bCs/>
          <w:color w:val="auto"/>
          <w:szCs w:val="20"/>
          <w:highlight w:val="none"/>
        </w:rPr>
      </w:pPr>
      <w:r>
        <w:rPr>
          <w:rFonts w:hint="eastAsia" w:ascii="宋体" w:hAnsi="宋体" w:cs="宋体"/>
          <w:b/>
          <w:bCs/>
          <w:color w:val="auto"/>
          <w:szCs w:val="20"/>
          <w:highlight w:val="none"/>
        </w:rPr>
        <w:t>一、投诉相关主体基本情况：</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供应商：</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法定代表人/主要负责人：</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授权代表：</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被投诉人1：</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被投诉人2：</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相关供应商：</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地址：</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邮编：</w:t>
      </w:r>
      <w:r>
        <w:rPr>
          <w:rFonts w:hint="eastAsia" w:ascii="宋体" w:hAnsi="宋体" w:cs="宋体"/>
          <w:bCs/>
          <w:color w:val="auto"/>
          <w:szCs w:val="20"/>
          <w:highlight w:val="none"/>
          <w:u w:val="single"/>
        </w:rPr>
        <w:t xml:space="preserve">                         </w:t>
      </w:r>
    </w:p>
    <w:p>
      <w:pPr>
        <w:snapToGrid w:val="0"/>
        <w:spacing w:line="400" w:lineRule="exact"/>
        <w:ind w:firstLine="420"/>
        <w:rPr>
          <w:rFonts w:ascii="宋体" w:hAnsi="宋体" w:cs="宋体"/>
          <w:bCs/>
          <w:color w:val="auto"/>
          <w:szCs w:val="20"/>
          <w:highlight w:val="none"/>
        </w:rPr>
      </w:pPr>
      <w:r>
        <w:rPr>
          <w:rFonts w:hint="eastAsia" w:ascii="宋体" w:hAnsi="宋体" w:cs="宋体"/>
          <w:bCs/>
          <w:color w:val="auto"/>
          <w:szCs w:val="20"/>
          <w:highlight w:val="none"/>
        </w:rPr>
        <w:t>联系人：</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联系电话：</w:t>
      </w:r>
      <w:r>
        <w:rPr>
          <w:rFonts w:hint="eastAsia" w:ascii="宋体" w:hAnsi="宋体" w:cs="宋体"/>
          <w:bCs/>
          <w:color w:val="auto"/>
          <w:szCs w:val="20"/>
          <w:highlight w:val="none"/>
          <w:u w:val="single"/>
        </w:rPr>
        <w:t xml:space="preserve">                     </w:t>
      </w:r>
      <w:r>
        <w:rPr>
          <w:rFonts w:hint="eastAsia" w:ascii="宋体" w:hAnsi="宋体" w:cs="宋体"/>
          <w:bCs/>
          <w:color w:val="auto"/>
          <w:szCs w:val="20"/>
          <w:highlight w:val="none"/>
        </w:rPr>
        <w:t xml:space="preserve">                </w:t>
      </w:r>
    </w:p>
    <w:p>
      <w:pPr>
        <w:snapToGrid w:val="0"/>
        <w:spacing w:line="400" w:lineRule="exact"/>
        <w:ind w:firstLine="422"/>
        <w:rPr>
          <w:rFonts w:ascii="宋体" w:hAnsi="宋体" w:cs="宋体"/>
          <w:b/>
          <w:bCs/>
          <w:color w:val="auto"/>
          <w:szCs w:val="20"/>
          <w:highlight w:val="none"/>
        </w:rPr>
      </w:pPr>
      <w:r>
        <w:rPr>
          <w:rFonts w:hint="eastAsia" w:ascii="宋体" w:hAnsi="宋体" w:cs="宋体"/>
          <w:b/>
          <w:bCs/>
          <w:color w:val="auto"/>
          <w:szCs w:val="20"/>
          <w:highlight w:val="none"/>
        </w:rPr>
        <w:t>二、投诉项目基本情况：</w:t>
      </w: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rPr>
        <w:t>采购</w:t>
      </w:r>
      <w:r>
        <w:rPr>
          <w:rFonts w:hint="eastAsia" w:ascii="宋体" w:hAnsi="宋体" w:cs="宋体"/>
          <w:color w:val="auto"/>
          <w:szCs w:val="21"/>
          <w:highlight w:val="none"/>
        </w:rPr>
        <w:t>项目的名称：</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rPr>
        <w:t>采购</w:t>
      </w:r>
      <w:r>
        <w:rPr>
          <w:rFonts w:hint="eastAsia" w:ascii="宋体" w:hAnsi="宋体" w:cs="宋体"/>
          <w:color w:val="auto"/>
          <w:szCs w:val="21"/>
          <w:highlight w:val="none"/>
        </w:rPr>
        <w:t>项目的编号：</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bCs/>
          <w:color w:val="auto"/>
          <w:szCs w:val="20"/>
          <w:highlight w:val="none"/>
          <w:u w:val="single"/>
        </w:rPr>
      </w:pPr>
      <w:r>
        <w:rPr>
          <w:rFonts w:hint="eastAsia" w:ascii="宋体" w:hAnsi="宋体" w:cs="宋体"/>
          <w:color w:val="auto"/>
          <w:szCs w:val="21"/>
          <w:highlight w:val="none"/>
        </w:rPr>
        <w:t>采购人名称：</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bCs/>
          <w:color w:val="auto"/>
          <w:szCs w:val="20"/>
          <w:highlight w:val="none"/>
          <w:u w:val="single"/>
        </w:rPr>
      </w:pPr>
      <w:r>
        <w:rPr>
          <w:rFonts w:hint="eastAsia" w:ascii="宋体" w:hAnsi="宋体" w:cs="宋体"/>
          <w:color w:val="auto"/>
          <w:szCs w:val="21"/>
          <w:highlight w:val="none"/>
        </w:rPr>
        <w:t>代理机构名称：</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bCs/>
          <w:color w:val="auto"/>
          <w:szCs w:val="20"/>
          <w:highlight w:val="none"/>
          <w:u w:val="single"/>
        </w:rPr>
      </w:pPr>
      <w:r>
        <w:rPr>
          <w:rFonts w:hint="eastAsia" w:ascii="宋体" w:hAnsi="宋体" w:cs="宋体"/>
          <w:bCs/>
          <w:color w:val="auto"/>
          <w:szCs w:val="20"/>
          <w:highlight w:val="none"/>
        </w:rPr>
        <w:t>采购文件公告：</w:t>
      </w:r>
      <w:r>
        <w:rPr>
          <w:rFonts w:hint="eastAsia" w:ascii="宋体" w:hAnsi="宋体" w:cs="宋体"/>
          <w:bCs/>
          <w:color w:val="auto"/>
          <w:szCs w:val="20"/>
          <w:highlight w:val="none"/>
          <w:u w:val="single"/>
        </w:rPr>
        <w:t>是/否</w:t>
      </w:r>
      <w:r>
        <w:rPr>
          <w:rFonts w:hint="eastAsia" w:ascii="宋体" w:hAnsi="宋体" w:cs="宋体"/>
          <w:bCs/>
          <w:color w:val="auto"/>
          <w:szCs w:val="20"/>
          <w:highlight w:val="none"/>
        </w:rPr>
        <w:t>公告期限：</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b/>
          <w:color w:val="auto"/>
          <w:szCs w:val="21"/>
          <w:highlight w:val="none"/>
        </w:rPr>
      </w:pPr>
      <w:r>
        <w:rPr>
          <w:rFonts w:hint="eastAsia" w:ascii="宋体" w:hAnsi="宋体" w:cs="宋体"/>
          <w:bCs/>
          <w:color w:val="auto"/>
          <w:szCs w:val="20"/>
          <w:highlight w:val="none"/>
        </w:rPr>
        <w:t>采购结果公告：</w:t>
      </w:r>
      <w:r>
        <w:rPr>
          <w:rFonts w:hint="eastAsia" w:ascii="宋体" w:hAnsi="宋体" w:cs="宋体"/>
          <w:bCs/>
          <w:color w:val="auto"/>
          <w:szCs w:val="20"/>
          <w:highlight w:val="none"/>
          <w:u w:val="single"/>
        </w:rPr>
        <w:t>是/否</w:t>
      </w:r>
      <w:r>
        <w:rPr>
          <w:rFonts w:hint="eastAsia" w:ascii="宋体" w:hAnsi="宋体" w:cs="宋体"/>
          <w:bCs/>
          <w:color w:val="auto"/>
          <w:szCs w:val="20"/>
          <w:highlight w:val="none"/>
        </w:rPr>
        <w:t>公告期限：</w:t>
      </w:r>
      <w:r>
        <w:rPr>
          <w:rFonts w:hint="eastAsia" w:ascii="宋体" w:hAnsi="宋体" w:cs="宋体"/>
          <w:bCs/>
          <w:color w:val="auto"/>
          <w:szCs w:val="20"/>
          <w:highlight w:val="none"/>
          <w:u w:val="single"/>
        </w:rPr>
        <w:t xml:space="preserve">                                                       </w:t>
      </w:r>
    </w:p>
    <w:p>
      <w:pPr>
        <w:spacing w:line="400" w:lineRule="exact"/>
        <w:ind w:left="25" w:leftChars="12" w:firstLine="411" w:firstLineChars="196"/>
        <w:rPr>
          <w:rFonts w:ascii="宋体" w:hAnsi="宋体" w:cs="宋体"/>
          <w:b/>
          <w:color w:val="auto"/>
          <w:szCs w:val="21"/>
          <w:highlight w:val="none"/>
        </w:rPr>
      </w:pPr>
      <w:r>
        <w:rPr>
          <w:rFonts w:hint="eastAsia" w:ascii="宋体" w:hAnsi="宋体" w:cs="宋体"/>
          <w:b/>
          <w:color w:val="auto"/>
          <w:szCs w:val="21"/>
          <w:highlight w:val="none"/>
        </w:rPr>
        <w:t>三、质疑基本情况</w:t>
      </w:r>
    </w:p>
    <w:p>
      <w:pPr>
        <w:spacing w:line="400" w:lineRule="exact"/>
        <w:ind w:left="25" w:leftChars="12" w:firstLine="833" w:firstLineChars="397"/>
        <w:rPr>
          <w:rFonts w:ascii="宋体" w:hAnsi="宋体" w:cs="宋体"/>
          <w:color w:val="auto"/>
          <w:szCs w:val="21"/>
          <w:highlight w:val="none"/>
        </w:rPr>
      </w:pPr>
      <w:r>
        <w:rPr>
          <w:rFonts w:hint="eastAsia" w:ascii="宋体" w:hAnsi="宋体" w:cs="宋体"/>
          <w:color w:val="auto"/>
          <w:szCs w:val="21"/>
          <w:highlight w:val="none"/>
        </w:rPr>
        <w:t>投诉人于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提出质疑，质疑事项为：</w:t>
      </w:r>
    </w:p>
    <w:p>
      <w:pPr>
        <w:spacing w:line="400" w:lineRule="exact"/>
        <w:rPr>
          <w:rFonts w:ascii="宋体" w:hAnsi="宋体" w:cs="宋体"/>
          <w:bCs/>
          <w:color w:val="auto"/>
          <w:szCs w:val="20"/>
          <w:highlight w:val="none"/>
          <w:u w:val="single"/>
        </w:rPr>
      </w:pP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pPr>
        <w:spacing w:line="400" w:lineRule="exact"/>
        <w:rPr>
          <w:rFonts w:ascii="宋体" w:hAnsi="宋体" w:cs="宋体"/>
          <w:bCs/>
          <w:color w:val="auto"/>
          <w:szCs w:val="20"/>
          <w:highlight w:val="none"/>
          <w:u w:val="singl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采购人/代理机构</w:t>
      </w:r>
      <w:r>
        <w:rPr>
          <w:rFonts w:hint="eastAsia" w:ascii="宋体" w:hAnsi="宋体" w:cs="宋体"/>
          <w:bCs/>
          <w:color w:val="auto"/>
          <w:szCs w:val="20"/>
          <w:highlight w:val="none"/>
        </w:rPr>
        <w:t>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bCs/>
          <w:color w:val="auto"/>
          <w:szCs w:val="20"/>
          <w:highlight w:val="none"/>
        </w:rPr>
        <w:t xml:space="preserve">就质疑事项作出了答复/没有在法定期限内作出答复。                                                                                             </w:t>
      </w:r>
    </w:p>
    <w:p>
      <w:pPr>
        <w:spacing w:line="400" w:lineRule="exact"/>
        <w:ind w:left="25" w:leftChars="12" w:firstLine="411" w:firstLineChars="196"/>
        <w:rPr>
          <w:rFonts w:ascii="宋体" w:hAnsi="宋体" w:cs="宋体"/>
          <w:b/>
          <w:color w:val="auto"/>
          <w:szCs w:val="21"/>
          <w:highlight w:val="none"/>
        </w:rPr>
      </w:pPr>
      <w:r>
        <w:rPr>
          <w:rFonts w:hint="eastAsia" w:ascii="宋体" w:hAnsi="宋体" w:cs="宋体"/>
          <w:b/>
          <w:color w:val="auto"/>
          <w:szCs w:val="21"/>
          <w:highlight w:val="none"/>
        </w:rPr>
        <w:t>四、投诉事项具体内容</w:t>
      </w:r>
    </w:p>
    <w:p>
      <w:pPr>
        <w:spacing w:line="400" w:lineRule="exact"/>
        <w:ind w:left="25" w:leftChars="12" w:firstLine="413" w:firstLineChars="197"/>
        <w:rPr>
          <w:rFonts w:ascii="宋体" w:hAnsi="宋体" w:cs="宋体"/>
          <w:bCs/>
          <w:color w:val="auto"/>
          <w:szCs w:val="20"/>
          <w:highlight w:val="none"/>
          <w:u w:val="single"/>
        </w:rPr>
      </w:pPr>
      <w:r>
        <w:rPr>
          <w:rFonts w:hint="eastAsia" w:ascii="宋体" w:hAnsi="宋体" w:cs="宋体"/>
          <w:color w:val="auto"/>
          <w:szCs w:val="21"/>
          <w:highlight w:val="none"/>
        </w:rPr>
        <w:t>投诉事项1：</w:t>
      </w:r>
      <w:r>
        <w:rPr>
          <w:rFonts w:hint="eastAsia" w:ascii="宋体" w:hAnsi="宋体" w:cs="宋体"/>
          <w:bCs/>
          <w:color w:val="auto"/>
          <w:szCs w:val="20"/>
          <w:highlight w:val="none"/>
          <w:u w:val="single"/>
        </w:rPr>
        <w:t xml:space="preserve">                                                                           </w:t>
      </w:r>
    </w:p>
    <w:p>
      <w:pPr>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事实依据：</w:t>
      </w: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u w:val="single"/>
        </w:rPr>
        <w:t xml:space="preserve">                                                                                        </w:t>
      </w:r>
    </w:p>
    <w:p>
      <w:pPr>
        <w:spacing w:line="400" w:lineRule="exact"/>
        <w:ind w:firstLine="420"/>
        <w:rPr>
          <w:rFonts w:ascii="宋体" w:hAnsi="宋体" w:cs="宋体"/>
          <w:bCs/>
          <w:color w:val="auto"/>
          <w:szCs w:val="20"/>
          <w:highlight w:val="none"/>
          <w:u w:val="single"/>
        </w:rPr>
      </w:pPr>
      <w:r>
        <w:rPr>
          <w:rFonts w:hint="eastAsia" w:ascii="宋体" w:hAnsi="宋体" w:cs="宋体"/>
          <w:bCs/>
          <w:color w:val="auto"/>
          <w:szCs w:val="20"/>
          <w:highlight w:val="none"/>
        </w:rPr>
        <w:t>法律依据：</w:t>
      </w:r>
      <w:r>
        <w:rPr>
          <w:rFonts w:hint="eastAsia" w:ascii="宋体" w:hAnsi="宋体" w:cs="宋体"/>
          <w:color w:val="auto"/>
          <w:szCs w:val="21"/>
          <w:highlight w:val="none"/>
        </w:rPr>
        <w:t xml:space="preserve"> </w:t>
      </w:r>
      <w:r>
        <w:rPr>
          <w:rFonts w:hint="eastAsia" w:ascii="宋体" w:hAnsi="宋体" w:cs="宋体"/>
          <w:bCs/>
          <w:color w:val="auto"/>
          <w:szCs w:val="20"/>
          <w:highlight w:val="none"/>
          <w:u w:val="single"/>
        </w:rPr>
        <w:t xml:space="preserve">                                                                                      </w:t>
      </w:r>
    </w:p>
    <w:p>
      <w:pPr>
        <w:spacing w:line="400" w:lineRule="exact"/>
        <w:ind w:left="25" w:leftChars="12" w:firstLine="308" w:firstLineChars="147"/>
        <w:rPr>
          <w:rFonts w:ascii="宋体" w:hAnsi="宋体" w:cs="宋体"/>
          <w:bCs/>
          <w:color w:val="auto"/>
          <w:szCs w:val="20"/>
          <w:highlight w:val="none"/>
          <w:u w:val="single"/>
        </w:rPr>
      </w:pPr>
      <w:r>
        <w:rPr>
          <w:rFonts w:hint="eastAsia" w:ascii="宋体" w:hAnsi="宋体" w:cs="宋体"/>
          <w:bCs/>
          <w:color w:val="auto"/>
          <w:szCs w:val="20"/>
          <w:highlight w:val="none"/>
        </w:rPr>
        <w:t xml:space="preserve"> </w:t>
      </w:r>
      <w:r>
        <w:rPr>
          <w:rFonts w:hint="eastAsia" w:ascii="宋体" w:hAnsi="宋体" w:cs="宋体"/>
          <w:bCs/>
          <w:color w:val="auto"/>
          <w:szCs w:val="20"/>
          <w:highlight w:val="none"/>
          <w:u w:val="single"/>
        </w:rPr>
        <w:t xml:space="preserve">                                                                                        </w:t>
      </w:r>
    </w:p>
    <w:p>
      <w:pPr>
        <w:spacing w:line="400" w:lineRule="exact"/>
        <w:ind w:left="25" w:leftChars="12" w:firstLine="413" w:firstLineChars="197"/>
        <w:rPr>
          <w:rFonts w:ascii="宋体" w:hAnsi="宋体" w:cs="宋体"/>
          <w:bCs/>
          <w:color w:val="auto"/>
          <w:szCs w:val="20"/>
          <w:highlight w:val="none"/>
        </w:rPr>
      </w:pPr>
      <w:r>
        <w:rPr>
          <w:rFonts w:hint="eastAsia" w:ascii="宋体" w:hAnsi="宋体" w:cs="宋体"/>
          <w:color w:val="auto"/>
          <w:szCs w:val="21"/>
          <w:highlight w:val="none"/>
        </w:rPr>
        <w:t xml:space="preserve">投诉事项2  </w:t>
      </w:r>
      <w:r>
        <w:rPr>
          <w:rFonts w:hint="eastAsia" w:ascii="宋体" w:hAnsi="宋体" w:cs="宋体"/>
          <w:bCs/>
          <w:color w:val="auto"/>
          <w:szCs w:val="20"/>
          <w:highlight w:val="none"/>
        </w:rPr>
        <w:t xml:space="preserve">   </w:t>
      </w:r>
    </w:p>
    <w:p>
      <w:pPr>
        <w:spacing w:line="400" w:lineRule="exact"/>
        <w:ind w:left="25" w:leftChars="12" w:firstLine="413" w:firstLineChars="197"/>
        <w:rPr>
          <w:rFonts w:ascii="宋体" w:hAnsi="宋体" w:cs="宋体"/>
          <w:bCs/>
          <w:color w:val="auto"/>
          <w:szCs w:val="20"/>
          <w:highlight w:val="none"/>
        </w:rPr>
      </w:pPr>
      <w:r>
        <w:rPr>
          <w:rFonts w:hint="eastAsia" w:ascii="宋体" w:hAnsi="宋体" w:cs="宋体"/>
          <w:bCs/>
          <w:color w:val="auto"/>
          <w:szCs w:val="20"/>
          <w:highlight w:val="none"/>
        </w:rPr>
        <w:t>……</w:t>
      </w:r>
    </w:p>
    <w:p>
      <w:pPr>
        <w:spacing w:line="400" w:lineRule="exact"/>
        <w:ind w:left="25" w:leftChars="12" w:firstLine="411" w:firstLineChars="196"/>
        <w:rPr>
          <w:rFonts w:ascii="宋体" w:hAnsi="宋体" w:cs="宋体"/>
          <w:b/>
          <w:color w:val="auto"/>
          <w:szCs w:val="21"/>
          <w:highlight w:val="none"/>
        </w:rPr>
      </w:pPr>
      <w:r>
        <w:rPr>
          <w:rFonts w:hint="eastAsia" w:ascii="宋体" w:hAnsi="宋体" w:cs="宋体"/>
          <w:b/>
          <w:color w:val="auto"/>
          <w:szCs w:val="21"/>
          <w:highlight w:val="none"/>
        </w:rPr>
        <w:t>五、与投诉事项相关的投诉请求：</w:t>
      </w: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请求：</w:t>
      </w:r>
      <w:r>
        <w:rPr>
          <w:rFonts w:hint="eastAsia" w:ascii="宋体" w:hAnsi="宋体" w:cs="宋体"/>
          <w:bCs/>
          <w:color w:val="auto"/>
          <w:szCs w:val="20"/>
          <w:highlight w:val="none"/>
          <w:u w:val="single"/>
        </w:rPr>
        <w:t xml:space="preserve">                                                                                 </w:t>
      </w:r>
    </w:p>
    <w:p>
      <w:pPr>
        <w:spacing w:line="400" w:lineRule="exact"/>
        <w:ind w:left="25" w:leftChars="12" w:firstLine="308" w:firstLineChars="147"/>
        <w:rPr>
          <w:rFonts w:ascii="宋体" w:hAnsi="宋体" w:cs="宋体"/>
          <w:color w:val="auto"/>
          <w:szCs w:val="21"/>
          <w:highlight w:val="none"/>
        </w:rPr>
      </w:pP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签字（签章）：                                       公章：</w:t>
      </w:r>
    </w:p>
    <w:p>
      <w:pPr>
        <w:spacing w:line="400" w:lineRule="exact"/>
        <w:ind w:left="25" w:leftChars="12" w:firstLine="308" w:firstLineChars="147"/>
        <w:rPr>
          <w:rFonts w:ascii="宋体" w:hAnsi="宋体" w:cs="宋体"/>
          <w:color w:val="auto"/>
          <w:szCs w:val="21"/>
          <w:highlight w:val="none"/>
        </w:rPr>
      </w:pPr>
    </w:p>
    <w:p>
      <w:pPr>
        <w:spacing w:line="400" w:lineRule="exact"/>
        <w:ind w:left="25" w:leftChars="12" w:firstLine="413" w:firstLineChars="197"/>
        <w:rPr>
          <w:rFonts w:ascii="宋体" w:hAnsi="宋体" w:cs="宋体"/>
          <w:color w:val="auto"/>
          <w:szCs w:val="21"/>
          <w:highlight w:val="none"/>
        </w:rPr>
      </w:pPr>
      <w:r>
        <w:rPr>
          <w:rFonts w:hint="eastAsia" w:ascii="宋体" w:hAnsi="宋体" w:cs="宋体"/>
          <w:color w:val="auto"/>
          <w:szCs w:val="21"/>
          <w:highlight w:val="none"/>
        </w:rPr>
        <w:t>日期：</w:t>
      </w:r>
    </w:p>
    <w:p>
      <w:pPr>
        <w:spacing w:line="360" w:lineRule="exact"/>
        <w:ind w:left="25" w:leftChars="12" w:firstLine="413" w:firstLineChars="197"/>
        <w:rPr>
          <w:rFonts w:ascii="宋体" w:hAnsi="宋体" w:cs="宋体"/>
          <w:color w:val="auto"/>
          <w:szCs w:val="21"/>
          <w:highlight w:val="none"/>
        </w:rPr>
      </w:pPr>
      <w:r>
        <w:rPr>
          <w:rFonts w:hint="eastAsia" w:ascii="宋体" w:hAnsi="宋体" w:cs="宋体"/>
          <w:bCs/>
          <w:color w:val="auto"/>
          <w:szCs w:val="20"/>
          <w:highlight w:val="none"/>
        </w:rPr>
        <w:t xml:space="preserve">                                                                                 </w:t>
      </w:r>
    </w:p>
    <w:p>
      <w:pPr>
        <w:snapToGrid w:val="0"/>
        <w:spacing w:line="340" w:lineRule="exact"/>
        <w:rPr>
          <w:rFonts w:ascii="宋体" w:hAnsi="宋体" w:cs="宋体"/>
          <w:b/>
          <w:color w:val="auto"/>
          <w:szCs w:val="21"/>
          <w:highlight w:val="none"/>
        </w:rPr>
      </w:pP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说明：</w:t>
      </w: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1.投诉人提起投诉时，应当提交投诉书和必要的证明材料，并按照被投诉人和与投诉事项有关的供应商数量提供投诉书副本。</w:t>
      </w:r>
    </w:p>
    <w:p>
      <w:pPr>
        <w:spacing w:line="340" w:lineRule="exact"/>
        <w:ind w:left="25" w:leftChars="12" w:firstLine="308" w:firstLineChars="147"/>
        <w:rPr>
          <w:rFonts w:ascii="宋体" w:hAnsi="宋体"/>
          <w:b/>
          <w:color w:val="auto"/>
          <w:szCs w:val="20"/>
          <w:highlight w:val="none"/>
        </w:rPr>
      </w:pPr>
      <w:r>
        <w:rPr>
          <w:rFonts w:hint="eastAsia" w:ascii="宋体" w:hAnsi="宋体" w:cs="宋体"/>
          <w:b/>
          <w:color w:val="auto"/>
          <w:szCs w:val="21"/>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3.投诉书应简要列明质疑事项，质疑函、质疑答复等作为附件材料提供。</w:t>
      </w: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4.投诉书的投诉事项应具体、明确，并有必要的事实依据和法律依据。</w:t>
      </w: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5.投诉书的投诉请求应与投诉事项相关。</w:t>
      </w:r>
    </w:p>
    <w:p>
      <w:pPr>
        <w:spacing w:line="340" w:lineRule="exact"/>
        <w:ind w:left="25" w:leftChars="12" w:firstLine="308" w:firstLineChars="147"/>
        <w:rPr>
          <w:rFonts w:ascii="宋体" w:hAnsi="宋体" w:cs="宋体"/>
          <w:b/>
          <w:color w:val="auto"/>
          <w:szCs w:val="21"/>
          <w:highlight w:val="none"/>
        </w:rPr>
      </w:pPr>
      <w:r>
        <w:rPr>
          <w:rFonts w:hint="eastAsia" w:ascii="宋体" w:hAnsi="宋体" w:cs="宋体"/>
          <w:b/>
          <w:color w:val="auto"/>
          <w:szCs w:val="21"/>
          <w:highlight w:val="none"/>
        </w:rPr>
        <w:t>6.投诉人为自然人的，投诉书应由本人签字；投诉人为法人或者其他组织的，投诉书应由法定代表人、主要负责人，或者其授权代表签字或者盖章，并加盖公章。</w:t>
      </w:r>
    </w:p>
    <w:p>
      <w:pPr>
        <w:spacing w:line="340" w:lineRule="exact"/>
        <w:ind w:left="25" w:leftChars="12" w:firstLine="308" w:firstLineChars="147"/>
        <w:rPr>
          <w:rFonts w:ascii="宋体" w:hAnsi="宋体" w:cs="宋体"/>
          <w:b/>
          <w:color w:val="auto"/>
          <w:kern w:val="0"/>
          <w:szCs w:val="21"/>
          <w:highlight w:val="none"/>
        </w:rPr>
      </w:pPr>
    </w:p>
    <w:p>
      <w:pPr>
        <w:spacing w:line="340" w:lineRule="exact"/>
        <w:ind w:left="25" w:leftChars="12" w:firstLine="308" w:firstLineChars="147"/>
        <w:rPr>
          <w:rFonts w:ascii="宋体" w:hAnsi="宋体"/>
          <w:b/>
          <w:color w:val="auto"/>
          <w:kern w:val="0"/>
          <w:szCs w:val="21"/>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tabs>
          <w:tab w:val="center" w:pos="4410"/>
          <w:tab w:val="left" w:pos="6735"/>
        </w:tabs>
        <w:spacing w:line="480" w:lineRule="auto"/>
        <w:jc w:val="center"/>
        <w:rPr>
          <w:rFonts w:ascii="宋体" w:hAnsi="宋体"/>
          <w:b/>
          <w:color w:val="auto"/>
          <w:kern w:val="0"/>
          <w:sz w:val="32"/>
          <w:szCs w:val="32"/>
          <w:highlight w:val="none"/>
        </w:rPr>
      </w:pPr>
    </w:p>
    <w:p>
      <w:pPr>
        <w:snapToGrid w:val="0"/>
        <w:spacing w:line="340" w:lineRule="exact"/>
        <w:rPr>
          <w:rFonts w:ascii="宋体" w:hAnsi="宋体" w:cs="宋体"/>
          <w:b/>
          <w:color w:val="auto"/>
          <w:highlight w:val="none"/>
        </w:rPr>
      </w:pPr>
      <w:r>
        <w:rPr>
          <w:rFonts w:hint="eastAsia" w:ascii="宋体" w:hAnsi="宋体" w:cs="宋体"/>
          <w:b/>
          <w:color w:val="auto"/>
          <w:highlight w:val="none"/>
        </w:rPr>
        <w:t>附表3：</w:t>
      </w:r>
    </w:p>
    <w:p>
      <w:pPr>
        <w:spacing w:line="460" w:lineRule="exact"/>
        <w:jc w:val="center"/>
        <w:rPr>
          <w:rFonts w:ascii="宋体" w:hAnsi="宋体" w:cs="宋体"/>
          <w:color w:val="auto"/>
          <w:sz w:val="44"/>
          <w:highlight w:val="none"/>
        </w:rPr>
      </w:pPr>
    </w:p>
    <w:p>
      <w:pPr>
        <w:spacing w:line="460" w:lineRule="exact"/>
        <w:jc w:val="center"/>
        <w:rPr>
          <w:rFonts w:ascii="宋体" w:hAnsi="宋体" w:cs="宋体"/>
          <w:color w:val="auto"/>
          <w:sz w:val="44"/>
          <w:highlight w:val="none"/>
        </w:rPr>
      </w:pPr>
      <w:r>
        <w:rPr>
          <w:rFonts w:hint="eastAsia" w:ascii="宋体" w:hAnsi="宋体" w:cs="宋体"/>
          <w:color w:val="auto"/>
          <w:sz w:val="44"/>
          <w:highlight w:val="none"/>
        </w:rPr>
        <w:t>桂林市政府采购项目合同验收书（格式）</w:t>
      </w:r>
    </w:p>
    <w:p>
      <w:pPr>
        <w:widowControl/>
        <w:spacing w:line="600" w:lineRule="atLeast"/>
        <w:jc w:val="center"/>
        <w:rPr>
          <w:rFonts w:ascii="方正小标宋简体" w:hAnsi="仿宋" w:eastAsia="方正小标宋简体"/>
          <w:color w:val="auto"/>
          <w:kern w:val="0"/>
          <w:sz w:val="36"/>
          <w:szCs w:val="36"/>
          <w:highlight w:val="none"/>
        </w:rPr>
      </w:pPr>
    </w:p>
    <w:p>
      <w:pPr>
        <w:widowControl/>
        <w:spacing w:line="460" w:lineRule="exact"/>
        <w:ind w:firstLine="482"/>
        <w:jc w:val="left"/>
        <w:rPr>
          <w:rFonts w:ascii="宋体" w:hAnsi="宋体"/>
          <w:color w:val="auto"/>
          <w:kern w:val="0"/>
          <w:sz w:val="30"/>
          <w:szCs w:val="30"/>
          <w:highlight w:val="none"/>
        </w:rPr>
      </w:pPr>
      <w:r>
        <w:rPr>
          <w:rFonts w:hint="eastAsia" w:ascii="宋体" w:hAnsi="宋体" w:cs="仿宋"/>
          <w:color w:val="auto"/>
          <w:kern w:val="0"/>
          <w:highlight w:val="none"/>
        </w:rPr>
        <w:t>根据政府采购项目（</w:t>
      </w:r>
      <w:r>
        <w:rPr>
          <w:rFonts w:hint="eastAsia" w:ascii="宋体" w:hAnsi="宋体" w:cs="仿宋"/>
          <w:color w:val="auto"/>
          <w:kern w:val="0"/>
          <w:highlight w:val="none"/>
          <w:u w:val="single"/>
        </w:rPr>
        <w:t>采购合同编号：</w:t>
      </w:r>
      <w:r>
        <w:rPr>
          <w:rFonts w:ascii="宋体" w:hAnsi="宋体"/>
          <w:color w:val="auto"/>
          <w:kern w:val="0"/>
          <w:highlight w:val="none"/>
          <w:u w:val="single"/>
        </w:rPr>
        <w:softHyphen/>
      </w:r>
      <w:r>
        <w:rPr>
          <w:rFonts w:ascii="宋体" w:hAnsi="宋体"/>
          <w:color w:val="auto"/>
          <w:kern w:val="0"/>
          <w:highlight w:val="none"/>
          <w:u w:val="single"/>
        </w:rPr>
        <w:t>   </w:t>
      </w:r>
      <w:r>
        <w:rPr>
          <w:rFonts w:hint="eastAsia" w:ascii="宋体" w:hAnsi="宋体" w:cs="仿宋"/>
          <w:color w:val="auto"/>
          <w:kern w:val="0"/>
          <w:highlight w:val="none"/>
        </w:rPr>
        <w:t>）的约定，采购人对（</w:t>
      </w:r>
      <w:r>
        <w:rPr>
          <w:rFonts w:ascii="宋体" w:hAnsi="宋体"/>
          <w:color w:val="auto"/>
          <w:kern w:val="0"/>
          <w:highlight w:val="none"/>
          <w:u w:val="single"/>
        </w:rPr>
        <w:t> </w:t>
      </w:r>
      <w:r>
        <w:rPr>
          <w:rFonts w:hint="eastAsia" w:ascii="宋体" w:hAnsi="宋体" w:cs="仿宋"/>
          <w:color w:val="auto"/>
          <w:kern w:val="0"/>
          <w:highlight w:val="none"/>
          <w:u w:val="single"/>
        </w:rPr>
        <w:t>项目名称</w:t>
      </w:r>
      <w:r>
        <w:rPr>
          <w:rFonts w:ascii="宋体" w:hAnsi="宋体"/>
          <w:color w:val="auto"/>
          <w:kern w:val="0"/>
          <w:highlight w:val="none"/>
          <w:u w:val="single"/>
        </w:rPr>
        <w:t>   </w:t>
      </w:r>
      <w:r>
        <w:rPr>
          <w:rFonts w:hint="eastAsia" w:ascii="宋体" w:hAnsi="宋体" w:cs="仿宋"/>
          <w:color w:val="auto"/>
          <w:kern w:val="0"/>
          <w:highlight w:val="none"/>
        </w:rPr>
        <w:t>）政府采购项目成交供应商（</w:t>
      </w:r>
      <w:r>
        <w:rPr>
          <w:rFonts w:ascii="宋体" w:hAnsi="宋体"/>
          <w:color w:val="auto"/>
          <w:kern w:val="0"/>
          <w:highlight w:val="none"/>
          <w:u w:val="single"/>
        </w:rPr>
        <w:t>      </w:t>
      </w:r>
      <w:r>
        <w:rPr>
          <w:rFonts w:hint="eastAsia" w:ascii="宋体" w:hAnsi="宋体" w:cs="仿宋"/>
          <w:color w:val="auto"/>
          <w:kern w:val="0"/>
          <w:highlight w:val="none"/>
          <w:u w:val="single"/>
        </w:rPr>
        <w:t>公司名称</w:t>
      </w:r>
      <w:r>
        <w:rPr>
          <w:rFonts w:ascii="宋体" w:hAnsi="宋体"/>
          <w:color w:val="auto"/>
          <w:kern w:val="0"/>
          <w:highlight w:val="none"/>
          <w:u w:val="single"/>
        </w:rPr>
        <w:t>         </w:t>
      </w:r>
      <w:r>
        <w:rPr>
          <w:rFonts w:hint="eastAsia" w:ascii="宋体" w:hAnsi="宋体" w:cs="仿宋"/>
          <w:color w:val="auto"/>
          <w:kern w:val="0"/>
          <w:highlight w:val="none"/>
        </w:rPr>
        <w:t>）提供的服务进行了验收，验收情况如下：</w:t>
      </w:r>
    </w:p>
    <w:tbl>
      <w:tblPr>
        <w:tblStyle w:val="21"/>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27"/>
        <w:gridCol w:w="2294"/>
        <w:gridCol w:w="946"/>
        <w:gridCol w:w="2495"/>
        <w:gridCol w:w="205"/>
        <w:gridCol w:w="79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pPr>
              <w:widowControl/>
              <w:spacing w:line="320" w:lineRule="atLeast"/>
              <w:ind w:firstLine="5"/>
              <w:jc w:val="center"/>
              <w:rPr>
                <w:rFonts w:ascii="宋体"/>
                <w:color w:val="auto"/>
                <w:kern w:val="0"/>
                <w:highlight w:val="none"/>
              </w:rPr>
            </w:pPr>
            <w:r>
              <w:rPr>
                <w:rFonts w:hint="eastAsia" w:ascii="宋体" w:hAnsi="宋体" w:cs="宋体"/>
                <w:color w:val="auto"/>
                <w:kern w:val="0"/>
                <w:highlight w:val="none"/>
              </w:rPr>
              <w:t>验收方式：</w:t>
            </w:r>
          </w:p>
        </w:tc>
        <w:tc>
          <w:tcPr>
            <w:tcW w:w="5806" w:type="dxa"/>
            <w:gridSpan w:val="5"/>
            <w:vAlign w:val="center"/>
          </w:tcPr>
          <w:p>
            <w:pPr>
              <w:widowControl/>
              <w:spacing w:line="320" w:lineRule="atLeast"/>
              <w:ind w:firstLine="480"/>
              <w:jc w:val="center"/>
              <w:rPr>
                <w:rFonts w:ascii="宋体"/>
                <w:color w:val="auto"/>
                <w:kern w:val="0"/>
                <w:highlight w:val="none"/>
              </w:rPr>
            </w:pPr>
            <w:r>
              <w:rPr>
                <w:rFonts w:hint="eastAsia" w:ascii="宋体" w:cs="宋体"/>
                <w:color w:val="auto"/>
                <w:kern w:val="0"/>
                <w:highlight w:val="none"/>
              </w:rPr>
              <w:t>□</w:t>
            </w:r>
            <w:r>
              <w:rPr>
                <w:rFonts w:hint="eastAsia" w:ascii="宋体" w:hAnsi="宋体" w:cs="宋体"/>
                <w:color w:val="auto"/>
                <w:kern w:val="0"/>
                <w:highlight w:val="none"/>
              </w:rPr>
              <w:t>自行验收</w:t>
            </w:r>
            <w:r>
              <w:rPr>
                <w:rFonts w:ascii="宋体"/>
                <w:color w:val="auto"/>
                <w:kern w:val="0"/>
                <w:highlight w:val="none"/>
              </w:rPr>
              <w:t>        </w:t>
            </w:r>
            <w:r>
              <w:rPr>
                <w:rFonts w:hint="eastAsia" w:ascii="宋体" w:cs="宋体"/>
                <w:color w:val="auto"/>
                <w:kern w:val="0"/>
                <w:highlight w:val="none"/>
              </w:rPr>
              <w:t>□</w:t>
            </w:r>
            <w:r>
              <w:rPr>
                <w:rFonts w:hint="eastAsia" w:ascii="宋体" w:hAnsi="宋体" w:cs="宋体"/>
                <w:color w:val="auto"/>
                <w:kern w:val="0"/>
                <w:highlight w:val="none"/>
              </w:rPr>
              <w:t>委托验收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pPr>
              <w:widowControl/>
              <w:spacing w:line="320" w:lineRule="atLeast"/>
              <w:ind w:firstLine="2"/>
              <w:jc w:val="center"/>
              <w:rPr>
                <w:rFonts w:ascii="宋体"/>
                <w:color w:val="auto"/>
                <w:kern w:val="0"/>
                <w:highlight w:val="none"/>
              </w:rPr>
            </w:pPr>
            <w:r>
              <w:rPr>
                <w:rFonts w:hint="eastAsia" w:ascii="宋体" w:hAnsi="宋体" w:cs="宋体"/>
                <w:color w:val="auto"/>
                <w:kern w:val="0"/>
                <w:highlight w:val="none"/>
              </w:rPr>
              <w:t>序号</w:t>
            </w:r>
          </w:p>
        </w:tc>
        <w:tc>
          <w:tcPr>
            <w:tcW w:w="2294" w:type="dxa"/>
            <w:vAlign w:val="center"/>
          </w:tcPr>
          <w:p>
            <w:pPr>
              <w:widowControl/>
              <w:spacing w:line="320" w:lineRule="atLeast"/>
              <w:ind w:firstLine="2"/>
              <w:jc w:val="center"/>
              <w:rPr>
                <w:rFonts w:ascii="宋体"/>
                <w:color w:val="auto"/>
                <w:kern w:val="0"/>
                <w:highlight w:val="none"/>
              </w:rPr>
            </w:pPr>
            <w:r>
              <w:rPr>
                <w:rFonts w:hint="eastAsia" w:ascii="宋体" w:hAnsi="宋体" w:cs="宋体"/>
                <w:color w:val="auto"/>
                <w:kern w:val="0"/>
                <w:highlight w:val="none"/>
              </w:rPr>
              <w:t>名</w:t>
            </w:r>
            <w:r>
              <w:rPr>
                <w:rFonts w:ascii="宋体"/>
                <w:color w:val="auto"/>
                <w:kern w:val="0"/>
                <w:highlight w:val="none"/>
              </w:rPr>
              <w:t> </w:t>
            </w:r>
            <w:r>
              <w:rPr>
                <w:rFonts w:hint="eastAsia" w:ascii="宋体" w:hAnsi="宋体" w:cs="宋体"/>
                <w:color w:val="auto"/>
                <w:kern w:val="0"/>
                <w:highlight w:val="none"/>
              </w:rPr>
              <w:t>称</w:t>
            </w:r>
          </w:p>
        </w:tc>
        <w:tc>
          <w:tcPr>
            <w:tcW w:w="3441" w:type="dxa"/>
            <w:gridSpan w:val="2"/>
            <w:vAlign w:val="center"/>
          </w:tcPr>
          <w:p>
            <w:pPr>
              <w:widowControl/>
              <w:spacing w:line="320" w:lineRule="atLeast"/>
              <w:ind w:firstLine="2"/>
              <w:jc w:val="center"/>
              <w:rPr>
                <w:rFonts w:ascii="宋体"/>
                <w:color w:val="auto"/>
                <w:kern w:val="0"/>
                <w:highlight w:val="none"/>
              </w:rPr>
            </w:pPr>
            <w:r>
              <w:rPr>
                <w:rFonts w:hint="eastAsia" w:ascii="宋体" w:hAnsi="宋体" w:cs="宋体"/>
                <w:color w:val="auto"/>
                <w:kern w:val="0"/>
                <w:highlight w:val="none"/>
              </w:rPr>
              <w:t>服务内容、标准</w:t>
            </w:r>
          </w:p>
        </w:tc>
        <w:tc>
          <w:tcPr>
            <w:tcW w:w="998" w:type="dxa"/>
            <w:gridSpan w:val="2"/>
            <w:vAlign w:val="center"/>
          </w:tcPr>
          <w:p>
            <w:pPr>
              <w:widowControl/>
              <w:spacing w:line="320" w:lineRule="atLeast"/>
              <w:jc w:val="center"/>
              <w:rPr>
                <w:rFonts w:ascii="宋体"/>
                <w:color w:val="auto"/>
                <w:kern w:val="0"/>
                <w:highlight w:val="none"/>
              </w:rPr>
            </w:pPr>
            <w:r>
              <w:rPr>
                <w:rFonts w:hint="eastAsia" w:ascii="宋体" w:hAnsi="宋体" w:cs="宋体"/>
                <w:color w:val="auto"/>
                <w:kern w:val="0"/>
                <w:highlight w:val="none"/>
              </w:rPr>
              <w:t>数量</w:t>
            </w:r>
          </w:p>
        </w:tc>
        <w:tc>
          <w:tcPr>
            <w:tcW w:w="1367" w:type="dxa"/>
            <w:vAlign w:val="center"/>
          </w:tcPr>
          <w:p>
            <w:pPr>
              <w:widowControl/>
              <w:spacing w:line="320" w:lineRule="atLeast"/>
              <w:ind w:firstLine="2"/>
              <w:jc w:val="center"/>
              <w:rPr>
                <w:rFonts w:ascii="宋体"/>
                <w:color w:val="auto"/>
                <w:kern w:val="0"/>
                <w:highlight w:val="none"/>
              </w:rPr>
            </w:pPr>
            <w:r>
              <w:rPr>
                <w:rFonts w:hint="eastAsia" w:ascii="宋体" w:hAnsi="宋体" w:cs="宋体"/>
                <w:color w:val="auto"/>
                <w:kern w:val="0"/>
                <w:highlight w:val="none"/>
              </w:rPr>
              <w:t>金</w:t>
            </w:r>
            <w:r>
              <w:rPr>
                <w:rFonts w:ascii="宋体"/>
                <w:color w:val="auto"/>
                <w:kern w:val="0"/>
                <w:highlight w:val="none"/>
              </w:rPr>
              <w:t> </w:t>
            </w:r>
            <w:r>
              <w:rPr>
                <w:rFonts w:hint="eastAsia" w:ascii="宋体" w:hAnsi="宋体" w:cs="宋体"/>
                <w:color w:val="auto"/>
                <w:kern w:val="0"/>
                <w:highlight w:val="none"/>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5"/>
              <w:jc w:val="left"/>
              <w:rPr>
                <w:rFonts w:ascii="宋体"/>
                <w:color w:val="auto"/>
                <w:kern w:val="0"/>
                <w:highlight w:val="none"/>
              </w:rPr>
            </w:pPr>
            <w:r>
              <w:rPr>
                <w:rFonts w:ascii="宋体"/>
                <w:color w:val="auto"/>
                <w:kern w:val="0"/>
                <w:highlight w:val="none"/>
              </w:rPr>
              <w:t> </w:t>
            </w:r>
          </w:p>
        </w:tc>
        <w:tc>
          <w:tcPr>
            <w:tcW w:w="2294"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3441"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998"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136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2294"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3441"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998"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136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2294"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3441"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998"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136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pPr>
              <w:widowControl/>
              <w:spacing w:line="320" w:lineRule="atLeast"/>
              <w:ind w:firstLine="5"/>
              <w:jc w:val="center"/>
              <w:rPr>
                <w:rFonts w:ascii="宋体"/>
                <w:color w:val="auto"/>
                <w:kern w:val="0"/>
                <w:highlight w:val="none"/>
              </w:rPr>
            </w:pPr>
            <w:r>
              <w:rPr>
                <w:rFonts w:hint="eastAsia" w:ascii="宋体" w:hAnsi="宋体" w:cs="宋体"/>
                <w:color w:val="auto"/>
                <w:kern w:val="0"/>
                <w:highlight w:val="none"/>
              </w:rPr>
              <w:t>合</w:t>
            </w:r>
            <w:r>
              <w:rPr>
                <w:rFonts w:ascii="宋体"/>
                <w:color w:val="auto"/>
                <w:kern w:val="0"/>
                <w:highlight w:val="none"/>
              </w:rPr>
              <w:t>       </w:t>
            </w:r>
            <w:r>
              <w:rPr>
                <w:rFonts w:hint="eastAsia" w:ascii="宋体" w:hAnsi="宋体" w:cs="宋体"/>
                <w:color w:val="auto"/>
                <w:kern w:val="0"/>
                <w:highlight w:val="none"/>
              </w:rPr>
              <w:t>计</w:t>
            </w:r>
          </w:p>
        </w:tc>
        <w:tc>
          <w:tcPr>
            <w:tcW w:w="998"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136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pPr>
              <w:widowControl/>
              <w:spacing w:line="320" w:lineRule="atLeast"/>
              <w:ind w:firstLine="2"/>
              <w:jc w:val="left"/>
              <w:rPr>
                <w:rFonts w:ascii="宋体"/>
                <w:color w:val="auto"/>
                <w:kern w:val="0"/>
                <w:highlight w:val="none"/>
              </w:rPr>
            </w:pPr>
            <w:r>
              <w:rPr>
                <w:rFonts w:hint="eastAsia" w:ascii="宋体" w:hAnsi="宋体" w:cs="宋体"/>
                <w:color w:val="auto"/>
                <w:kern w:val="0"/>
                <w:highlight w:val="none"/>
              </w:rPr>
              <w:t>合计大写金额：</w:t>
            </w:r>
            <w:r>
              <w:rPr>
                <w:rFonts w:ascii="宋体"/>
                <w:color w:val="auto"/>
                <w:kern w:val="0"/>
                <w:highlight w:val="none"/>
              </w:rPr>
              <w:t>  </w:t>
            </w:r>
            <w:r>
              <w:rPr>
                <w:rFonts w:hint="eastAsia" w:ascii="宋体" w:hAnsi="宋体" w:cs="宋体"/>
                <w:color w:val="auto"/>
                <w:kern w:val="0"/>
                <w:highlight w:val="none"/>
              </w:rPr>
              <w:t>仟</w:t>
            </w:r>
            <w:r>
              <w:rPr>
                <w:rFonts w:ascii="宋体"/>
                <w:color w:val="auto"/>
                <w:kern w:val="0"/>
                <w:highlight w:val="none"/>
              </w:rPr>
              <w:t>   </w:t>
            </w:r>
            <w:r>
              <w:rPr>
                <w:rFonts w:hint="eastAsia" w:ascii="宋体" w:hAnsi="宋体" w:cs="宋体"/>
                <w:color w:val="auto"/>
                <w:kern w:val="0"/>
                <w:highlight w:val="none"/>
              </w:rPr>
              <w:t>佰</w:t>
            </w:r>
            <w:r>
              <w:rPr>
                <w:rFonts w:ascii="宋体"/>
                <w:color w:val="auto"/>
                <w:kern w:val="0"/>
                <w:highlight w:val="none"/>
              </w:rPr>
              <w:t>   </w:t>
            </w:r>
            <w:r>
              <w:rPr>
                <w:rFonts w:hint="eastAsia" w:ascii="宋体" w:hAnsi="宋体" w:cs="宋体"/>
                <w:color w:val="auto"/>
                <w:kern w:val="0"/>
                <w:highlight w:val="none"/>
              </w:rPr>
              <w:t>拾</w:t>
            </w:r>
            <w:r>
              <w:rPr>
                <w:rFonts w:ascii="宋体"/>
                <w:color w:val="auto"/>
                <w:kern w:val="0"/>
                <w:highlight w:val="none"/>
              </w:rPr>
              <w:t>   </w:t>
            </w:r>
            <w:r>
              <w:rPr>
                <w:rFonts w:hint="eastAsia" w:ascii="宋体" w:hAnsi="宋体" w:cs="宋体"/>
                <w:color w:val="auto"/>
                <w:kern w:val="0"/>
                <w:highlight w:val="none"/>
              </w:rPr>
              <w:t>万</w:t>
            </w:r>
            <w:r>
              <w:rPr>
                <w:rFonts w:ascii="宋体"/>
                <w:color w:val="auto"/>
                <w:kern w:val="0"/>
                <w:highlight w:val="none"/>
              </w:rPr>
              <w:t>   </w:t>
            </w:r>
            <w:r>
              <w:rPr>
                <w:rFonts w:hint="eastAsia" w:ascii="宋体" w:hAnsi="宋体" w:cs="宋体"/>
                <w:color w:val="auto"/>
                <w:kern w:val="0"/>
                <w:highlight w:val="none"/>
              </w:rPr>
              <w:t>仟</w:t>
            </w:r>
            <w:r>
              <w:rPr>
                <w:rFonts w:ascii="宋体"/>
                <w:color w:val="auto"/>
                <w:kern w:val="0"/>
                <w:highlight w:val="none"/>
              </w:rPr>
              <w:t>   </w:t>
            </w:r>
            <w:r>
              <w:rPr>
                <w:rFonts w:hint="eastAsia" w:ascii="宋体" w:hAnsi="宋体" w:cs="宋体"/>
                <w:color w:val="auto"/>
                <w:kern w:val="0"/>
                <w:highlight w:val="none"/>
              </w:rPr>
              <w:t>佰</w:t>
            </w:r>
            <w:r>
              <w:rPr>
                <w:rFonts w:ascii="宋体"/>
                <w:color w:val="auto"/>
                <w:kern w:val="0"/>
                <w:highlight w:val="none"/>
              </w:rPr>
              <w:t>   </w:t>
            </w:r>
            <w:r>
              <w:rPr>
                <w:rFonts w:hint="eastAsia" w:ascii="宋体" w:hAnsi="宋体" w:cs="宋体"/>
                <w:color w:val="auto"/>
                <w:kern w:val="0"/>
                <w:highlight w:val="none"/>
              </w:rPr>
              <w:t>拾</w:t>
            </w:r>
            <w:r>
              <w:rPr>
                <w:rFonts w:ascii="宋体"/>
                <w:color w:val="auto"/>
                <w:kern w:val="0"/>
                <w:highlight w:val="none"/>
              </w:rPr>
              <w:t>   </w:t>
            </w:r>
            <w:r>
              <w:rPr>
                <w:rFonts w:hint="eastAsia" w:ascii="宋体" w:hAnsi="宋体" w:cs="宋体"/>
                <w:color w:val="auto"/>
                <w:kern w:val="0"/>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pPr>
              <w:widowControl/>
              <w:spacing w:line="320" w:lineRule="atLeast"/>
              <w:ind w:firstLine="2"/>
              <w:jc w:val="left"/>
              <w:rPr>
                <w:rFonts w:ascii="宋体"/>
                <w:color w:val="auto"/>
                <w:kern w:val="0"/>
                <w:highlight w:val="none"/>
              </w:rPr>
            </w:pPr>
            <w:r>
              <w:rPr>
                <w:rFonts w:hint="eastAsia" w:ascii="宋体" w:hAnsi="宋体" w:cs="宋体"/>
                <w:color w:val="auto"/>
                <w:kern w:val="0"/>
                <w:highlight w:val="none"/>
              </w:rPr>
              <w:t>服务期限</w:t>
            </w:r>
          </w:p>
        </w:tc>
        <w:tc>
          <w:tcPr>
            <w:tcW w:w="3240"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2700" w:type="dxa"/>
            <w:gridSpan w:val="2"/>
            <w:vAlign w:val="center"/>
          </w:tcPr>
          <w:p>
            <w:pPr>
              <w:widowControl/>
              <w:spacing w:line="320" w:lineRule="atLeast"/>
              <w:ind w:firstLine="46"/>
              <w:jc w:val="center"/>
              <w:rPr>
                <w:rFonts w:ascii="宋体"/>
                <w:color w:val="auto"/>
                <w:kern w:val="0"/>
                <w:highlight w:val="none"/>
              </w:rPr>
            </w:pPr>
            <w:r>
              <w:rPr>
                <w:rFonts w:hint="eastAsia" w:ascii="宋体" w:hAnsi="宋体" w:cs="宋体"/>
                <w:color w:val="auto"/>
                <w:kern w:val="0"/>
                <w:highlight w:val="none"/>
              </w:rPr>
              <w:t>验收日期</w:t>
            </w:r>
          </w:p>
        </w:tc>
        <w:tc>
          <w:tcPr>
            <w:tcW w:w="2160"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3240"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2700"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c>
          <w:tcPr>
            <w:tcW w:w="2160" w:type="dxa"/>
            <w:gridSpan w:val="2"/>
            <w:vAlign w:val="center"/>
          </w:tcPr>
          <w:p>
            <w:pPr>
              <w:widowControl/>
              <w:spacing w:line="320" w:lineRule="atLeast"/>
              <w:ind w:firstLine="480"/>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pPr>
              <w:widowControl/>
              <w:spacing w:line="320" w:lineRule="atLeast"/>
              <w:jc w:val="left"/>
              <w:rPr>
                <w:rFonts w:ascii="宋体"/>
                <w:color w:val="auto"/>
                <w:kern w:val="0"/>
                <w:highlight w:val="none"/>
              </w:rPr>
            </w:pPr>
            <w:r>
              <w:rPr>
                <w:rFonts w:hint="eastAsia" w:ascii="宋体" w:hAnsi="宋体" w:cs="宋体"/>
                <w:color w:val="auto"/>
                <w:kern w:val="0"/>
                <w:highlight w:val="none"/>
              </w:rPr>
              <w:t>验收具体内容</w:t>
            </w:r>
          </w:p>
        </w:tc>
        <w:tc>
          <w:tcPr>
            <w:tcW w:w="8100" w:type="dxa"/>
            <w:gridSpan w:val="6"/>
            <w:tcMar>
              <w:top w:w="0" w:type="dxa"/>
              <w:left w:w="108" w:type="dxa"/>
              <w:bottom w:w="0" w:type="dxa"/>
              <w:right w:w="108" w:type="dxa"/>
            </w:tcMar>
            <w:vAlign w:val="center"/>
          </w:tcPr>
          <w:p>
            <w:pPr>
              <w:widowControl/>
              <w:spacing w:line="320" w:lineRule="atLeast"/>
              <w:jc w:val="left"/>
              <w:rPr>
                <w:rFonts w:ascii="宋体" w:hAnsi="宋体" w:cs="宋体"/>
                <w:color w:val="auto"/>
                <w:kern w:val="0"/>
                <w:highlight w:val="none"/>
              </w:rPr>
            </w:pPr>
            <w:r>
              <w:rPr>
                <w:rFonts w:hint="eastAsia" w:ascii="宋体" w:hAnsi="宋体" w:cs="宋体"/>
                <w:color w:val="auto"/>
                <w:kern w:val="0"/>
                <w:highlight w:val="none"/>
              </w:rPr>
              <w:t>（按</w:t>
            </w:r>
            <w:r>
              <w:rPr>
                <w:rFonts w:hint="eastAsia" w:ascii="宋体" w:hAnsi="宋体"/>
                <w:color w:val="auto"/>
                <w:szCs w:val="21"/>
                <w:highlight w:val="none"/>
              </w:rPr>
              <w:t>采购文件、成交供应商响应文件承诺、合同条款、国家</w:t>
            </w:r>
            <w:r>
              <w:rPr>
                <w:rFonts w:hint="eastAsia" w:ascii="宋体" w:hAnsi="宋体" w:cs="宋体"/>
                <w:color w:val="auto"/>
                <w:szCs w:val="21"/>
                <w:highlight w:val="none"/>
              </w:rPr>
              <w:t>相关标准规范以及行政主管部门政策文件</w:t>
            </w:r>
            <w:r>
              <w:rPr>
                <w:rFonts w:hint="eastAsia" w:ascii="宋体" w:hAnsi="宋体"/>
                <w:color w:val="auto"/>
                <w:szCs w:val="21"/>
                <w:highlight w:val="none"/>
              </w:rPr>
              <w:t>进行验收。</w:t>
            </w:r>
            <w:r>
              <w:rPr>
                <w:rFonts w:hint="eastAsia" w:ascii="宋体" w:hAnsi="宋体" w:cs="宋体"/>
                <w:color w:val="auto"/>
                <w:kern w:val="0"/>
                <w:highlight w:val="none"/>
              </w:rPr>
              <w:t>可附件</w:t>
            </w:r>
            <w:r>
              <w:rPr>
                <w:rFonts w:ascii="宋体" w:hAnsi="宋体" w:cs="宋体"/>
                <w:color w:val="auto"/>
                <w:kern w:val="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pPr>
              <w:widowControl/>
              <w:spacing w:line="320" w:lineRule="atLeast"/>
              <w:jc w:val="left"/>
              <w:rPr>
                <w:rFonts w:ascii="宋体"/>
                <w:color w:val="auto"/>
                <w:kern w:val="0"/>
                <w:highlight w:val="none"/>
              </w:rPr>
            </w:pPr>
            <w:r>
              <w:rPr>
                <w:rFonts w:hint="eastAsia" w:ascii="宋体" w:hAnsi="宋体" w:cs="宋体"/>
                <w:color w:val="auto"/>
                <w:kern w:val="0"/>
                <w:highlight w:val="none"/>
              </w:rPr>
              <w:t>验收小组意见</w:t>
            </w:r>
          </w:p>
        </w:tc>
        <w:tc>
          <w:tcPr>
            <w:tcW w:w="8100" w:type="dxa"/>
            <w:gridSpan w:val="6"/>
            <w:vAlign w:val="center"/>
          </w:tcPr>
          <w:p>
            <w:pPr>
              <w:widowControl/>
              <w:spacing w:line="320" w:lineRule="atLeast"/>
              <w:jc w:val="left"/>
              <w:rPr>
                <w:rFonts w:ascii="宋体"/>
                <w:color w:val="auto"/>
                <w:kern w:val="0"/>
                <w:highlight w:val="none"/>
              </w:rPr>
            </w:pPr>
            <w:r>
              <w:rPr>
                <w:rFonts w:ascii="宋体"/>
                <w:color w:val="auto"/>
                <w:kern w:val="0"/>
                <w:highlight w:val="none"/>
              </w:rPr>
              <w:t> </w:t>
            </w:r>
            <w:r>
              <w:rPr>
                <w:rFonts w:hint="eastAsia" w:ascii="宋体" w:hAnsi="宋体" w:cs="宋体"/>
                <w:color w:val="auto"/>
                <w:kern w:val="0"/>
                <w:highlight w:val="none"/>
              </w:rPr>
              <w:t>验收结论性意见：</w:t>
            </w:r>
          </w:p>
          <w:p>
            <w:pPr>
              <w:widowControl/>
              <w:spacing w:line="320" w:lineRule="atLeast"/>
              <w:jc w:val="left"/>
              <w:rPr>
                <w:rFonts w:ascii="宋体"/>
                <w:color w:val="auto"/>
                <w:kern w:val="0"/>
                <w:highlight w:val="none"/>
              </w:rPr>
            </w:pPr>
            <w:r>
              <w:rPr>
                <w:rFonts w:ascii="宋体"/>
                <w:color w:val="auto"/>
                <w:kern w:val="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0" w:type="auto"/>
            <w:vMerge w:val="continue"/>
            <w:vAlign w:val="center"/>
          </w:tcPr>
          <w:p>
            <w:pPr>
              <w:widowControl/>
              <w:jc w:val="left"/>
              <w:rPr>
                <w:rFonts w:ascii="宋体"/>
                <w:color w:val="auto"/>
                <w:kern w:val="0"/>
                <w:highlight w:val="none"/>
              </w:rPr>
            </w:pPr>
          </w:p>
        </w:tc>
        <w:tc>
          <w:tcPr>
            <w:tcW w:w="8100" w:type="dxa"/>
            <w:gridSpan w:val="6"/>
            <w:vAlign w:val="center"/>
          </w:tcPr>
          <w:p>
            <w:pPr>
              <w:widowControl/>
              <w:spacing w:line="320" w:lineRule="atLeast"/>
              <w:ind w:firstLine="96"/>
              <w:jc w:val="left"/>
              <w:rPr>
                <w:rFonts w:ascii="宋体"/>
                <w:color w:val="auto"/>
                <w:kern w:val="0"/>
                <w:highlight w:val="none"/>
              </w:rPr>
            </w:pPr>
            <w:r>
              <w:rPr>
                <w:rFonts w:hint="eastAsia" w:ascii="宋体" w:hAnsi="宋体" w:cs="宋体"/>
                <w:color w:val="auto"/>
                <w:kern w:val="0"/>
                <w:highlight w:val="none"/>
              </w:rPr>
              <w:t>有异议的意见和说明理由：</w:t>
            </w:r>
          </w:p>
          <w:p>
            <w:pPr>
              <w:widowControl/>
              <w:spacing w:line="320" w:lineRule="atLeast"/>
              <w:jc w:val="left"/>
              <w:rPr>
                <w:rFonts w:ascii="宋体"/>
                <w:color w:val="auto"/>
                <w:kern w:val="0"/>
                <w:highlight w:val="none"/>
              </w:rPr>
            </w:pPr>
            <w:r>
              <w:rPr>
                <w:rFonts w:ascii="宋体"/>
                <w:color w:val="auto"/>
                <w:kern w:val="0"/>
                <w:highlight w:val="none"/>
              </w:rPr>
              <w:t>        </w:t>
            </w:r>
            <w:r>
              <w:rPr>
                <w:rFonts w:ascii="宋体" w:hAnsi="宋体" w:cs="宋体"/>
                <w:color w:val="auto"/>
                <w:kern w:val="0"/>
                <w:highlight w:val="none"/>
              </w:rPr>
              <w:t xml:space="preserve">                              </w:t>
            </w:r>
            <w:r>
              <w:rPr>
                <w:rFonts w:hint="eastAsia" w:ascii="宋体" w:hAnsi="宋体" w:cs="宋体"/>
                <w:color w:val="auto"/>
                <w:kern w:val="0"/>
                <w:highlight w:val="none"/>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pPr>
              <w:widowControl/>
              <w:spacing w:line="320" w:lineRule="atLeast"/>
              <w:jc w:val="left"/>
              <w:rPr>
                <w:rFonts w:ascii="宋体"/>
                <w:color w:val="auto"/>
                <w:kern w:val="0"/>
                <w:highlight w:val="none"/>
              </w:rPr>
            </w:pPr>
            <w:r>
              <w:rPr>
                <w:rFonts w:hint="eastAsia" w:ascii="宋体" w:hAnsi="宋体" w:cs="宋体"/>
                <w:color w:val="auto"/>
                <w:kern w:val="0"/>
                <w:highlight w:val="none"/>
              </w:rPr>
              <w:t>验收小组成员签字：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pPr>
              <w:widowControl/>
              <w:spacing w:line="320" w:lineRule="atLeast"/>
              <w:jc w:val="left"/>
              <w:rPr>
                <w:rFonts w:ascii="宋体"/>
                <w:color w:val="auto"/>
                <w:kern w:val="0"/>
                <w:highlight w:val="none"/>
              </w:rPr>
            </w:pPr>
            <w:r>
              <w:rPr>
                <w:rFonts w:hint="eastAsia" w:ascii="宋体" w:hAnsi="宋体" w:cs="宋体"/>
                <w:color w:val="auto"/>
                <w:kern w:val="0"/>
                <w:highlight w:val="none"/>
              </w:rPr>
              <w:t>监督人员或其他相关人员签字：</w:t>
            </w:r>
          </w:p>
          <w:p>
            <w:pPr>
              <w:widowControl/>
              <w:spacing w:line="320" w:lineRule="atLeast"/>
              <w:ind w:firstLine="74"/>
              <w:jc w:val="left"/>
              <w:rPr>
                <w:rFonts w:ascii="宋体"/>
                <w:color w:val="auto"/>
                <w:kern w:val="0"/>
                <w:highlight w:val="none"/>
              </w:rPr>
            </w:pPr>
            <w:r>
              <w:rPr>
                <w:rFonts w:hint="eastAsia" w:ascii="宋体" w:hAnsi="宋体" w:cs="宋体"/>
                <w:color w:val="auto"/>
                <w:kern w:val="0"/>
                <w:highlight w:val="none"/>
              </w:rPr>
              <w:t>或受邀机构的意见（盖章）：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pPr>
              <w:widowControl/>
              <w:spacing w:line="320" w:lineRule="atLeast"/>
              <w:ind w:firstLine="74"/>
              <w:jc w:val="left"/>
              <w:rPr>
                <w:rFonts w:ascii="宋体"/>
                <w:color w:val="auto"/>
                <w:kern w:val="0"/>
                <w:highlight w:val="none"/>
              </w:rPr>
            </w:pPr>
            <w:r>
              <w:rPr>
                <w:rFonts w:hint="eastAsia" w:ascii="宋体" w:hAnsi="宋体" w:cs="宋体"/>
                <w:color w:val="auto"/>
                <w:kern w:val="0"/>
                <w:highlight w:val="none"/>
              </w:rPr>
              <w:t>中标或者成交供应商负责人签字或盖章：</w:t>
            </w:r>
          </w:p>
          <w:p>
            <w:pPr>
              <w:widowControl/>
              <w:spacing w:line="320" w:lineRule="atLeast"/>
              <w:jc w:val="left"/>
              <w:rPr>
                <w:rFonts w:ascii="宋体"/>
                <w:color w:val="auto"/>
                <w:kern w:val="0"/>
                <w:highlight w:val="none"/>
              </w:rPr>
            </w:pPr>
            <w:r>
              <w:rPr>
                <w:rFonts w:hint="eastAsia" w:ascii="宋体" w:hAnsi="宋体" w:cs="宋体"/>
                <w:color w:val="auto"/>
                <w:kern w:val="0"/>
                <w:highlight w:val="none"/>
              </w:rPr>
              <w:t>联系电话：</w:t>
            </w:r>
            <w:r>
              <w:rPr>
                <w:rFonts w:ascii="宋体"/>
                <w:color w:val="auto"/>
                <w:kern w:val="0"/>
                <w:highlight w:val="none"/>
              </w:rPr>
              <w:t>        </w:t>
            </w:r>
            <w:r>
              <w:rPr>
                <w:rFonts w:hint="eastAsia" w:ascii="宋体" w:hAnsi="宋体" w:cs="宋体"/>
                <w:color w:val="auto"/>
                <w:kern w:val="0"/>
                <w:highlight w:val="none"/>
              </w:rPr>
              <w:t>年</w:t>
            </w:r>
            <w:r>
              <w:rPr>
                <w:rFonts w:ascii="宋体"/>
                <w:color w:val="auto"/>
                <w:kern w:val="0"/>
                <w:highlight w:val="none"/>
              </w:rPr>
              <w:t> </w:t>
            </w:r>
            <w:r>
              <w:rPr>
                <w:rFonts w:hint="eastAsia" w:ascii="宋体"/>
                <w:color w:val="auto"/>
                <w:kern w:val="0"/>
                <w:highlight w:val="none"/>
              </w:rPr>
              <w:t xml:space="preserve">  </w:t>
            </w:r>
            <w:r>
              <w:rPr>
                <w:rFonts w:hint="eastAsia" w:ascii="宋体" w:hAnsi="宋体" w:cs="宋体"/>
                <w:color w:val="auto"/>
                <w:kern w:val="0"/>
                <w:highlight w:val="none"/>
              </w:rPr>
              <w:t xml:space="preserve">月  </w:t>
            </w:r>
            <w:r>
              <w:rPr>
                <w:rFonts w:ascii="宋体"/>
                <w:color w:val="auto"/>
                <w:kern w:val="0"/>
                <w:highlight w:val="none"/>
              </w:rPr>
              <w:t> </w:t>
            </w:r>
            <w:r>
              <w:rPr>
                <w:rFonts w:hint="eastAsia" w:ascii="宋体" w:hAnsi="宋体" w:cs="宋体"/>
                <w:color w:val="auto"/>
                <w:kern w:val="0"/>
                <w:highlight w:val="none"/>
              </w:rPr>
              <w:t>日</w:t>
            </w:r>
          </w:p>
        </w:tc>
        <w:tc>
          <w:tcPr>
            <w:tcW w:w="4860" w:type="dxa"/>
            <w:gridSpan w:val="4"/>
            <w:vAlign w:val="center"/>
          </w:tcPr>
          <w:p>
            <w:pPr>
              <w:widowControl/>
              <w:spacing w:line="320" w:lineRule="atLeast"/>
              <w:jc w:val="left"/>
              <w:rPr>
                <w:rFonts w:ascii="宋体"/>
                <w:color w:val="auto"/>
                <w:kern w:val="0"/>
                <w:highlight w:val="none"/>
              </w:rPr>
            </w:pPr>
            <w:r>
              <w:rPr>
                <w:rFonts w:ascii="宋体"/>
                <w:color w:val="auto"/>
                <w:kern w:val="0"/>
                <w:highlight w:val="none"/>
              </w:rPr>
              <w:t> </w:t>
            </w:r>
            <w:r>
              <w:rPr>
                <w:rFonts w:hint="eastAsia" w:ascii="宋体" w:hAnsi="宋体" w:cs="宋体"/>
                <w:color w:val="auto"/>
                <w:kern w:val="0"/>
                <w:highlight w:val="none"/>
              </w:rPr>
              <w:t>采购人或受托机构的意见（盖章）：</w:t>
            </w:r>
          </w:p>
          <w:p>
            <w:pPr>
              <w:widowControl/>
              <w:spacing w:line="320" w:lineRule="atLeast"/>
              <w:jc w:val="left"/>
              <w:rPr>
                <w:rFonts w:ascii="宋体"/>
                <w:color w:val="auto"/>
                <w:kern w:val="0"/>
                <w:highlight w:val="none"/>
              </w:rPr>
            </w:pPr>
            <w:r>
              <w:rPr>
                <w:rFonts w:hint="eastAsia" w:ascii="宋体" w:hAnsi="宋体" w:cs="宋体"/>
                <w:color w:val="auto"/>
                <w:kern w:val="0"/>
                <w:highlight w:val="none"/>
              </w:rPr>
              <w:t>联系电话：</w:t>
            </w:r>
            <w:r>
              <w:rPr>
                <w:rFonts w:ascii="宋体"/>
                <w:color w:val="auto"/>
                <w:kern w:val="0"/>
                <w:highlight w:val="none"/>
              </w:rPr>
              <w:t>                 </w:t>
            </w:r>
            <w:r>
              <w:rPr>
                <w:rFonts w:hint="eastAsia" w:ascii="宋体" w:hAnsi="宋体" w:cs="宋体"/>
                <w:color w:val="auto"/>
                <w:kern w:val="0"/>
                <w:highlight w:val="none"/>
              </w:rPr>
              <w:t>年</w:t>
            </w:r>
            <w:r>
              <w:rPr>
                <w:rFonts w:ascii="宋体"/>
                <w:color w:val="auto"/>
                <w:kern w:val="0"/>
                <w:highlight w:val="none"/>
              </w:rPr>
              <w:t>   </w:t>
            </w:r>
            <w:r>
              <w:rPr>
                <w:rFonts w:hint="eastAsia" w:ascii="宋体" w:hAnsi="宋体" w:cs="宋体"/>
                <w:color w:val="auto"/>
                <w:kern w:val="0"/>
                <w:highlight w:val="none"/>
              </w:rPr>
              <w:t>月</w:t>
            </w:r>
            <w:r>
              <w:rPr>
                <w:rFonts w:ascii="宋体"/>
                <w:color w:val="auto"/>
                <w:kern w:val="0"/>
                <w:highlight w:val="none"/>
              </w:rPr>
              <w:t>   </w:t>
            </w:r>
            <w:r>
              <w:rPr>
                <w:rFonts w:hint="eastAsia" w:ascii="宋体" w:hAnsi="宋体" w:cs="宋体"/>
                <w:color w:val="auto"/>
                <w:kern w:val="0"/>
                <w:highlight w:val="none"/>
              </w:rPr>
              <w:t>日</w:t>
            </w:r>
          </w:p>
        </w:tc>
      </w:tr>
    </w:tbl>
    <w:p>
      <w:pPr>
        <w:snapToGrid w:val="0"/>
        <w:spacing w:line="340" w:lineRule="exact"/>
        <w:rPr>
          <w:rFonts w:ascii="宋体" w:hAnsi="宋体" w:cs="宋体"/>
          <w:b/>
          <w:color w:val="auto"/>
          <w:highlight w:val="none"/>
        </w:rPr>
      </w:pPr>
    </w:p>
    <w:p>
      <w:pPr>
        <w:snapToGrid w:val="0"/>
        <w:spacing w:line="340" w:lineRule="exact"/>
        <w:rPr>
          <w:rFonts w:ascii="宋体" w:hAnsi="宋体" w:cs="宋体"/>
          <w:b/>
          <w:color w:val="auto"/>
          <w:highlight w:val="none"/>
        </w:rPr>
      </w:pPr>
    </w:p>
    <w:p>
      <w:pPr>
        <w:snapToGrid w:val="0"/>
        <w:spacing w:line="340" w:lineRule="exact"/>
        <w:rPr>
          <w:rFonts w:ascii="宋体" w:hAnsi="宋体" w:cs="宋体"/>
          <w:b/>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pStyle w:val="26"/>
        <w:rPr>
          <w:color w:val="auto"/>
          <w:highlight w:val="none"/>
        </w:rPr>
      </w:pPr>
    </w:p>
    <w:p>
      <w:pPr>
        <w:snapToGrid w:val="0"/>
        <w:spacing w:line="340" w:lineRule="exact"/>
        <w:rPr>
          <w:rFonts w:ascii="宋体" w:hAnsi="宋体" w:cs="宋体"/>
          <w:b/>
          <w:color w:val="auto"/>
          <w:highlight w:val="none"/>
        </w:rPr>
      </w:pPr>
      <w:r>
        <w:rPr>
          <w:rFonts w:hint="eastAsia" w:ascii="宋体" w:hAnsi="宋体" w:cs="宋体"/>
          <w:b/>
          <w:color w:val="auto"/>
          <w:highlight w:val="none"/>
        </w:rPr>
        <w:t>附表4：</w:t>
      </w:r>
    </w:p>
    <w:p>
      <w:pPr>
        <w:spacing w:line="360" w:lineRule="exact"/>
        <w:ind w:firstLine="643"/>
        <w:jc w:val="center"/>
        <w:rPr>
          <w:rFonts w:ascii="宋体" w:hAnsi="宋体"/>
          <w:b/>
          <w:color w:val="auto"/>
          <w:sz w:val="32"/>
          <w:szCs w:val="32"/>
          <w:highlight w:val="none"/>
        </w:rPr>
      </w:pPr>
    </w:p>
    <w:p>
      <w:pPr>
        <w:spacing w:line="360" w:lineRule="exact"/>
        <w:ind w:firstLine="480"/>
        <w:jc w:val="center"/>
        <w:rPr>
          <w:rFonts w:ascii="宋体" w:hAnsi="宋体"/>
          <w:b/>
          <w:color w:val="auto"/>
          <w:sz w:val="32"/>
          <w:szCs w:val="32"/>
          <w:highlight w:val="none"/>
        </w:rPr>
      </w:pPr>
      <w:r>
        <w:rPr>
          <w:color w:val="auto"/>
          <w:highlight w:val="none"/>
        </w:rPr>
        <w:drawing>
          <wp:anchor distT="0" distB="0" distL="114300" distR="114300" simplePos="0" relativeHeight="251663360" behindDoc="0" locked="0" layoutInCell="1" allowOverlap="1">
            <wp:simplePos x="0" y="0"/>
            <wp:positionH relativeFrom="column">
              <wp:posOffset>19050</wp:posOffset>
            </wp:positionH>
            <wp:positionV relativeFrom="paragraph">
              <wp:posOffset>28575</wp:posOffset>
            </wp:positionV>
            <wp:extent cx="5276850" cy="49720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276850" cy="4972050"/>
                    </a:xfrm>
                    <a:prstGeom prst="rect">
                      <a:avLst/>
                    </a:prstGeom>
                    <a:noFill/>
                    <a:ln>
                      <a:noFill/>
                    </a:ln>
                  </pic:spPr>
                </pic:pic>
              </a:graphicData>
            </a:graphic>
          </wp:anchor>
        </w:drawing>
      </w: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spacing w:line="360" w:lineRule="exact"/>
        <w:ind w:firstLine="643"/>
        <w:jc w:val="center"/>
        <w:rPr>
          <w:rFonts w:ascii="宋体" w:hAnsi="宋体"/>
          <w:b/>
          <w:color w:val="auto"/>
          <w:sz w:val="32"/>
          <w:szCs w:val="32"/>
          <w:highlight w:val="none"/>
        </w:rPr>
      </w:pPr>
    </w:p>
    <w:p>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p>
    <w:p>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02" w:name="_Toc155802481"/>
      <w:r>
        <w:rPr>
          <w:rFonts w:hint="eastAsia" w:ascii="宋体" w:hAnsi="宋体" w:cs="宋体"/>
          <w:color w:val="auto"/>
          <w:sz w:val="32"/>
          <w:szCs w:val="32"/>
          <w:highlight w:val="none"/>
        </w:rPr>
        <w:t xml:space="preserve">第三章 </w:t>
      </w:r>
      <w:bookmarkStart w:id="103" w:name="_Toc24601"/>
      <w:bookmarkStart w:id="104" w:name="_Toc22353"/>
      <w:r>
        <w:rPr>
          <w:rFonts w:hint="eastAsia" w:ascii="宋体" w:hAnsi="宋体" w:cs="宋体"/>
          <w:color w:val="auto"/>
          <w:sz w:val="32"/>
          <w:szCs w:val="32"/>
          <w:highlight w:val="none"/>
        </w:rPr>
        <w:t>采购需求</w:t>
      </w:r>
      <w:bookmarkEnd w:id="102"/>
      <w:bookmarkEnd w:id="103"/>
      <w:bookmarkEnd w:id="104"/>
    </w:p>
    <w:p>
      <w:pPr>
        <w:adjustRightInd w:val="0"/>
        <w:snapToGrid w:val="0"/>
        <w:spacing w:line="320" w:lineRule="exact"/>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Ⅰ、说明：</w:t>
      </w:r>
    </w:p>
    <w:p>
      <w:pPr>
        <w:adjustRightInd w:val="0"/>
        <w:snapToGrid w:val="0"/>
        <w:spacing w:line="3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一、本项目专门面向</w:t>
      </w:r>
      <w:r>
        <w:rPr>
          <w:rFonts w:hint="eastAsia" w:ascii="宋体" w:hAnsi="宋体" w:cs="宋体"/>
          <w:bCs/>
          <w:color w:val="auto"/>
          <w:szCs w:val="21"/>
          <w:highlight w:val="none"/>
          <w:lang w:val="en-US" w:eastAsia="zh-CN"/>
        </w:rPr>
        <w:t>小微</w:t>
      </w:r>
      <w:r>
        <w:rPr>
          <w:rFonts w:hint="eastAsia" w:ascii="宋体" w:hAnsi="宋体" w:cs="宋体"/>
          <w:color w:val="auto"/>
          <w:kern w:val="0"/>
          <w:szCs w:val="21"/>
          <w:highlight w:val="none"/>
        </w:rPr>
        <w:t>企业采购,供应商须满足《政府采购促进中小企业发展管理办法》(财库〔2020〕46号)第二条规定。</w:t>
      </w:r>
    </w:p>
    <w:p>
      <w:pPr>
        <w:adjustRightInd w:val="0"/>
        <w:snapToGrid w:val="0"/>
        <w:spacing w:line="3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二、根据财政部、司法部关于政府采购支持监狱企业发展有关问题的通知（财库[2014]68号），监狱企业视同小型、微型企业。</w:t>
      </w:r>
    </w:p>
    <w:p>
      <w:pPr>
        <w:adjustRightInd w:val="0"/>
        <w:snapToGrid w:val="0"/>
        <w:spacing w:line="3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三、按照《关于促进残疾人就业政府采购政策的通知》（财库〔2017〕141号）的规定，残疾人福利性单位视同小型、微型企业。</w:t>
      </w:r>
    </w:p>
    <w:p>
      <w:pPr>
        <w:adjustRightInd w:val="0"/>
        <w:snapToGrid w:val="0"/>
        <w:spacing w:line="320" w:lineRule="exact"/>
        <w:ind w:firstLine="422"/>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lang w:val="zh-CN"/>
        </w:rPr>
        <w:t>Ⅱ、采购需求一览表：</w:t>
      </w:r>
    </w:p>
    <w:p>
      <w:pPr>
        <w:rPr>
          <w:color w:val="auto"/>
          <w:highlight w:val="none"/>
        </w:rPr>
      </w:pPr>
    </w:p>
    <w:tbl>
      <w:tblPr>
        <w:tblStyle w:val="21"/>
        <w:tblW w:w="8925"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797"/>
        <w:gridCol w:w="118"/>
        <w:gridCol w:w="709"/>
        <w:gridCol w:w="6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925" w:type="dxa"/>
            <w:gridSpan w:val="5"/>
            <w:vAlign w:val="center"/>
          </w:tcPr>
          <w:p>
            <w:pPr>
              <w:spacing w:line="380" w:lineRule="exact"/>
              <w:rPr>
                <w:rFonts w:ascii="宋体" w:hAnsi="宋体"/>
                <w:b/>
                <w:color w:val="auto"/>
                <w:highlight w:val="none"/>
              </w:rPr>
            </w:pPr>
            <w:bookmarkStart w:id="105" w:name="_Toc2989"/>
            <w:r>
              <w:rPr>
                <w:rFonts w:hint="eastAsia" w:ascii="宋体" w:hAnsi="宋体"/>
                <w:b/>
                <w:color w:val="auto"/>
                <w:highlight w:val="none"/>
              </w:rPr>
              <w:t>一、项目要求及技术需求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pPr>
              <w:spacing w:line="380" w:lineRule="exact"/>
              <w:jc w:val="center"/>
              <w:rPr>
                <w:rFonts w:ascii="宋体" w:hAnsi="宋体"/>
                <w:b/>
                <w:color w:val="auto"/>
                <w:szCs w:val="21"/>
                <w:highlight w:val="none"/>
              </w:rPr>
            </w:pPr>
            <w:r>
              <w:rPr>
                <w:rFonts w:hint="eastAsia" w:ascii="宋体" w:hAnsi="宋体"/>
                <w:b/>
                <w:color w:val="auto"/>
                <w:szCs w:val="21"/>
                <w:highlight w:val="none"/>
              </w:rPr>
              <w:t>项号</w:t>
            </w:r>
          </w:p>
        </w:tc>
        <w:tc>
          <w:tcPr>
            <w:tcW w:w="915" w:type="dxa"/>
            <w:gridSpan w:val="2"/>
            <w:vAlign w:val="center"/>
          </w:tcPr>
          <w:p>
            <w:pPr>
              <w:spacing w:line="380" w:lineRule="exact"/>
              <w:jc w:val="center"/>
              <w:rPr>
                <w:rFonts w:ascii="宋体" w:hAnsi="宋体"/>
                <w:b/>
                <w:color w:val="auto"/>
                <w:szCs w:val="21"/>
                <w:highlight w:val="none"/>
              </w:rPr>
            </w:pPr>
            <w:r>
              <w:rPr>
                <w:rFonts w:hint="eastAsia" w:ascii="宋体" w:hAnsi="宋体"/>
                <w:b/>
                <w:color w:val="auto"/>
                <w:szCs w:val="21"/>
                <w:highlight w:val="none"/>
              </w:rPr>
              <w:t>采购标的内容</w:t>
            </w:r>
          </w:p>
        </w:tc>
        <w:tc>
          <w:tcPr>
            <w:tcW w:w="709" w:type="dxa"/>
            <w:vAlign w:val="center"/>
          </w:tcPr>
          <w:p>
            <w:pPr>
              <w:spacing w:line="380" w:lineRule="exact"/>
              <w:jc w:val="center"/>
              <w:rPr>
                <w:rFonts w:ascii="宋体" w:hAnsi="宋体"/>
                <w:b/>
                <w:bCs/>
                <w:color w:val="auto"/>
                <w:szCs w:val="21"/>
                <w:highlight w:val="none"/>
              </w:rPr>
            </w:pPr>
            <w:r>
              <w:rPr>
                <w:rFonts w:hint="eastAsia" w:ascii="宋体" w:hAnsi="宋体"/>
                <w:b/>
                <w:bCs/>
                <w:color w:val="auto"/>
                <w:szCs w:val="21"/>
                <w:highlight w:val="none"/>
              </w:rPr>
              <w:t>数量</w:t>
            </w:r>
          </w:p>
        </w:tc>
        <w:tc>
          <w:tcPr>
            <w:tcW w:w="6628" w:type="dxa"/>
            <w:vAlign w:val="center"/>
          </w:tcPr>
          <w:p>
            <w:pPr>
              <w:spacing w:line="380" w:lineRule="exact"/>
              <w:jc w:val="center"/>
              <w:rPr>
                <w:rFonts w:ascii="宋体" w:hAnsi="宋体"/>
                <w:b/>
                <w:bCs/>
                <w:color w:val="auto"/>
                <w:szCs w:val="21"/>
                <w:highlight w:val="none"/>
              </w:rPr>
            </w:pPr>
            <w:r>
              <w:rPr>
                <w:rFonts w:hint="eastAsia" w:ascii="宋体" w:hAnsi="宋体"/>
                <w:b/>
                <w:color w:val="auto"/>
                <w:szCs w:val="21"/>
                <w:highlight w:val="none"/>
              </w:rPr>
              <w:t xml:space="preserve">项目需要及技术需求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3" w:type="dxa"/>
            <w:vAlign w:val="center"/>
          </w:tcPr>
          <w:p>
            <w:pPr>
              <w:numPr>
                <w:ilvl w:val="0"/>
                <w:numId w:val="5"/>
              </w:numPr>
              <w:spacing w:line="380" w:lineRule="exact"/>
              <w:jc w:val="center"/>
              <w:rPr>
                <w:rFonts w:ascii="宋体" w:hAnsi="宋体"/>
                <w:color w:val="auto"/>
                <w:szCs w:val="21"/>
                <w:highlight w:val="none"/>
              </w:rPr>
            </w:pPr>
          </w:p>
        </w:tc>
        <w:tc>
          <w:tcPr>
            <w:tcW w:w="915" w:type="dxa"/>
            <w:gridSpan w:val="2"/>
            <w:vAlign w:val="center"/>
          </w:tcPr>
          <w:p>
            <w:pPr>
              <w:widowControl/>
              <w:spacing w:line="380" w:lineRule="exact"/>
              <w:jc w:val="center"/>
              <w:textAlignment w:val="center"/>
              <w:rPr>
                <w:rFonts w:ascii="宋体" w:hAnsi="宋体" w:cs="Arial"/>
                <w:bCs/>
                <w:color w:val="auto"/>
                <w:szCs w:val="21"/>
                <w:highlight w:val="none"/>
              </w:rPr>
            </w:pPr>
            <w:r>
              <w:rPr>
                <w:rFonts w:hint="eastAsia" w:ascii="宋体" w:hAnsi="宋体" w:cs="Arial"/>
                <w:bCs/>
                <w:color w:val="auto"/>
                <w:szCs w:val="21"/>
                <w:highlight w:val="none"/>
              </w:rPr>
              <w:t>桂林市公安局秀峰分局食堂食材定点采购项目</w:t>
            </w:r>
          </w:p>
        </w:tc>
        <w:tc>
          <w:tcPr>
            <w:tcW w:w="709" w:type="dxa"/>
            <w:vAlign w:val="center"/>
          </w:tcPr>
          <w:p>
            <w:pPr>
              <w:spacing w:line="380" w:lineRule="exact"/>
              <w:jc w:val="center"/>
              <w:rPr>
                <w:rFonts w:ascii="宋体" w:hAnsi="宋体" w:cs="Arial"/>
                <w:bCs/>
                <w:color w:val="auto"/>
                <w:szCs w:val="21"/>
                <w:highlight w:val="none"/>
              </w:rPr>
            </w:pPr>
            <w:r>
              <w:rPr>
                <w:rFonts w:hint="eastAsia" w:ascii="宋体" w:hAnsi="宋体" w:cs="Arial"/>
                <w:bCs/>
                <w:color w:val="auto"/>
                <w:szCs w:val="21"/>
                <w:highlight w:val="none"/>
              </w:rPr>
              <w:t>1项</w:t>
            </w:r>
          </w:p>
        </w:tc>
        <w:tc>
          <w:tcPr>
            <w:tcW w:w="6628" w:type="dxa"/>
            <w:vAlign w:val="center"/>
          </w:tcPr>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（一）服务内容：</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为采购人的食堂日常所需米、面、食用油、鲜肉、禽蛋、水产、蔬菜、水果、饮品等食材提供配送服务，结算金额按年内实际采购量的金额为准。</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（二）配送食材品种及质量标准和相关要求：</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1.禽蛋类：</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（1）产品应具有禽蛋固有的色泽，产品个头大小均匀一致，蛋壳清洁完整无破裂。</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（2）打开后蛋黄凸起、完整、有韧性，蛋白与蛋黄正常分离，蛋白澄清透明，稀稠分明，具有禽蛋固有的气味，无异味，变质等问题。</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（3）蛋内不得有血块、黑点、杂质及其他组织异物。</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（4）每板鸡蛋重量≥3.8斤，蛋塔皮重≤0.2斤。</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2.调味品干杂香料类：</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调味品：①严禁提供假冒伪劣产品、“三无”产品、过保质期产品；②定型包装上标有品名、产地、厂名、生产日期、批号或代号、规格、产品等级、配方或主要成分、保质期、食用和使用方法说明等信息；③外包装上有“SC”标志；④每批次的调料要提供合格的检验报告。</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（2）香料：色泽自然、无霉变、香味纯浓、产品质量在同类市场上中上水平。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（3）淀粉：①色泽洁白，有一定光泽，无斑点，无酸味、霉味及其他不良气味；②干燥，手握不应成团，有较好的分散性。</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（4）干杂类：①无霉变、无异味；②色泽自然、产品质量在同类市场上中上水平。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（5）糖类：①外观松散，洁白有光泽；②颗粒均匀，有清甜香味，无异味。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3.鸡鸭类：（宰杀好的新鲜鸡鸭）</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（1）严禁提供由死鸡、死鸭、病鸡、病鸭宰杀的鸡鸭。</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（2）严禁打水，在送货的过程中不能受到污染。</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（3）要求皮面光滑、无毛，膛内清理干净，不留板油、肺以及喉管、气管等杂物。</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（4）宰杀好的鸡鸭重量每只净重在3斤以上。</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4.冻货类（半成品）：（冻鸡壳、鸡碎肉、冻精肉、冻前排等）</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（1）严禁提供病死动物和有安全卫生问题的动物制成的冻制品。</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供应的冻货外包装要按照国家有关规定标明（但不限于）生产厂家、产地、出厂日期、产品商标、产品等级，并附有食品出厂检验合格证，严禁供应“三无”产品、过期产品及其它不符合国家食品卫生安全要求的产品。</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（3）不能含对人体健康有害的物质，不变质、不腐烂、不变色，符合国家规定的食品安全卫生质量要求。</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（4）冻鸡、鸭、鹅、兔等动物冻货不能残留内脏。</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（5）外包装上必须有正规的SC标志。</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（6）每批次的冻货要提供合格的检验报告。</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5.鲜猪肉类：</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（1）严禁提供伤残、污染或变质猪肉，私宰猪、黄膘猪、米猪、母猪以及各种病猪。</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（2）新鲜猪肉的肌肉应色泽鲜红、有光泽,脂肪呈乳白色，骨头为白色或微黄色,无异味。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（3）猪肉外表微干或微浸润，切面应不渗水或不渗血水，反之则为注水猪肉。</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（4）猪腿肉肥瘦比例应按照肥肉30%，瘦肉70%的标准，净瘦肉的瘦肉比例应以99%为标准。</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（5）五花肉皮厚度不得超过1cm，肥肉层厚度不得超过2cm。</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（6）大、小肠类要清洗干净，肠内无粪便，保持新鲜，无变质、无异味、无油。</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（7）猪肚要清洗干净，肚内无粪便，新鲜无异味，肚壁油类最长不超过5－10毫米，重量在1.5斤—2.5斤之间为最佳。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（8）猪心重量应在0.5斤—1斤左右，新鲜无异味，猪心内无淤血，猪心外部其他连带筋脉只能占到猪心比例的5%以内为最佳。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（9）尾节、二股肠要清洗干净，长度以尾节40公分，二股肠60公分为最佳，新鲜无异味，无粪便，无油。</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（10）猪腰要新鲜完整，外表无损伤，不抽筋，重量在150g左右为最佳。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（11）前腿肉要求是猪肋骨第六根以内，不能超过此标准。</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（12）脚、耳、头和带皮肉一定要把毛剃干净，达到皮面无毛无脏。</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（13）猪头皮、下巴肉、脸肉要新鲜无异味，加工烧净，洗割干净，无淋巴，无碎骨。</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（14）每次送货必须提供动物检疫合格证明。</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6.蔬菜类：</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（1）叶子类蔬菜：叶面保存完整；具有蔬菜固有的颜色和光泽；显示正常蔬菜的成熟度和新鲜度；蔬菜气味正常，没有腐败味和其他异味。</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 xml:space="preserve"> （2）瓜果类：个体保存完整；具有瓜果固有的颜色和光泽；显示正常瓜果的成熟度和新鲜度；瓜果气味正常，没有腐败味和其他异味；个体个头及长度符合正常的瓜果尺寸；个体无畸形、个头无过度弯曲情况。</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（3）带叶蔬菜必须是当天摘采，并保证叶面色泽新鲜和形状完整，严禁提供摘采时间过长和变黄变质的蔬菜。</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（4）严禁使用国家法律法规明令禁止使用的有毒有害物质对蔬菜产品进行保鲜、包装和处理。</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（5）不得提供农药残留超标及变质、劣质的蔬菜。</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（6）所有蔬菜进购必须使用“农药检测试纸”进行检测，并按时提交检测记录。</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7.食用油类</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（1）卫生达标，供应的油要有明确的生产厂家，生产日期、出厂的质量检验报告，严禁提供变质变味、过期、假冒伪劣的产品，严禁供应禁用油类（如潲水油、工业油）。</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（2） 盛油容器的外包装要标示清晰、保持完整、干净卫生，不能出现桶体破损、变形等。</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（3） 食用油必须要有国家认可的CS标志。</w:t>
            </w:r>
          </w:p>
          <w:p>
            <w:pPr>
              <w:autoSpaceDE w:val="0"/>
              <w:autoSpaceDN w:val="0"/>
              <w:adjustRightInd w:val="0"/>
              <w:spacing w:line="360" w:lineRule="auto"/>
              <w:rPr>
                <w:rFonts w:ascii="宋体" w:hAnsi="宋体" w:cs="仿宋"/>
                <w:color w:val="auto"/>
                <w:szCs w:val="21"/>
                <w:highlight w:val="none"/>
              </w:rPr>
            </w:pPr>
            <w:r>
              <w:rPr>
                <w:rFonts w:hint="eastAsia" w:ascii="宋体" w:hAnsi="宋体" w:cs="仿宋"/>
                <w:color w:val="auto"/>
                <w:szCs w:val="21"/>
                <w:highlight w:val="none"/>
              </w:rPr>
              <w:t>（4） 本次采购主要为力源花生油，容量为5升/件或桶。</w:t>
            </w:r>
          </w:p>
          <w:p>
            <w:pPr>
              <w:widowControl/>
              <w:spacing w:line="360" w:lineRule="auto"/>
              <w:rPr>
                <w:rFonts w:ascii="宋体" w:hAnsi="宋体" w:cs="仿宋"/>
                <w:color w:val="auto"/>
                <w:szCs w:val="21"/>
                <w:highlight w:val="none"/>
              </w:rPr>
            </w:pPr>
            <w:r>
              <w:rPr>
                <w:rFonts w:hint="eastAsia" w:ascii="宋体" w:hAnsi="宋体" w:cs="仿宋"/>
                <w:color w:val="auto"/>
                <w:szCs w:val="21"/>
                <w:highlight w:val="none"/>
              </w:rPr>
              <w:t>（5）食用油采购原则上优先考虑中力源、中粮等知名品牌产品。</w:t>
            </w:r>
          </w:p>
          <w:p>
            <w:pPr>
              <w:widowControl/>
              <w:spacing w:line="360" w:lineRule="auto"/>
              <w:rPr>
                <w:rFonts w:hint="eastAsia" w:ascii="宋体" w:hAnsi="宋体" w:cs="仿宋"/>
                <w:color w:val="auto"/>
                <w:szCs w:val="21"/>
                <w:highlight w:val="none"/>
              </w:rPr>
            </w:pPr>
            <w:r>
              <w:rPr>
                <w:rFonts w:hint="eastAsia" w:ascii="宋体" w:hAnsi="宋体" w:cs="仿宋"/>
                <w:color w:val="auto"/>
                <w:szCs w:val="21"/>
                <w:highlight w:val="none"/>
              </w:rPr>
              <w:t>8.副食品类:(牛奶、面包、方便面、八宝粥等)</w:t>
            </w:r>
          </w:p>
          <w:p>
            <w:pPr>
              <w:widowControl/>
              <w:spacing w:line="360" w:lineRule="auto"/>
              <w:rPr>
                <w:rFonts w:hint="eastAsia" w:ascii="宋体" w:hAnsi="宋体" w:cs="仿宋"/>
                <w:color w:val="auto"/>
                <w:szCs w:val="21"/>
                <w:highlight w:val="none"/>
              </w:rPr>
            </w:pPr>
            <w:r>
              <w:rPr>
                <w:rFonts w:hint="eastAsia" w:ascii="宋体" w:hAnsi="宋体" w:cs="仿宋"/>
                <w:color w:val="auto"/>
                <w:szCs w:val="21"/>
                <w:highlight w:val="none"/>
              </w:rPr>
              <w:t>(1)严禁提供假冒伪劣产品、“三无”产品、过保质期产品；</w:t>
            </w:r>
          </w:p>
          <w:p>
            <w:pPr>
              <w:widowControl/>
              <w:spacing w:line="360" w:lineRule="auto"/>
              <w:rPr>
                <w:rFonts w:hint="eastAsia" w:ascii="宋体" w:hAnsi="宋体" w:cs="仿宋"/>
                <w:color w:val="auto"/>
                <w:szCs w:val="21"/>
                <w:highlight w:val="none"/>
              </w:rPr>
            </w:pPr>
            <w:r>
              <w:rPr>
                <w:rFonts w:hint="eastAsia" w:ascii="宋体" w:hAnsi="宋体" w:cs="仿宋"/>
                <w:color w:val="auto"/>
                <w:szCs w:val="21"/>
                <w:highlight w:val="none"/>
              </w:rPr>
              <w:t>(2)定型包装上标有品名、产地、厂名、生产日期、批号或代号、规格、产品等级、配方或主要成分、保质期、食用和使用方法说明等信息；</w:t>
            </w:r>
          </w:p>
          <w:p>
            <w:pPr>
              <w:widowControl/>
              <w:spacing w:line="360" w:lineRule="auto"/>
              <w:rPr>
                <w:rFonts w:hint="eastAsia" w:ascii="宋体" w:hAnsi="宋体" w:cs="仿宋"/>
                <w:color w:val="auto"/>
                <w:szCs w:val="21"/>
                <w:highlight w:val="none"/>
              </w:rPr>
            </w:pPr>
            <w:r>
              <w:rPr>
                <w:rFonts w:hint="eastAsia" w:ascii="宋体" w:hAnsi="宋体" w:cs="仿宋"/>
                <w:color w:val="auto"/>
                <w:szCs w:val="21"/>
                <w:highlight w:val="none"/>
              </w:rPr>
              <w:t>(3)外包装上有“SC”标志。</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（三）供货标准及要求：</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1.应严格遵守《中华人民共和国食品安全法》相关法律法规，并提供相关质量监督管理部门检验合格证明的产品，每批次产品须提供相应的货物（食材）质量合格证明、产品质量检测合格报告或检疫报告。</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2.如发现假冒伪劣、以次充好产品或替代产品，中标人应承担全部法律责任。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3.提供的所有产品须经采购人验收，验收不合格的，采购人有权当即拒收，中标人应及时按采购人要求退换补送；如不及时退换补送造成采购人损失的，由中标人承担全部责任。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4.采购人提前12小时以上以电话或传真方式订货，应于采购人要求的时间内按订单、数量、品种、质量的要求准时送货到采购人指定的地点，不能以任何理由推托，因未能按照要求供应采购人所需产品的，应承担相应的经济赔偿责任。采购人食堂因临时需要，可提前2小时通过电话或传真方式订货，在采购要求的时间内按订单数量送达。</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5.不能满足采购人采购要求时，应以书面形式提前1个月通知采购人申请终止合同，经采购人同意后方可终止履行合同。</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6.如因产品质量问题引发食品卫生安全事故，将由中标人承担全部经济赔偿责任和法律责任。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7.应自觉接受国家有关部门和采购人的监督检查，在检查过程中如发现提供的产品存在质量安全问题，由中标人承担全部责任。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8.采购人有权在不通知的情况下，不定期地将中标人所供的产品抽样送质检部门进行检验，若检验产品合格，质价相符，检验费用由采购人承担，若抽检不合格，检验费用由中标人承担，并由中标人承担相应的损失和法律责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9.不得通过对采购人的从业人员采取吃请、送礼、贿赂等任何方式谋取不正当利益，一经发现，采购人有权取消中标人的供货资格，情节严重的移交司法机关处理。</w:t>
            </w:r>
            <w:bookmarkStart w:id="106" w:name="_Toc448253921"/>
            <w:r>
              <w:rPr>
                <w:rFonts w:hint="eastAsia" w:ascii="宋体" w:hAnsi="宋体" w:cs="仿宋"/>
                <w:color w:val="auto"/>
                <w:szCs w:val="21"/>
                <w:highlight w:val="none"/>
              </w:rPr>
              <w:t>10.每月退/换货种类（因购买品名/品类/质量不达标的情况下）累计达15种，予以提醒；累计达到20 种 及20种以上，采购人有权对中标人停止供货2个月或将终止采供合作关系。</w:t>
            </w:r>
          </w:p>
          <w:p>
            <w:pPr>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（四）</w:t>
            </w:r>
            <w:bookmarkEnd w:id="106"/>
            <w:bookmarkStart w:id="107" w:name="_Toc17409311"/>
            <w:bookmarkStart w:id="108" w:name="_Toc448253922"/>
            <w:r>
              <w:rPr>
                <w:rFonts w:hint="eastAsia" w:ascii="宋体" w:hAnsi="宋体" w:cs="仿宋"/>
                <w:color w:val="auto"/>
                <w:szCs w:val="21"/>
                <w:highlight w:val="none"/>
              </w:rPr>
              <w:t>结算</w:t>
            </w:r>
            <w:bookmarkEnd w:id="107"/>
            <w:bookmarkEnd w:id="108"/>
            <w:r>
              <w:rPr>
                <w:rFonts w:hint="eastAsia" w:ascii="宋体" w:hAnsi="宋体" w:cs="仿宋"/>
                <w:color w:val="auto"/>
                <w:szCs w:val="21"/>
                <w:highlight w:val="none"/>
              </w:rPr>
              <w:t>要求：</w:t>
            </w:r>
          </w:p>
          <w:p>
            <w:pPr>
              <w:tabs>
                <w:tab w:val="left" w:pos="209"/>
              </w:tabs>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1.</w:t>
            </w:r>
            <w:r>
              <w:rPr>
                <w:rFonts w:hint="eastAsia" w:ascii="宋体" w:hAnsi="宋体"/>
                <w:color w:val="auto"/>
                <w:szCs w:val="21"/>
                <w:highlight w:val="none"/>
              </w:rPr>
              <w:t xml:space="preserve"> 本项目服务期限内，相应类别的物资供应价款实际结算=相应类别的物资供应基础价格×数量×相应类别物资成交综合折扣率（%）。</w:t>
            </w:r>
          </w:p>
          <w:p>
            <w:pPr>
              <w:tabs>
                <w:tab w:val="left" w:pos="310"/>
              </w:tabs>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2.合同期内采购人根据季节及采购人需求对产品进行调整，实际采购产品和数量，按照市场调查价格的平均价乘以综合折扣率（%）计算出来的价格供货。物资价格釆用周期性市场询价、定价，市场调查价格的平均价确定：按照《建议参考价格表》同品种物资零售价格（特价商品除外）确定平均价，按成交的综合折扣率折算后由采购人确定配送价格。</w:t>
            </w:r>
          </w:p>
          <w:p>
            <w:pPr>
              <w:tabs>
                <w:tab w:val="left" w:pos="310"/>
              </w:tabs>
              <w:adjustRightInd w:val="0"/>
              <w:snapToGrid w:val="0"/>
              <w:spacing w:line="360" w:lineRule="auto"/>
              <w:rPr>
                <w:rFonts w:ascii="宋体" w:hAnsi="宋体" w:cs="仿宋"/>
                <w:color w:val="auto"/>
                <w:szCs w:val="21"/>
                <w:highlight w:val="none"/>
              </w:rPr>
            </w:pPr>
            <w:r>
              <w:rPr>
                <w:rFonts w:hint="eastAsia" w:ascii="宋体" w:hAnsi="宋体" w:cs="仿宋"/>
                <w:color w:val="auto"/>
                <w:szCs w:val="21"/>
                <w:highlight w:val="none"/>
              </w:rPr>
              <w:t>3.建议参考价格表（包括但不限于）</w:t>
            </w:r>
          </w:p>
          <w:tbl>
            <w:tblPr>
              <w:tblStyle w:val="21"/>
              <w:tblW w:w="6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3" w:type="dxa"/>
                </w:tcPr>
                <w:p>
                  <w:pPr>
                    <w:tabs>
                      <w:tab w:val="left" w:pos="310"/>
                    </w:tabs>
                    <w:spacing w:line="360" w:lineRule="auto"/>
                    <w:rPr>
                      <w:rFonts w:ascii="宋体" w:hAnsi="宋体" w:cs="仿宋"/>
                      <w:color w:val="auto"/>
                      <w:szCs w:val="21"/>
                      <w:highlight w:val="none"/>
                    </w:rPr>
                  </w:pPr>
                  <w:r>
                    <w:rPr>
                      <w:rFonts w:hint="eastAsia" w:ascii="宋体" w:hAnsi="宋体" w:cs="仿宋"/>
                      <w:color w:val="auto"/>
                      <w:szCs w:val="21"/>
                      <w:highlight w:val="none"/>
                    </w:rPr>
                    <w:t>禽蛋类、调味品干货类、蔬菜类以桂林市汇东批发市场中批发价为参考价。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3" w:type="dxa"/>
                </w:tcPr>
                <w:p>
                  <w:pPr>
                    <w:tabs>
                      <w:tab w:val="left" w:pos="310"/>
                    </w:tabs>
                    <w:spacing w:line="360" w:lineRule="auto"/>
                    <w:rPr>
                      <w:rFonts w:ascii="宋体" w:hAnsi="宋体" w:cs="仿宋"/>
                      <w:color w:val="auto"/>
                      <w:szCs w:val="21"/>
                      <w:highlight w:val="none"/>
                    </w:rPr>
                  </w:pPr>
                  <w:r>
                    <w:rPr>
                      <w:rFonts w:hint="eastAsia" w:ascii="宋体" w:hAnsi="宋体" w:cs="仿宋"/>
                      <w:color w:val="auto"/>
                      <w:szCs w:val="21"/>
                      <w:highlight w:val="none"/>
                    </w:rPr>
                    <w:t>冻货类以桂林市北门冷冻厂批发价格为参考基准价，按照参考价。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43" w:type="dxa"/>
                </w:tcPr>
                <w:p>
                  <w:pPr>
                    <w:tabs>
                      <w:tab w:val="left" w:pos="310"/>
                    </w:tabs>
                    <w:spacing w:line="360" w:lineRule="auto"/>
                    <w:rPr>
                      <w:rFonts w:ascii="宋体" w:hAnsi="宋体" w:cs="仿宋"/>
                      <w:color w:val="auto"/>
                      <w:szCs w:val="21"/>
                      <w:highlight w:val="none"/>
                    </w:rPr>
                  </w:pPr>
                  <w:r>
                    <w:rPr>
                      <w:rFonts w:hint="eastAsia" w:ascii="宋体" w:hAnsi="宋体" w:cs="仿宋"/>
                      <w:color w:val="auto"/>
                      <w:szCs w:val="21"/>
                      <w:highlight w:val="none"/>
                    </w:rPr>
                    <w:t>鸡鸭类、鲜猪肉类、食用油以桂林市七星、瓦窑农贸市场零售价为参考价。</w:t>
                  </w:r>
                </w:p>
              </w:tc>
            </w:tr>
          </w:tbl>
          <w:p>
            <w:pPr>
              <w:spacing w:line="400" w:lineRule="exact"/>
              <w:rPr>
                <w:rFonts w:ascii="宋体" w:hAnsi="宋体" w:cs="仿宋"/>
                <w:color w:val="auto"/>
                <w:szCs w:val="21"/>
                <w:highlight w:val="none"/>
              </w:rPr>
            </w:pPr>
            <w:r>
              <w:rPr>
                <w:rFonts w:hint="eastAsia" w:ascii="宋体" w:hAnsi="宋体" w:cs="仿宋"/>
                <w:color w:val="auto"/>
                <w:szCs w:val="21"/>
                <w:highlight w:val="none"/>
              </w:rPr>
              <w:t>4.供货协议期内的每一个定价周期，除消费物价指数（CPI）发生大幅波动等特殊情况除，不允许上调本定价周期内的物资协议价。</w:t>
            </w:r>
          </w:p>
          <w:p>
            <w:pPr>
              <w:pStyle w:val="26"/>
              <w:rPr>
                <w:rFonts w:ascii="宋体" w:hAnsi="宋体" w:cs="仿宋"/>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 w:hRule="atLeast"/>
        </w:trPr>
        <w:tc>
          <w:tcPr>
            <w:tcW w:w="8925"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b/>
                <w:color w:val="auto"/>
                <w:szCs w:val="21"/>
                <w:highlight w:val="none"/>
              </w:rPr>
            </w:pPr>
            <w:r>
              <w:rPr>
                <w:rFonts w:hint="eastAsia" w:ascii="宋体" w:hAnsi="宋体"/>
                <w:b/>
                <w:color w:val="auto"/>
                <w:szCs w:val="21"/>
                <w:highlight w:val="none"/>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时限及其他要求</w:t>
            </w:r>
          </w:p>
        </w:tc>
        <w:tc>
          <w:tcPr>
            <w:tcW w:w="74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olor w:val="auto"/>
                <w:szCs w:val="21"/>
                <w:highlight w:val="none"/>
              </w:rPr>
            </w:pPr>
            <w:r>
              <w:rPr>
                <w:rFonts w:hint="eastAsia" w:ascii="宋体" w:hAnsi="宋体"/>
                <w:color w:val="auto"/>
                <w:szCs w:val="21"/>
                <w:highlight w:val="none"/>
              </w:rPr>
              <w:t>1、服务期限：自签订合同之日起至服务满1年整（具体实施日期以签订合同为准）。</w:t>
            </w:r>
          </w:p>
          <w:p>
            <w:pPr>
              <w:spacing w:line="400" w:lineRule="exact"/>
              <w:jc w:val="left"/>
              <w:rPr>
                <w:rFonts w:ascii="宋体" w:hAnsi="宋体"/>
                <w:color w:val="auto"/>
                <w:szCs w:val="21"/>
                <w:highlight w:val="none"/>
              </w:rPr>
            </w:pPr>
            <w:r>
              <w:rPr>
                <w:rFonts w:hint="eastAsia" w:ascii="宋体" w:hAnsi="宋体"/>
                <w:color w:val="auto"/>
                <w:szCs w:val="21"/>
                <w:highlight w:val="none"/>
              </w:rPr>
              <w:t>2、服务地点：广西桂林市，采购人指定地点。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color w:val="auto"/>
                <w:highlight w:val="none"/>
              </w:rPr>
            </w:pPr>
            <w:r>
              <w:rPr>
                <w:rFonts w:hint="eastAsia" w:ascii="宋体" w:hAnsi="宋体" w:cs="新宋体"/>
                <w:b/>
                <w:color w:val="auto"/>
                <w:kern w:val="0"/>
                <w:szCs w:val="21"/>
                <w:highlight w:val="none"/>
              </w:rPr>
              <w:t>磋商报价及结算方式</w:t>
            </w:r>
          </w:p>
        </w:tc>
        <w:tc>
          <w:tcPr>
            <w:tcW w:w="7455"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w:t>
            </w:r>
            <w:r>
              <w:rPr>
                <w:rFonts w:hint="eastAsia" w:ascii="宋体" w:hAnsi="宋体"/>
                <w:color w:val="auto"/>
                <w:szCs w:val="21"/>
                <w:highlight w:val="none"/>
              </w:rPr>
              <w:t>应商必须就“采购需求”中要求配送的各类物资作完整唯一综合折扣率（%）报价。在服务期限内，成交供应商的成交综合折扣率（%）不得以市场价格波动等情况进行调整，成交供应商应承担由此带来的相应风险。</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物资综合折扣率（%）控制价如下：</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①肉</w:t>
            </w:r>
            <w:r>
              <w:rPr>
                <w:rFonts w:ascii="宋体" w:hAnsi="宋体" w:cs="宋体"/>
                <w:color w:val="auto"/>
                <w:szCs w:val="21"/>
                <w:highlight w:val="none"/>
              </w:rPr>
              <w:t>、</w:t>
            </w:r>
            <w:r>
              <w:rPr>
                <w:rFonts w:hint="eastAsia" w:ascii="宋体" w:hAnsi="宋体" w:cs="宋体"/>
                <w:color w:val="auto"/>
                <w:szCs w:val="21"/>
                <w:highlight w:val="none"/>
              </w:rPr>
              <w:t>鸡鸭类、冻货、禽蛋类综合折扣率控制价：</w:t>
            </w:r>
            <w:r>
              <w:rPr>
                <w:rFonts w:ascii="宋体" w:hAnsi="宋体" w:cs="宋体"/>
                <w:color w:val="auto"/>
                <w:szCs w:val="21"/>
                <w:highlight w:val="none"/>
              </w:rPr>
              <w:t>90</w:t>
            </w:r>
            <w:r>
              <w:rPr>
                <w:rFonts w:hint="eastAsia" w:ascii="宋体" w:hAnsi="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②蔬菜类综合折扣率控制价：</w:t>
            </w:r>
            <w:r>
              <w:rPr>
                <w:rFonts w:ascii="宋体" w:hAnsi="宋体" w:cs="宋体"/>
                <w:color w:val="auto"/>
                <w:szCs w:val="21"/>
                <w:highlight w:val="none"/>
              </w:rPr>
              <w:t>88</w:t>
            </w:r>
            <w:r>
              <w:rPr>
                <w:rFonts w:hint="eastAsia" w:ascii="宋体" w:hAnsi="宋体"/>
                <w:color w:val="auto"/>
                <w:szCs w:val="21"/>
                <w:highlight w:val="none"/>
              </w:rPr>
              <w:t>%</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③调味品干杂香料、食用油类、</w:t>
            </w:r>
            <w:r>
              <w:rPr>
                <w:rFonts w:hint="eastAsia" w:ascii="宋体" w:hAnsi="宋体" w:cs="仿宋"/>
                <w:color w:val="auto"/>
                <w:szCs w:val="21"/>
                <w:highlight w:val="none"/>
              </w:rPr>
              <w:t>副食品类</w:t>
            </w:r>
            <w:r>
              <w:rPr>
                <w:rFonts w:hint="eastAsia" w:ascii="宋体" w:hAnsi="宋体" w:cs="宋体"/>
                <w:color w:val="auto"/>
                <w:szCs w:val="21"/>
                <w:highlight w:val="none"/>
              </w:rPr>
              <w:t>综合折扣率控制价：88%；</w:t>
            </w:r>
          </w:p>
          <w:p>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供应商的各类物资磋商综合折扣率（%）报价不得高于上述相应各类物资综合折扣率（%）控制价，否则响应文件按无效处理。</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综合折扣率（%）报价应包含采购范围内的物资定点供应价款、所承诺的配送相关服务（含提供的物资、包装、运输、装卸、送货到位、检验等）、服务质量保障、保险、税金、利润、所承诺的优惠措施及所发生的各种服务的费用及其他所有费用，供应商应综合考虑进磋商报价中。</w:t>
            </w:r>
          </w:p>
          <w:p>
            <w:pPr>
              <w:snapToGrid w:val="0"/>
              <w:spacing w:line="360" w:lineRule="auto"/>
              <w:jc w:val="left"/>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供应基础价格：物资供应基础价格优先参考广西桂林市发展和改革委员会网站中公布的近期《十二家市场农副产品价格采集表》、《桂林市市区部分居民基本生活消费品市场价格表》相关内容，广西桂林市发展和改革委员会网站中没有发布的物资价格由成交供应商根据市场调查，形成市场价格目录表提供给采购人，采购人根据其提供的市场价格目录表进行市场核价，双方按核查后的市场价格作为供应基础价格。本项目市场调查地点为农贸市场（如：</w:t>
            </w:r>
            <w:r>
              <w:rPr>
                <w:rFonts w:hint="eastAsia" w:ascii="宋体" w:hAnsi="宋体" w:cs="宋体"/>
                <w:color w:val="auto"/>
                <w:szCs w:val="21"/>
                <w:highlight w:val="none"/>
                <w:lang w:val="zh-TW" w:eastAsia="zh-TW" w:bidi="zh-TW"/>
              </w:rPr>
              <w:t>桂林市汇东批发市场</w:t>
            </w:r>
            <w:r>
              <w:rPr>
                <w:rFonts w:hint="eastAsia" w:ascii="宋体" w:hAnsi="宋体" w:cs="宋体"/>
                <w:color w:val="auto"/>
                <w:szCs w:val="21"/>
                <w:highlight w:val="none"/>
              </w:rPr>
              <w:t>、</w:t>
            </w:r>
            <w:r>
              <w:rPr>
                <w:rFonts w:hint="eastAsia" w:ascii="宋体" w:hAnsi="宋体" w:cs="宋体"/>
                <w:color w:val="auto"/>
                <w:szCs w:val="21"/>
                <w:highlight w:val="none"/>
                <w:lang w:val="zh-TW" w:eastAsia="zh-TW" w:bidi="zh-TW"/>
              </w:rPr>
              <w:t>桂林市北门冷冻厂</w:t>
            </w:r>
            <w:r>
              <w:rPr>
                <w:rFonts w:hint="eastAsia" w:ascii="宋体" w:hAnsi="宋体" w:cs="宋体"/>
                <w:color w:val="auto"/>
                <w:szCs w:val="21"/>
                <w:highlight w:val="none"/>
              </w:rPr>
              <w:t>、</w:t>
            </w:r>
            <w:r>
              <w:rPr>
                <w:rFonts w:hint="eastAsia" w:ascii="宋体" w:hAnsi="宋体" w:cs="宋体"/>
                <w:color w:val="auto"/>
                <w:szCs w:val="21"/>
                <w:highlight w:val="none"/>
                <w:lang w:val="zh-TW" w:eastAsia="zh-TW" w:bidi="zh-TW"/>
              </w:rPr>
              <w:t>七星</w:t>
            </w:r>
            <w:r>
              <w:rPr>
                <w:rFonts w:ascii="宋体" w:hAnsi="宋体" w:eastAsia="PMingLiU" w:cs="宋体"/>
                <w:color w:val="auto"/>
                <w:szCs w:val="21"/>
                <w:highlight w:val="none"/>
                <w:lang w:val="zh-TW" w:eastAsia="zh-TW" w:bidi="zh-TW"/>
              </w:rPr>
              <w:t>菜市</w:t>
            </w:r>
            <w:r>
              <w:rPr>
                <w:rFonts w:hint="eastAsia" w:ascii="宋体" w:hAnsi="宋体" w:cs="宋体"/>
                <w:color w:val="auto"/>
                <w:szCs w:val="21"/>
                <w:highlight w:val="none"/>
                <w:lang w:val="zh-TW" w:eastAsia="zh-TW" w:bidi="zh-TW"/>
              </w:rPr>
              <w:t>窑农贸</w:t>
            </w:r>
            <w:r>
              <w:rPr>
                <w:rFonts w:hint="eastAsia" w:ascii="宋体" w:hAnsi="宋体" w:cs="宋体"/>
                <w:color w:val="auto"/>
                <w:szCs w:val="21"/>
                <w:highlight w:val="none"/>
              </w:rPr>
              <w:t>等)。成交供应商在服务期限内认为物资供应价格受市场价格的变动，需要申请变动调整物资供应价格的，必须将详细调整内容申请上报采购人，采购人同意后方可调整。</w:t>
            </w:r>
          </w:p>
          <w:p>
            <w:pPr>
              <w:spacing w:line="400" w:lineRule="exact"/>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方式：本项目服务期限内，相应类别的物资供应价款实际结算=相应类别的物资供应基础价格×数量×相应类别物资成交综合折扣率（%）。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仿宋"/>
                <w:b/>
                <w:color w:val="auto"/>
                <w:szCs w:val="21"/>
                <w:highlight w:val="none"/>
              </w:rPr>
            </w:pPr>
            <w:r>
              <w:rPr>
                <w:rFonts w:hint="eastAsia" w:ascii="宋体" w:hAnsi="宋体"/>
                <w:b/>
                <w:color w:val="auto"/>
                <w:highlight w:val="none"/>
              </w:rPr>
              <w:t>验收条件及要求</w:t>
            </w:r>
          </w:p>
        </w:tc>
        <w:tc>
          <w:tcPr>
            <w:tcW w:w="74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
                <w:color w:val="auto"/>
                <w:kern w:val="0"/>
                <w:szCs w:val="21"/>
                <w:highlight w:val="none"/>
              </w:rPr>
            </w:pPr>
            <w:r>
              <w:rPr>
                <w:rFonts w:hint="eastAsia" w:ascii="宋体" w:hAnsi="宋体" w:cs="??"/>
                <w:color w:val="auto"/>
                <w:kern w:val="0"/>
                <w:szCs w:val="21"/>
                <w:highlight w:val="none"/>
              </w:rPr>
              <w:t>1</w:t>
            </w:r>
            <w:r>
              <w:rPr>
                <w:rFonts w:ascii="宋体" w:hAnsi="宋体" w:cs="??"/>
                <w:color w:val="auto"/>
                <w:kern w:val="0"/>
                <w:szCs w:val="21"/>
                <w:highlight w:val="none"/>
              </w:rPr>
              <w:t>、</w:t>
            </w:r>
            <w:r>
              <w:rPr>
                <w:rFonts w:hint="eastAsia" w:ascii="宋体" w:hAnsi="宋体" w:cs="??"/>
                <w:color w:val="auto"/>
                <w:kern w:val="0"/>
                <w:szCs w:val="21"/>
                <w:highlight w:val="none"/>
              </w:rPr>
              <w:t>本项目执行相关国家标准、行业标准、地方标准或者其他标准、规范。</w:t>
            </w:r>
          </w:p>
          <w:p>
            <w:pPr>
              <w:spacing w:line="400" w:lineRule="exact"/>
              <w:jc w:val="left"/>
              <w:rPr>
                <w:rFonts w:ascii="宋体" w:hAnsi="宋体" w:cs="??"/>
                <w:color w:val="auto"/>
                <w:kern w:val="0"/>
                <w:szCs w:val="21"/>
                <w:highlight w:val="none"/>
              </w:rPr>
            </w:pPr>
            <w:r>
              <w:rPr>
                <w:rFonts w:hint="eastAsia" w:ascii="宋体" w:hAnsi="宋体" w:cs="??"/>
                <w:color w:val="auto"/>
                <w:kern w:val="0"/>
                <w:szCs w:val="21"/>
                <w:highlight w:val="none"/>
              </w:rPr>
              <w:t>2</w:t>
            </w:r>
            <w:r>
              <w:rPr>
                <w:rFonts w:ascii="宋体" w:hAnsi="宋体" w:cs="??"/>
                <w:color w:val="auto"/>
                <w:kern w:val="0"/>
                <w:szCs w:val="21"/>
                <w:highlight w:val="none"/>
              </w:rPr>
              <w:t>、</w:t>
            </w:r>
            <w:r>
              <w:rPr>
                <w:rFonts w:hint="eastAsia" w:ascii="宋体" w:hAnsi="宋体" w:cs="??"/>
                <w:color w:val="auto"/>
                <w:kern w:val="0"/>
                <w:szCs w:val="21"/>
                <w:highlight w:val="none"/>
              </w:rPr>
              <w:t>要求成交供应商依据竞争性磋商文件要求、响应文件承诺、强制执行的国家、行业、地方标准履行合同；成交供应商提供的服务成果达不到以上验收标准的，不予验收，造成的一切不利后果由成交供应商自行承担。</w:t>
            </w:r>
          </w:p>
          <w:p>
            <w:pPr>
              <w:spacing w:line="400" w:lineRule="exact"/>
              <w:jc w:val="left"/>
              <w:rPr>
                <w:rFonts w:ascii="宋体" w:hAnsi="宋体" w:cs="??"/>
                <w:color w:val="auto"/>
                <w:kern w:val="0"/>
                <w:szCs w:val="21"/>
                <w:highlight w:val="none"/>
              </w:rPr>
            </w:pPr>
            <w:r>
              <w:rPr>
                <w:rFonts w:hint="eastAsia" w:ascii="宋体" w:hAnsi="宋体" w:cs="??"/>
                <w:color w:val="auto"/>
                <w:kern w:val="0"/>
                <w:szCs w:val="21"/>
                <w:highlight w:val="none"/>
              </w:rPr>
              <w:t>3</w:t>
            </w:r>
            <w:r>
              <w:rPr>
                <w:rFonts w:ascii="宋体" w:hAnsi="宋体" w:cs="??"/>
                <w:color w:val="auto"/>
                <w:kern w:val="0"/>
                <w:szCs w:val="21"/>
                <w:highlight w:val="none"/>
              </w:rPr>
              <w:t>、</w:t>
            </w:r>
            <w:r>
              <w:rPr>
                <w:rFonts w:hint="eastAsia" w:ascii="宋体" w:hAnsi="宋体" w:cs="??"/>
                <w:color w:val="auto"/>
                <w:kern w:val="0"/>
                <w:szCs w:val="21"/>
                <w:highlight w:val="none"/>
              </w:rPr>
              <w:t>外包装良好、标注生产日期及保质期，内透明塑料袋包装，袋内无杂质、无破损、无漏气，产品大小均匀，无霉变、无异味、无过期，食品安全的各项指标符合国家要求。</w:t>
            </w:r>
          </w:p>
          <w:p>
            <w:pPr>
              <w:spacing w:line="360" w:lineRule="auto"/>
              <w:rPr>
                <w:rFonts w:ascii="宋体" w:hAnsi="宋体" w:cs="仿宋"/>
                <w:color w:val="auto"/>
                <w:szCs w:val="21"/>
                <w:highlight w:val="none"/>
              </w:rPr>
            </w:pPr>
            <w:r>
              <w:rPr>
                <w:rFonts w:hint="eastAsia" w:ascii="宋体" w:hAnsi="宋体" w:cs="??"/>
                <w:color w:val="auto"/>
                <w:kern w:val="0"/>
                <w:szCs w:val="21"/>
                <w:highlight w:val="none"/>
              </w:rPr>
              <w:t>4</w:t>
            </w:r>
            <w:r>
              <w:rPr>
                <w:rFonts w:ascii="宋体" w:hAnsi="宋体" w:cs="??"/>
                <w:color w:val="auto"/>
                <w:kern w:val="0"/>
                <w:szCs w:val="21"/>
                <w:highlight w:val="none"/>
              </w:rPr>
              <w:t>、</w:t>
            </w:r>
            <w:r>
              <w:rPr>
                <w:rFonts w:hint="eastAsia" w:ascii="宋体" w:hAnsi="宋体" w:cs="??"/>
                <w:color w:val="auto"/>
                <w:kern w:val="0"/>
                <w:szCs w:val="21"/>
                <w:highlight w:val="none"/>
              </w:rPr>
              <w:t>所有食品的来源必须清晰。应当来源于受地方政府部门监管的基地、专业流通市场。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147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color w:val="auto"/>
                <w:highlight w:val="none"/>
              </w:rPr>
            </w:pPr>
            <w:r>
              <w:rPr>
                <w:rFonts w:ascii="宋体" w:hAnsi="宋体"/>
                <w:b/>
                <w:color w:val="auto"/>
                <w:highlight w:val="none"/>
              </w:rPr>
              <w:t>付款方式</w:t>
            </w:r>
          </w:p>
        </w:tc>
        <w:tc>
          <w:tcPr>
            <w:tcW w:w="745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hAnsi="宋体" w:cs="??"/>
                <w:color w:val="auto"/>
                <w:kern w:val="0"/>
                <w:szCs w:val="21"/>
                <w:highlight w:val="none"/>
              </w:rPr>
            </w:pPr>
            <w:r>
              <w:rPr>
                <w:rFonts w:hint="eastAsia" w:ascii="宋体" w:hAnsi="宋体" w:cs="??"/>
                <w:color w:val="auto"/>
                <w:kern w:val="0"/>
                <w:szCs w:val="21"/>
                <w:highlight w:val="none"/>
              </w:rPr>
              <w:t>实行按月结算方式，即本月货款于次月结算。以双方签字确认后的送货单为依据，月末经双方汇总核对无误后，中标人开具正规增值税普通发票给采购人后支付货款。采购人以银行转账方式支付(无息)。</w:t>
            </w:r>
          </w:p>
        </w:tc>
      </w:tr>
    </w:tbl>
    <w:p>
      <w:pPr>
        <w:widowControl/>
        <w:jc w:val="left"/>
        <w:rPr>
          <w:rFonts w:ascii="宋体" w:hAnsi="宋体" w:cs="宋体"/>
          <w:b/>
          <w:bCs/>
          <w:color w:val="auto"/>
          <w:kern w:val="44"/>
          <w:sz w:val="32"/>
          <w:szCs w:val="32"/>
          <w:highlight w:val="none"/>
        </w:rPr>
      </w:pPr>
    </w:p>
    <w:p>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09" w:name="_Toc155802482"/>
      <w:r>
        <w:rPr>
          <w:rFonts w:hint="eastAsia" w:ascii="宋体" w:hAnsi="宋体" w:cs="宋体"/>
          <w:color w:val="auto"/>
          <w:sz w:val="32"/>
          <w:szCs w:val="32"/>
          <w:highlight w:val="none"/>
        </w:rPr>
        <w:t>第四章 评审办法</w:t>
      </w:r>
      <w:bookmarkEnd w:id="105"/>
      <w:bookmarkEnd w:id="109"/>
    </w:p>
    <w:p>
      <w:pPr>
        <w:spacing w:line="360" w:lineRule="exact"/>
        <w:ind w:firstLine="420" w:firstLineChars="200"/>
        <w:rPr>
          <w:rFonts w:ascii="宋体" w:hAnsi="宋体" w:cs="宋体"/>
          <w:b/>
          <w:bCs/>
          <w:color w:val="auto"/>
          <w:szCs w:val="21"/>
          <w:highlight w:val="none"/>
        </w:rPr>
      </w:pPr>
      <w:r>
        <w:rPr>
          <w:rFonts w:hint="eastAsia" w:ascii="宋体" w:hAnsi="宋体" w:cs="宋体"/>
          <w:b/>
          <w:bCs/>
          <w:color w:val="auto"/>
          <w:szCs w:val="21"/>
          <w:highlight w:val="none"/>
        </w:rPr>
        <w:t>一、评审依据</w:t>
      </w:r>
    </w:p>
    <w:p>
      <w:pPr>
        <w:pStyle w:val="11"/>
        <w:spacing w:line="360" w:lineRule="auto"/>
        <w:ind w:firstLine="420" w:firstLineChars="200"/>
        <w:rPr>
          <w:rFonts w:hAnsi="宋体"/>
          <w:color w:val="auto"/>
          <w:highlight w:val="none"/>
        </w:rPr>
      </w:pPr>
      <w:r>
        <w:rPr>
          <w:rFonts w:hint="eastAsia" w:hAnsi="宋体"/>
          <w:color w:val="auto"/>
          <w:highlight w:val="none"/>
        </w:rPr>
        <w:t>1. 评标依据：评标委员会以招标文件和投标文件为评标依据，对磋商供应商的投标报价、技术、服务承诺、履约能力等四个方面内容按百分制打分。</w:t>
      </w:r>
    </w:p>
    <w:p>
      <w:pPr>
        <w:pStyle w:val="11"/>
        <w:spacing w:line="360" w:lineRule="auto"/>
        <w:ind w:left="210" w:leftChars="100" w:firstLine="210" w:firstLineChars="100"/>
        <w:rPr>
          <w:rFonts w:hAnsi="宋体"/>
          <w:color w:val="auto"/>
          <w:highlight w:val="none"/>
        </w:rPr>
      </w:pPr>
      <w:r>
        <w:rPr>
          <w:rFonts w:hint="eastAsia" w:hAnsi="宋体"/>
          <w:color w:val="auto"/>
          <w:highlight w:val="none"/>
        </w:rPr>
        <w:t>2. 评标方式：以封闭方式进行评标。</w:t>
      </w:r>
    </w:p>
    <w:p>
      <w:pPr>
        <w:pStyle w:val="11"/>
        <w:spacing w:line="360" w:lineRule="auto"/>
        <w:ind w:left="210" w:leftChars="100" w:firstLine="210" w:firstLineChars="100"/>
        <w:rPr>
          <w:rFonts w:hAnsi="宋体"/>
          <w:color w:val="auto"/>
          <w:highlight w:val="none"/>
        </w:rPr>
      </w:pPr>
      <w:r>
        <w:rPr>
          <w:rFonts w:hint="eastAsia" w:hAnsi="宋体"/>
          <w:color w:val="auto"/>
          <w:highlight w:val="none"/>
        </w:rPr>
        <w:t>3. 根据财库〔2012〕69号文规定，采购人和采购代理机构、评标委员会成员要严格遵守政府采购相关法律制度，依法履行各自职责，公正、客观、审慎地组织和参与评审工作。</w:t>
      </w:r>
    </w:p>
    <w:p>
      <w:pPr>
        <w:pStyle w:val="11"/>
        <w:spacing w:line="360" w:lineRule="auto"/>
        <w:ind w:firstLine="420" w:firstLineChars="200"/>
        <w:rPr>
          <w:rFonts w:hAnsi="宋体"/>
          <w:b/>
          <w:bCs/>
          <w:color w:val="auto"/>
          <w:highlight w:val="none"/>
        </w:rPr>
      </w:pPr>
      <w:r>
        <w:rPr>
          <w:rFonts w:hint="eastAsia" w:hAnsi="宋体"/>
          <w:b/>
          <w:bCs/>
          <w:color w:val="auto"/>
          <w:highlight w:val="none"/>
        </w:rPr>
        <w:t>二、评标办法</w:t>
      </w:r>
    </w:p>
    <w:p>
      <w:pPr>
        <w:adjustRightInd w:val="0"/>
        <w:snapToGrid w:val="0"/>
        <w:spacing w:line="400" w:lineRule="exact"/>
        <w:ind w:firstLine="422"/>
        <w:rPr>
          <w:rFonts w:ascii="宋体" w:hAnsi="宋体" w:cs="宋体"/>
          <w:b/>
          <w:bCs/>
          <w:color w:val="auto"/>
          <w:kern w:val="0"/>
          <w:szCs w:val="20"/>
          <w:highlight w:val="none"/>
        </w:rPr>
      </w:pPr>
      <w:r>
        <w:rPr>
          <w:rFonts w:hint="eastAsia" w:ascii="宋体" w:hAnsi="宋体" w:cs="宋体"/>
          <w:b/>
          <w:bCs/>
          <w:color w:val="auto"/>
          <w:kern w:val="0"/>
          <w:szCs w:val="20"/>
          <w:highlight w:val="none"/>
        </w:rPr>
        <w:t>二、评审办法</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105"/>
        <w:gridCol w:w="1307"/>
        <w:gridCol w:w="6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序号</w:t>
            </w:r>
          </w:p>
        </w:tc>
        <w:tc>
          <w:tcPr>
            <w:tcW w:w="241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color w:val="auto"/>
                <w:szCs w:val="21"/>
                <w:highlight w:val="none"/>
              </w:rPr>
            </w:pPr>
            <w:r>
              <w:rPr>
                <w:rFonts w:hint="eastAsia" w:ascii="宋体" w:hAnsi="宋体"/>
                <w:b/>
                <w:color w:val="auto"/>
                <w:szCs w:val="21"/>
                <w:highlight w:val="none"/>
              </w:rPr>
              <w:t>评审因素</w:t>
            </w:r>
          </w:p>
        </w:tc>
        <w:tc>
          <w:tcPr>
            <w:tcW w:w="64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1</w:t>
            </w:r>
          </w:p>
        </w:tc>
        <w:tc>
          <w:tcPr>
            <w:tcW w:w="11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价格分（30分）</w:t>
            </w:r>
          </w:p>
        </w:tc>
        <w:tc>
          <w:tcPr>
            <w:tcW w:w="13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bCs/>
                <w:color w:val="auto"/>
                <w:szCs w:val="21"/>
                <w:highlight w:val="none"/>
              </w:rPr>
            </w:pPr>
            <w:r>
              <w:rPr>
                <w:rFonts w:hint="eastAsia" w:ascii="宋体" w:hAnsi="宋体" w:cs="宋体"/>
                <w:b/>
                <w:bCs/>
                <w:color w:val="auto"/>
                <w:szCs w:val="20"/>
                <w:highlight w:val="none"/>
              </w:rPr>
              <w:t>磋商综合折扣率（%）报价</w:t>
            </w:r>
          </w:p>
        </w:tc>
        <w:tc>
          <w:tcPr>
            <w:tcW w:w="640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highlight w:val="none"/>
              </w:rPr>
            </w:pPr>
            <w:r>
              <w:rPr>
                <w:rFonts w:hint="eastAsia" w:ascii="宋体" w:hAnsi="宋体"/>
                <w:color w:val="auto"/>
                <w:highlight w:val="none"/>
              </w:rPr>
              <w:t>（1）各供应商按各类物资分别进行相应磋商综合折扣率（%）报价，各类物资以进入综合评分环节最低的最后报价为该类物资磋商基准价，其基准价报价得分=相应类别物资所设权重的满分。</w:t>
            </w:r>
          </w:p>
          <w:p>
            <w:pPr>
              <w:spacing w:line="360" w:lineRule="auto"/>
              <w:rPr>
                <w:rFonts w:ascii="宋体" w:hAnsi="宋体"/>
                <w:color w:val="auto"/>
                <w:highlight w:val="none"/>
              </w:rPr>
            </w:pPr>
            <w:r>
              <w:rPr>
                <w:rFonts w:hint="eastAsia" w:ascii="宋体" w:hAnsi="宋体"/>
                <w:color w:val="auto"/>
                <w:highlight w:val="none"/>
              </w:rPr>
              <w:t>（2）各类物资磋商综合折扣率（%）报价的权重及得分</w:t>
            </w:r>
          </w:p>
          <w:p>
            <w:pPr>
              <w:spacing w:line="360" w:lineRule="auto"/>
              <w:rPr>
                <w:rFonts w:ascii="宋体" w:hAnsi="宋体"/>
                <w:color w:val="auto"/>
                <w:highlight w:val="none"/>
              </w:rPr>
            </w:pPr>
            <w:r>
              <w:rPr>
                <w:rFonts w:hint="eastAsia" w:ascii="宋体" w:hAnsi="宋体"/>
                <w:color w:val="auto"/>
                <w:highlight w:val="none"/>
              </w:rPr>
              <w:t>①肉、鸡鸭类、冻货、禽蛋类（</w:t>
            </w:r>
            <w:r>
              <w:rPr>
                <w:rFonts w:ascii="宋体" w:hAnsi="宋体"/>
                <w:color w:val="auto"/>
                <w:highlight w:val="none"/>
              </w:rPr>
              <w:t>20</w:t>
            </w:r>
            <w:r>
              <w:rPr>
                <w:rFonts w:hint="eastAsia" w:ascii="宋体" w:hAnsi="宋体"/>
                <w:color w:val="auto"/>
                <w:highlight w:val="none"/>
              </w:rPr>
              <w:t>分）</w:t>
            </w:r>
          </w:p>
          <w:p>
            <w:pPr>
              <w:spacing w:line="360" w:lineRule="auto"/>
              <w:rPr>
                <w:rFonts w:ascii="宋体" w:hAnsi="宋体"/>
                <w:color w:val="auto"/>
                <w:highlight w:val="none"/>
              </w:rPr>
            </w:pPr>
            <w:r>
              <w:rPr>
                <w:rFonts w:hint="eastAsia" w:ascii="宋体" w:hAnsi="宋体"/>
                <w:color w:val="auto"/>
                <w:highlight w:val="none"/>
              </w:rPr>
              <w:t>磋商报价得分=（该类物质磋商基准价/供应商的最后报价）×</w:t>
            </w:r>
            <w:r>
              <w:rPr>
                <w:rFonts w:ascii="宋体" w:hAnsi="宋体"/>
                <w:color w:val="auto"/>
                <w:highlight w:val="none"/>
              </w:rPr>
              <w:t>20</w:t>
            </w:r>
          </w:p>
          <w:p>
            <w:pPr>
              <w:spacing w:line="360" w:lineRule="auto"/>
              <w:rPr>
                <w:rFonts w:ascii="宋体" w:hAnsi="宋体"/>
                <w:color w:val="auto"/>
                <w:highlight w:val="none"/>
              </w:rPr>
            </w:pPr>
            <w:r>
              <w:rPr>
                <w:rFonts w:hint="eastAsia" w:ascii="宋体" w:hAnsi="宋体"/>
                <w:color w:val="auto"/>
                <w:highlight w:val="none"/>
              </w:rPr>
              <w:t>②蔬菜类（5分）</w:t>
            </w:r>
          </w:p>
          <w:p>
            <w:pPr>
              <w:spacing w:line="360" w:lineRule="auto"/>
              <w:rPr>
                <w:rFonts w:ascii="宋体" w:hAnsi="宋体"/>
                <w:color w:val="auto"/>
                <w:highlight w:val="none"/>
              </w:rPr>
            </w:pPr>
            <w:r>
              <w:rPr>
                <w:rFonts w:hint="eastAsia" w:ascii="宋体" w:hAnsi="宋体"/>
                <w:color w:val="auto"/>
                <w:highlight w:val="none"/>
              </w:rPr>
              <w:t>磋商报价得分=（该类物质磋商基准价/供应商的最后报价）×5分</w:t>
            </w:r>
          </w:p>
          <w:p>
            <w:pPr>
              <w:spacing w:line="360" w:lineRule="auto"/>
              <w:rPr>
                <w:rFonts w:ascii="宋体" w:hAnsi="宋体"/>
                <w:color w:val="auto"/>
                <w:highlight w:val="none"/>
              </w:rPr>
            </w:pPr>
            <w:r>
              <w:rPr>
                <w:rFonts w:hint="eastAsia" w:ascii="宋体" w:hAnsi="宋体"/>
                <w:color w:val="auto"/>
                <w:highlight w:val="none"/>
              </w:rPr>
              <w:t>③调味品干杂香料、食用油、副食品类（</w:t>
            </w:r>
            <w:r>
              <w:rPr>
                <w:rFonts w:ascii="宋体" w:hAnsi="宋体"/>
                <w:color w:val="auto"/>
                <w:highlight w:val="none"/>
              </w:rPr>
              <w:t>5分</w:t>
            </w:r>
            <w:r>
              <w:rPr>
                <w:rFonts w:hint="eastAsia" w:ascii="宋体" w:hAnsi="宋体"/>
                <w:color w:val="auto"/>
                <w:highlight w:val="none"/>
              </w:rPr>
              <w:t>）</w:t>
            </w:r>
          </w:p>
          <w:p>
            <w:pPr>
              <w:spacing w:line="360" w:lineRule="auto"/>
              <w:rPr>
                <w:rFonts w:ascii="宋体" w:hAnsi="宋体"/>
                <w:color w:val="auto"/>
                <w:highlight w:val="none"/>
              </w:rPr>
            </w:pPr>
            <w:r>
              <w:rPr>
                <w:rFonts w:hint="eastAsia" w:ascii="宋体" w:hAnsi="宋体"/>
                <w:color w:val="auto"/>
                <w:highlight w:val="none"/>
              </w:rPr>
              <w:t>磋商报价得分=（该类物质磋商基准价/供应商的最后报价）×</w:t>
            </w:r>
            <w:r>
              <w:rPr>
                <w:rFonts w:ascii="宋体" w:hAnsi="宋体"/>
                <w:color w:val="auto"/>
                <w:highlight w:val="none"/>
              </w:rPr>
              <w:t>5</w:t>
            </w:r>
          </w:p>
          <w:p>
            <w:pPr>
              <w:spacing w:line="360" w:lineRule="auto"/>
              <w:rPr>
                <w:rFonts w:ascii="宋体" w:hAnsi="宋体" w:cs="宋体"/>
                <w:bCs/>
                <w:color w:val="auto"/>
                <w:szCs w:val="20"/>
                <w:highlight w:val="none"/>
              </w:rPr>
            </w:pPr>
            <w:r>
              <w:rPr>
                <w:rFonts w:hint="eastAsia" w:ascii="宋体" w:hAnsi="宋体"/>
                <w:color w:val="auto"/>
                <w:highlight w:val="none"/>
              </w:rPr>
              <w:t>（3）供应商价格分=各类物资磋商报价得分汇总（即：上述①+②+③）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45"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rPr>
                <w:rFonts w:ascii="宋体" w:hAnsi="宋体"/>
                <w:b/>
                <w:color w:val="auto"/>
                <w:szCs w:val="21"/>
                <w:highlight w:val="none"/>
              </w:rPr>
            </w:pPr>
            <w:r>
              <w:rPr>
                <w:rFonts w:hint="eastAsia" w:ascii="宋体" w:hAnsi="宋体"/>
                <w:b/>
                <w:color w:val="auto"/>
                <w:szCs w:val="21"/>
                <w:highlight w:val="none"/>
              </w:rPr>
              <w:t>2</w:t>
            </w:r>
          </w:p>
        </w:tc>
        <w:tc>
          <w:tcPr>
            <w:tcW w:w="1105" w:type="dxa"/>
            <w:vMerge w:val="restart"/>
            <w:tcBorders>
              <w:top w:val="single" w:color="auto" w:sz="4" w:space="0"/>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cs="宋体"/>
                <w:b/>
                <w:bCs/>
                <w:color w:val="auto"/>
                <w:szCs w:val="20"/>
                <w:highlight w:val="none"/>
              </w:rPr>
              <w:t>项目实施方案分（</w:t>
            </w:r>
            <w:r>
              <w:rPr>
                <w:rFonts w:ascii="宋体" w:hAnsi="宋体" w:cs="宋体"/>
                <w:b/>
                <w:bCs/>
                <w:color w:val="auto"/>
                <w:szCs w:val="20"/>
                <w:highlight w:val="none"/>
              </w:rPr>
              <w:t>45</w:t>
            </w:r>
            <w:r>
              <w:rPr>
                <w:rFonts w:hint="eastAsia" w:ascii="宋体" w:hAnsi="宋体" w:cs="宋体"/>
                <w:b/>
                <w:bCs/>
                <w:color w:val="auto"/>
                <w:szCs w:val="20"/>
                <w:highlight w:val="none"/>
              </w:rPr>
              <w:t>分）</w:t>
            </w:r>
          </w:p>
        </w:tc>
        <w:tc>
          <w:tcPr>
            <w:tcW w:w="130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adjustRightInd w:val="0"/>
              <w:snapToGrid w:val="0"/>
              <w:spacing w:line="320" w:lineRule="exact"/>
              <w:jc w:val="center"/>
              <w:textAlignment w:val="baseline"/>
              <w:rPr>
                <w:rFonts w:ascii="宋体" w:hAnsi="宋体"/>
                <w:b/>
                <w:color w:val="auto"/>
                <w:szCs w:val="20"/>
                <w:highlight w:val="none"/>
              </w:rPr>
            </w:pPr>
            <w:r>
              <w:rPr>
                <w:rFonts w:hint="eastAsia" w:ascii="宋体" w:hAnsi="宋体"/>
                <w:b/>
                <w:color w:val="auto"/>
                <w:szCs w:val="21"/>
                <w:highlight w:val="none"/>
              </w:rPr>
              <w:t>（</w:t>
            </w:r>
            <w:r>
              <w:rPr>
                <w:rFonts w:ascii="宋体" w:hAnsi="宋体"/>
                <w:b/>
                <w:color w:val="auto"/>
                <w:szCs w:val="21"/>
                <w:highlight w:val="none"/>
              </w:rPr>
              <w:t>1</w:t>
            </w:r>
            <w:r>
              <w:rPr>
                <w:rFonts w:hint="eastAsia" w:ascii="宋体" w:hAnsi="宋体"/>
                <w:b/>
                <w:color w:val="auto"/>
                <w:szCs w:val="21"/>
                <w:highlight w:val="none"/>
              </w:rPr>
              <w:t>）配送服务及应急方案（</w:t>
            </w:r>
            <w:r>
              <w:rPr>
                <w:rFonts w:ascii="宋体" w:hAnsi="宋体"/>
                <w:b/>
                <w:color w:val="auto"/>
                <w:szCs w:val="21"/>
                <w:highlight w:val="none"/>
              </w:rPr>
              <w:t>15</w:t>
            </w:r>
            <w:r>
              <w:rPr>
                <w:rFonts w:hint="eastAsia" w:ascii="宋体" w:hAnsi="宋体"/>
                <w:b/>
                <w:color w:val="auto"/>
                <w:szCs w:val="21"/>
                <w:highlight w:val="none"/>
              </w:rPr>
              <w:t>分）</w:t>
            </w:r>
          </w:p>
        </w:tc>
        <w:tc>
          <w:tcPr>
            <w:tcW w:w="6406" w:type="dxa"/>
            <w:tcBorders>
              <w:top w:val="single" w:color="auto" w:sz="4" w:space="0"/>
              <w:left w:val="single" w:color="auto" w:sz="4" w:space="0"/>
              <w:bottom w:val="single" w:color="auto" w:sz="4" w:space="0"/>
              <w:right w:val="single" w:color="auto" w:sz="4" w:space="0"/>
            </w:tcBorders>
            <w:vAlign w:val="center"/>
          </w:tcPr>
          <w:p>
            <w:pPr>
              <w:pStyle w:val="26"/>
              <w:spacing w:line="360" w:lineRule="auto"/>
              <w:rPr>
                <w:color w:val="auto"/>
                <w:kern w:val="2"/>
                <w:sz w:val="21"/>
                <w:szCs w:val="21"/>
                <w:highlight w:val="none"/>
              </w:rPr>
            </w:pPr>
            <w:r>
              <w:rPr>
                <w:rFonts w:hint="eastAsia"/>
                <w:color w:val="auto"/>
                <w:kern w:val="2"/>
                <w:sz w:val="21"/>
                <w:szCs w:val="21"/>
                <w:highlight w:val="none"/>
              </w:rPr>
              <w:t>投标人提供的配送服务及应急方案由评标委员会成员根据评审程序、评审方法和评审标准进行独立评审评定其档次。未提供配送服务及应急方案的不得分。</w:t>
            </w:r>
          </w:p>
          <w:p>
            <w:pPr>
              <w:pStyle w:val="26"/>
              <w:spacing w:line="360" w:lineRule="auto"/>
              <w:ind w:firstLine="210" w:firstLineChars="100"/>
              <w:rPr>
                <w:color w:val="auto"/>
                <w:kern w:val="2"/>
                <w:sz w:val="21"/>
                <w:szCs w:val="21"/>
                <w:highlight w:val="none"/>
              </w:rPr>
            </w:pPr>
            <w:r>
              <w:rPr>
                <w:rFonts w:hint="eastAsia"/>
                <w:color w:val="auto"/>
                <w:kern w:val="2"/>
                <w:sz w:val="21"/>
                <w:szCs w:val="21"/>
                <w:highlight w:val="none"/>
              </w:rPr>
              <w:t>一档（2分）：项目生产或销售能力差，生产或销售场地面积低于150平方米，管理制度、配送服务方案基本满足要求、描述简单，基本保证配送服务的，对问题食材发生紧急事件处理预案内容较差、基本可行的；</w:t>
            </w:r>
          </w:p>
          <w:p>
            <w:pPr>
              <w:pStyle w:val="26"/>
              <w:spacing w:line="360" w:lineRule="auto"/>
              <w:ind w:firstLine="210" w:firstLineChars="100"/>
              <w:rPr>
                <w:color w:val="auto"/>
                <w:kern w:val="2"/>
                <w:sz w:val="21"/>
                <w:szCs w:val="21"/>
                <w:highlight w:val="none"/>
              </w:rPr>
            </w:pPr>
            <w:r>
              <w:rPr>
                <w:rFonts w:hint="eastAsia"/>
                <w:color w:val="auto"/>
                <w:kern w:val="2"/>
                <w:sz w:val="21"/>
                <w:szCs w:val="21"/>
                <w:highlight w:val="none"/>
              </w:rPr>
              <w:t>二档（5分）：项目生产或销售能力一般，生产或销售场地面积较在150平方米（含）以上，项目配送供货时间安排合理，管理制度、配送服务方案基本满足要求、描述较简单，具体实施步骤和要求描述较简单，能保证配送服务，对问题食材发生紧急事件处理预案内容简单；</w:t>
            </w:r>
          </w:p>
          <w:p>
            <w:pPr>
              <w:pStyle w:val="26"/>
              <w:spacing w:line="360" w:lineRule="auto"/>
              <w:ind w:firstLine="210" w:firstLineChars="100"/>
              <w:rPr>
                <w:color w:val="auto"/>
                <w:kern w:val="2"/>
                <w:sz w:val="21"/>
                <w:szCs w:val="21"/>
                <w:highlight w:val="none"/>
              </w:rPr>
            </w:pPr>
            <w:r>
              <w:rPr>
                <w:rFonts w:hint="eastAsia"/>
                <w:color w:val="auto"/>
                <w:kern w:val="2"/>
                <w:sz w:val="21"/>
                <w:szCs w:val="21"/>
                <w:highlight w:val="none"/>
              </w:rPr>
              <w:t>三档（7分）：项目生产或销售能力强，生产或销售场地面积在250平方米（含）以上，项目配送体系、供货时间安排较合理，有较完善的管理制度、配送服务方案，描述较详细，具体实施步骤和要求描述较详细，在保证配送服务业务外有机动人员用于对紧急事件处理，对配送及应急处理响应较快，对问题食材发生紧急事件处理预案内容的较具体，有一定针对性的；</w:t>
            </w:r>
          </w:p>
          <w:p>
            <w:pPr>
              <w:pStyle w:val="26"/>
              <w:spacing w:line="360" w:lineRule="auto"/>
              <w:ind w:firstLine="210" w:firstLineChars="100"/>
              <w:rPr>
                <w:color w:val="auto"/>
                <w:kern w:val="2"/>
                <w:sz w:val="21"/>
                <w:szCs w:val="21"/>
                <w:highlight w:val="none"/>
              </w:rPr>
            </w:pPr>
            <w:r>
              <w:rPr>
                <w:rFonts w:hint="eastAsia"/>
                <w:color w:val="auto"/>
                <w:kern w:val="2"/>
                <w:sz w:val="21"/>
                <w:szCs w:val="21"/>
                <w:highlight w:val="none"/>
              </w:rPr>
              <w:t>四档（10分）：项目生产或销售能力较强，生产或销售存储面积在350平方米（含）以上，配送工作体系健全完善，配送供货时间安排合理，有较完善的管理制度、配送服务方案，描述详细，具体实施步骤和要求描述详细，在保证配送服务业务外有机动人员用于对紧急事件处理，对配送及应急处理响应快，对问题食材发生紧急事件处理预案内容的具体，人员配备较齐，方案针对性较强的；</w:t>
            </w:r>
          </w:p>
          <w:p>
            <w:pPr>
              <w:pStyle w:val="26"/>
              <w:spacing w:line="360" w:lineRule="auto"/>
              <w:ind w:firstLine="210" w:firstLineChars="100"/>
              <w:rPr>
                <w:color w:val="auto"/>
                <w:highlight w:val="none"/>
              </w:rPr>
            </w:pPr>
            <w:r>
              <w:rPr>
                <w:rFonts w:hint="eastAsia"/>
                <w:color w:val="auto"/>
                <w:kern w:val="2"/>
                <w:sz w:val="21"/>
                <w:szCs w:val="21"/>
                <w:highlight w:val="none"/>
              </w:rPr>
              <w:t>五档（15分）：项目生产或销售能力强，生产或销售存储面积在450平方米（含）以上，配送工作体系健全完善，配送供货时间安排合理，针对项目实际情况，能提供全面细致、可靠的管理制度、配送服务方案，描述详细，具体实施步骤和要求描述全面，可行性强，充分优于本项目需求，对问题食材发生紧急事件处理预案内容的具体、全面，在保证配送服务业务外有机动人员用于对紧急事件处理，人员配备充裕，对配送及应急处理响应迅速，可行性高，方案针对性强，有重点，预案清晰且能根据具体情况做出全面细致方案且能保证采购食材卫生安全等重要因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Borders>
              <w:left w:val="single" w:color="auto" w:sz="4" w:space="0"/>
              <w:right w:val="single" w:color="auto" w:sz="4" w:space="0"/>
            </w:tcBorders>
            <w:vAlign w:val="center"/>
          </w:tcPr>
          <w:p>
            <w:pPr>
              <w:widowControl/>
              <w:adjustRightInd w:val="0"/>
              <w:snapToGrid w:val="0"/>
              <w:spacing w:line="320" w:lineRule="exact"/>
              <w:jc w:val="center"/>
              <w:rPr>
                <w:rFonts w:ascii="宋体" w:hAnsi="宋体"/>
                <w:b/>
                <w:color w:val="auto"/>
                <w:szCs w:val="21"/>
                <w:highlight w:val="none"/>
              </w:rPr>
            </w:pPr>
          </w:p>
        </w:tc>
        <w:tc>
          <w:tcPr>
            <w:tcW w:w="1105" w:type="dxa"/>
            <w:vMerge w:val="continue"/>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p>
        </w:tc>
        <w:tc>
          <w:tcPr>
            <w:tcW w:w="130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jc w:val="center"/>
              <w:rPr>
                <w:rFonts w:ascii="宋体" w:hAnsi="宋体"/>
                <w:b/>
                <w:color w:val="auto"/>
                <w:szCs w:val="20"/>
                <w:highlight w:val="none"/>
              </w:rPr>
            </w:pPr>
            <w:r>
              <w:rPr>
                <w:rFonts w:hint="eastAsia" w:ascii="宋体" w:hAnsi="宋体"/>
                <w:b/>
                <w:color w:val="auto"/>
                <w:szCs w:val="20"/>
                <w:highlight w:val="none"/>
              </w:rPr>
              <w:t>（</w:t>
            </w:r>
            <w:r>
              <w:rPr>
                <w:rFonts w:ascii="宋体" w:hAnsi="宋体"/>
                <w:b/>
                <w:color w:val="auto"/>
                <w:szCs w:val="20"/>
                <w:highlight w:val="none"/>
              </w:rPr>
              <w:t>2</w:t>
            </w:r>
            <w:r>
              <w:rPr>
                <w:rFonts w:hint="eastAsia" w:ascii="宋体" w:hAnsi="宋体"/>
                <w:b/>
                <w:color w:val="auto"/>
                <w:szCs w:val="20"/>
                <w:highlight w:val="none"/>
              </w:rPr>
              <w:t>）</w:t>
            </w:r>
            <w:bookmarkStart w:id="110" w:name="_Hlk156471107"/>
            <w:r>
              <w:rPr>
                <w:rFonts w:hint="eastAsia" w:ascii="宋体" w:hAnsi="宋体"/>
                <w:b/>
                <w:color w:val="auto"/>
                <w:szCs w:val="20"/>
                <w:highlight w:val="none"/>
              </w:rPr>
              <w:t>食材质量安全保障方案分</w:t>
            </w:r>
            <w:bookmarkEnd w:id="110"/>
            <w:r>
              <w:rPr>
                <w:rFonts w:hint="eastAsia" w:ascii="宋体" w:hAnsi="宋体"/>
                <w:b/>
                <w:color w:val="auto"/>
                <w:szCs w:val="20"/>
                <w:highlight w:val="none"/>
              </w:rPr>
              <w:t>（1</w:t>
            </w:r>
            <w:r>
              <w:rPr>
                <w:rFonts w:ascii="宋体" w:hAnsi="宋体"/>
                <w:b/>
                <w:color w:val="auto"/>
                <w:szCs w:val="20"/>
                <w:highlight w:val="none"/>
              </w:rPr>
              <w:t>5</w:t>
            </w:r>
            <w:r>
              <w:rPr>
                <w:rFonts w:hint="eastAsia" w:ascii="宋体" w:hAnsi="宋体"/>
                <w:b/>
                <w:color w:val="auto"/>
                <w:szCs w:val="20"/>
                <w:highlight w:val="none"/>
              </w:rPr>
              <w:t>分）</w:t>
            </w:r>
          </w:p>
        </w:tc>
        <w:tc>
          <w:tcPr>
            <w:tcW w:w="6406" w:type="dxa"/>
            <w:tcBorders>
              <w:top w:val="single" w:color="auto" w:sz="4" w:space="0"/>
              <w:left w:val="single" w:color="auto" w:sz="4" w:space="0"/>
              <w:right w:val="single" w:color="auto" w:sz="4" w:space="0"/>
            </w:tcBorders>
            <w:vAlign w:val="center"/>
          </w:tcPr>
          <w:p>
            <w:pPr>
              <w:widowControl/>
              <w:spacing w:line="360" w:lineRule="auto"/>
              <w:ind w:firstLine="420" w:firstLineChars="200"/>
              <w:jc w:val="left"/>
              <w:rPr>
                <w:color w:val="auto"/>
                <w:szCs w:val="21"/>
                <w:highlight w:val="none"/>
              </w:rPr>
            </w:pPr>
            <w:r>
              <w:rPr>
                <w:rFonts w:hint="eastAsia" w:ascii="宋体" w:hAnsi="宋体"/>
                <w:color w:val="auto"/>
                <w:szCs w:val="21"/>
                <w:highlight w:val="none"/>
              </w:rPr>
              <w:t>评委根据供应商所提供的食材质量安全保障方案(</w:t>
            </w:r>
            <w:r>
              <w:rPr>
                <w:rFonts w:hint="eastAsia"/>
                <w:color w:val="auto"/>
                <w:szCs w:val="21"/>
                <w:highlight w:val="none"/>
              </w:rPr>
              <w:t>包括进货采购渠道、食材控制管理措施、检验检疫措施、食材质量标准、追溯方式等)情况进行比较</w:t>
            </w:r>
            <w:r>
              <w:rPr>
                <w:rFonts w:ascii="宋体" w:hAnsi="宋体" w:cs="宋体"/>
                <w:color w:val="auto"/>
                <w:sz w:val="22"/>
                <w:szCs w:val="22"/>
                <w:highlight w:val="none"/>
              </w:rPr>
              <w:t>独立评审并打分</w:t>
            </w:r>
            <w:r>
              <w:rPr>
                <w:rFonts w:hint="eastAsia"/>
                <w:color w:val="auto"/>
                <w:szCs w:val="21"/>
                <w:highlight w:val="none"/>
              </w:rPr>
              <w:t>。</w:t>
            </w:r>
          </w:p>
          <w:p>
            <w:pPr>
              <w:widowControl/>
              <w:spacing w:line="360" w:lineRule="auto"/>
              <w:ind w:firstLine="420" w:firstLineChars="200"/>
              <w:jc w:val="left"/>
              <w:rPr>
                <w:color w:val="auto"/>
                <w:szCs w:val="21"/>
                <w:highlight w:val="none"/>
              </w:rPr>
            </w:pPr>
            <w:r>
              <w:rPr>
                <w:rFonts w:hint="eastAsia"/>
                <w:color w:val="auto"/>
                <w:szCs w:val="21"/>
                <w:highlight w:val="none"/>
              </w:rPr>
              <w:t>投标人提供的食材安全措施由评标委员会成员根据评审程序、评审方法和评审标准进行独立评审评定其档次。未提供食材安全措施方案的不得分。</w:t>
            </w:r>
          </w:p>
          <w:p>
            <w:pPr>
              <w:widowControl/>
              <w:spacing w:line="360" w:lineRule="auto"/>
              <w:ind w:firstLine="210" w:firstLineChars="100"/>
              <w:jc w:val="left"/>
              <w:rPr>
                <w:color w:val="auto"/>
                <w:szCs w:val="21"/>
                <w:highlight w:val="none"/>
              </w:rPr>
            </w:pPr>
            <w:r>
              <w:rPr>
                <w:rFonts w:hint="eastAsia"/>
                <w:color w:val="auto"/>
                <w:szCs w:val="21"/>
                <w:highlight w:val="none"/>
              </w:rPr>
              <w:t>一档（1分）：对进货采购渠道、食材控制管理措施、食材质量标准、追溯方式这几个方面描述较一般，较简单，检验检疫措施简单；</w:t>
            </w:r>
          </w:p>
          <w:p>
            <w:pPr>
              <w:widowControl/>
              <w:spacing w:line="360" w:lineRule="auto"/>
              <w:ind w:firstLine="210" w:firstLineChars="100"/>
              <w:jc w:val="left"/>
              <w:rPr>
                <w:color w:val="auto"/>
                <w:szCs w:val="21"/>
                <w:highlight w:val="none"/>
              </w:rPr>
            </w:pPr>
            <w:r>
              <w:rPr>
                <w:rFonts w:hint="eastAsia"/>
                <w:color w:val="auto"/>
                <w:szCs w:val="21"/>
                <w:highlight w:val="none"/>
              </w:rPr>
              <w:t>二档（4分）：对进货采购渠道、食材控制管理措施、食材质量标准、追溯方式这几个方面描述较清晰，检验检疫措施一般；</w:t>
            </w:r>
          </w:p>
          <w:p>
            <w:pPr>
              <w:widowControl/>
              <w:spacing w:line="360" w:lineRule="auto"/>
              <w:ind w:firstLine="210" w:firstLineChars="100"/>
              <w:jc w:val="left"/>
              <w:rPr>
                <w:color w:val="auto"/>
                <w:szCs w:val="21"/>
                <w:highlight w:val="none"/>
              </w:rPr>
            </w:pPr>
            <w:r>
              <w:rPr>
                <w:rFonts w:hint="eastAsia"/>
                <w:color w:val="auto"/>
                <w:szCs w:val="21"/>
                <w:highlight w:val="none"/>
              </w:rPr>
              <w:t xml:space="preserve">三档（8分）：对进货采购渠道、食材控制管理措施、食材质量标准、追溯方式这几个方面描述较清晰、较详细，检验检疫措施较全面，主动开展检验工作，有食品安监部门或国家承认的检测机构检测报告； </w:t>
            </w:r>
          </w:p>
          <w:p>
            <w:pPr>
              <w:widowControl/>
              <w:spacing w:line="360" w:lineRule="auto"/>
              <w:ind w:firstLine="210" w:firstLineChars="100"/>
              <w:jc w:val="left"/>
              <w:rPr>
                <w:color w:val="auto"/>
                <w:szCs w:val="21"/>
                <w:highlight w:val="none"/>
              </w:rPr>
            </w:pPr>
            <w:r>
              <w:rPr>
                <w:rFonts w:hint="eastAsia"/>
                <w:color w:val="auto"/>
                <w:szCs w:val="21"/>
                <w:highlight w:val="none"/>
              </w:rPr>
              <w:t>四档（12分）：对进货采购渠道、食材控制管理措施、食材质量标准、追溯方式这几个方面描述清晰，详细，检验检疫措施详细、全面，能严格进行食材质量把关，主动开展检验工作，每季度有食品安监部门或国家承认的检测机构检测报告；</w:t>
            </w:r>
          </w:p>
          <w:p>
            <w:pPr>
              <w:spacing w:line="360" w:lineRule="auto"/>
              <w:ind w:firstLine="210" w:firstLineChars="100"/>
              <w:rPr>
                <w:rFonts w:ascii="宋体" w:hAnsi="宋体"/>
                <w:color w:val="auto"/>
                <w:szCs w:val="20"/>
                <w:highlight w:val="none"/>
              </w:rPr>
            </w:pPr>
            <w:r>
              <w:rPr>
                <w:rFonts w:hint="eastAsia"/>
                <w:color w:val="auto"/>
                <w:szCs w:val="21"/>
                <w:highlight w:val="none"/>
              </w:rPr>
              <w:t>五档（15分）：对进货采购渠道、食材控制管理措施、食材质量标准、追溯方式这几个方面全部描述清晰，详细，检验检疫措施详细、全面，各项措施安排合理,可操作性强，能严格进行食材质量把关，主动开展检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vMerge w:val="continue"/>
            <w:tcBorders>
              <w:left w:val="single" w:color="auto" w:sz="4" w:space="0"/>
              <w:right w:val="single" w:color="auto" w:sz="4" w:space="0"/>
            </w:tcBorders>
            <w:vAlign w:val="center"/>
          </w:tcPr>
          <w:p>
            <w:pPr>
              <w:widowControl/>
              <w:adjustRightInd w:val="0"/>
              <w:snapToGrid w:val="0"/>
              <w:spacing w:line="320" w:lineRule="exact"/>
              <w:jc w:val="center"/>
              <w:rPr>
                <w:rFonts w:ascii="宋体" w:hAnsi="宋体"/>
                <w:b/>
                <w:color w:val="auto"/>
                <w:szCs w:val="21"/>
                <w:highlight w:val="none"/>
              </w:rPr>
            </w:pPr>
          </w:p>
        </w:tc>
        <w:tc>
          <w:tcPr>
            <w:tcW w:w="1105" w:type="dxa"/>
            <w:vMerge w:val="continue"/>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p>
        </w:tc>
        <w:tc>
          <w:tcPr>
            <w:tcW w:w="1307" w:type="dxa"/>
            <w:tcBorders>
              <w:top w:val="single" w:color="auto" w:sz="4" w:space="0"/>
              <w:left w:val="single" w:color="auto" w:sz="4" w:space="0"/>
              <w:right w:val="single" w:color="auto" w:sz="4" w:space="0"/>
            </w:tcBorders>
            <w:tcMar>
              <w:top w:w="0" w:type="dxa"/>
              <w:left w:w="57" w:type="dxa"/>
              <w:bottom w:w="0" w:type="dxa"/>
              <w:right w:w="57" w:type="dxa"/>
            </w:tcMar>
            <w:vAlign w:val="center"/>
          </w:tcPr>
          <w:p>
            <w:pPr>
              <w:spacing w:line="320" w:lineRule="exact"/>
              <w:jc w:val="center"/>
              <w:rPr>
                <w:rFonts w:ascii="宋体" w:hAnsi="宋体"/>
                <w:b/>
                <w:bCs/>
                <w:color w:val="auto"/>
                <w:szCs w:val="20"/>
                <w:highlight w:val="none"/>
              </w:rPr>
            </w:pPr>
            <w:r>
              <w:rPr>
                <w:rFonts w:hint="eastAsia" w:ascii="宋体" w:hAnsi="宋体"/>
                <w:b/>
                <w:bCs/>
                <w:color w:val="auto"/>
                <w:szCs w:val="20"/>
                <w:highlight w:val="none"/>
              </w:rPr>
              <w:t>（</w:t>
            </w:r>
            <w:r>
              <w:rPr>
                <w:rFonts w:hint="eastAsia" w:ascii="宋体" w:hAnsi="宋体"/>
                <w:b/>
                <w:bCs/>
                <w:color w:val="auto"/>
                <w:szCs w:val="20"/>
                <w:highlight w:val="none"/>
                <w:lang w:val="en-US" w:eastAsia="zh-CN"/>
              </w:rPr>
              <w:t>3</w:t>
            </w:r>
            <w:r>
              <w:rPr>
                <w:rFonts w:hint="eastAsia" w:ascii="宋体" w:hAnsi="宋体"/>
                <w:b/>
                <w:bCs/>
                <w:color w:val="auto"/>
                <w:szCs w:val="20"/>
                <w:highlight w:val="none"/>
              </w:rPr>
              <w:t>）</w:t>
            </w:r>
            <w:r>
              <w:rPr>
                <w:rFonts w:hint="eastAsia"/>
                <w:b/>
                <w:bCs/>
                <w:color w:val="auto"/>
                <w:highlight w:val="none"/>
              </w:rPr>
              <w:t>服务承诺分（</w:t>
            </w:r>
            <w:r>
              <w:rPr>
                <w:b/>
                <w:bCs/>
                <w:color w:val="auto"/>
                <w:highlight w:val="none"/>
              </w:rPr>
              <w:t>15</w:t>
            </w:r>
            <w:r>
              <w:rPr>
                <w:rFonts w:hint="eastAsia"/>
                <w:b/>
                <w:bCs/>
                <w:color w:val="auto"/>
                <w:highlight w:val="none"/>
              </w:rPr>
              <w:t>分）</w:t>
            </w:r>
          </w:p>
        </w:tc>
        <w:tc>
          <w:tcPr>
            <w:tcW w:w="6406" w:type="dxa"/>
            <w:tcBorders>
              <w:top w:val="single" w:color="auto" w:sz="4" w:space="0"/>
              <w:left w:val="single" w:color="auto" w:sz="4" w:space="0"/>
              <w:right w:val="single" w:color="auto" w:sz="4" w:space="0"/>
            </w:tcBorders>
            <w:vAlign w:val="center"/>
          </w:tcPr>
          <w:p>
            <w:pPr>
              <w:widowControl/>
              <w:spacing w:line="420" w:lineRule="exact"/>
              <w:ind w:firstLine="420" w:firstLineChars="200"/>
              <w:jc w:val="left"/>
              <w:rPr>
                <w:rFonts w:ascii="宋体" w:hAnsi="宋体"/>
                <w:color w:val="auto"/>
                <w:highlight w:val="none"/>
              </w:rPr>
            </w:pPr>
            <w:r>
              <w:rPr>
                <w:rFonts w:hint="eastAsia" w:ascii="宋体" w:hAnsi="宋体"/>
                <w:color w:val="auto"/>
                <w:highlight w:val="none"/>
              </w:rPr>
              <w:t>评标委员会根据投标人提供的售后服务方案内容（包括：承诺如何确保按期、按质、按量供货；出现问题时如何采取相应的措施；如何保障后期服务）</w:t>
            </w:r>
            <w:r>
              <w:rPr>
                <w:rFonts w:hint="eastAsia"/>
                <w:color w:val="auto"/>
                <w:szCs w:val="21"/>
                <w:highlight w:val="none"/>
              </w:rPr>
              <w:t>情况进行比较</w:t>
            </w:r>
            <w:r>
              <w:rPr>
                <w:rFonts w:ascii="宋体" w:hAnsi="宋体" w:cs="宋体"/>
                <w:color w:val="auto"/>
                <w:sz w:val="22"/>
                <w:szCs w:val="22"/>
                <w:highlight w:val="none"/>
              </w:rPr>
              <w:t>独立评审并打分</w:t>
            </w:r>
            <w:r>
              <w:rPr>
                <w:rFonts w:hint="eastAsia" w:ascii="宋体" w:hAnsi="宋体"/>
                <w:color w:val="auto"/>
                <w:highlight w:val="none"/>
              </w:rPr>
              <w:t>。</w:t>
            </w:r>
          </w:p>
          <w:p>
            <w:pPr>
              <w:spacing w:line="420" w:lineRule="exact"/>
              <w:ind w:firstLine="420" w:firstLineChars="200"/>
              <w:rPr>
                <w:rFonts w:ascii="宋体" w:hAnsi="宋体"/>
                <w:color w:val="auto"/>
                <w:highlight w:val="none"/>
              </w:rPr>
            </w:pPr>
            <w:r>
              <w:rPr>
                <w:rFonts w:hint="eastAsia" w:ascii="宋体" w:hAnsi="宋体"/>
                <w:color w:val="auto"/>
                <w:highlight w:val="none"/>
              </w:rPr>
              <w:t>一档（</w:t>
            </w:r>
            <w:r>
              <w:rPr>
                <w:rFonts w:ascii="宋体" w:hAnsi="宋体"/>
                <w:color w:val="auto"/>
                <w:highlight w:val="none"/>
              </w:rPr>
              <w:t>3</w:t>
            </w:r>
            <w:r>
              <w:rPr>
                <w:rFonts w:hint="eastAsia" w:ascii="宋体" w:hAnsi="宋体"/>
                <w:color w:val="auto"/>
                <w:highlight w:val="none"/>
              </w:rPr>
              <w:t>分）：在确定提供的货物有质量问题，或者数量不足的情况时，承诺退换时间超10小时，服务承诺、措施、后期服务承诺简单。</w:t>
            </w:r>
          </w:p>
          <w:p>
            <w:pPr>
              <w:spacing w:line="420" w:lineRule="exact"/>
              <w:ind w:firstLine="420" w:firstLineChars="200"/>
              <w:rPr>
                <w:rFonts w:ascii="宋体" w:hAnsi="宋体"/>
                <w:color w:val="auto"/>
                <w:highlight w:val="none"/>
              </w:rPr>
            </w:pPr>
            <w:r>
              <w:rPr>
                <w:rFonts w:hint="eastAsia" w:ascii="宋体" w:hAnsi="宋体"/>
                <w:color w:val="auto"/>
                <w:highlight w:val="none"/>
              </w:rPr>
              <w:t>二档（</w:t>
            </w:r>
            <w:r>
              <w:rPr>
                <w:rFonts w:ascii="宋体" w:hAnsi="宋体"/>
                <w:color w:val="auto"/>
                <w:highlight w:val="none"/>
              </w:rPr>
              <w:t>5</w:t>
            </w:r>
            <w:r>
              <w:rPr>
                <w:rFonts w:hint="eastAsia" w:ascii="宋体" w:hAnsi="宋体"/>
                <w:color w:val="auto"/>
                <w:highlight w:val="none"/>
              </w:rPr>
              <w:t>分）：在确定提供的货物有质量问题，或者数量不足的情况时，承诺退换时间8-10小时，且服务承诺、措施基本符合项目需求，具有后期服务承诺，</w:t>
            </w:r>
            <w:r>
              <w:rPr>
                <w:rFonts w:hint="eastAsia" w:ascii="宋体" w:hAnsi="宋体" w:cs="宋体"/>
                <w:color w:val="auto"/>
                <w:szCs w:val="21"/>
                <w:highlight w:val="none"/>
              </w:rPr>
              <w:t>基本的服务流程，</w:t>
            </w:r>
            <w:r>
              <w:rPr>
                <w:rFonts w:hint="eastAsia" w:ascii="宋体" w:hAnsi="宋体" w:cs="宋体"/>
                <w:color w:val="auto"/>
                <w:szCs w:val="21"/>
                <w:highlight w:val="none"/>
                <w:lang w:bidi="ar"/>
              </w:rPr>
              <w:t>服务工作思路基本合理</w:t>
            </w:r>
            <w:r>
              <w:rPr>
                <w:rFonts w:hint="eastAsia" w:ascii="宋体" w:hAnsi="宋体"/>
                <w:color w:val="auto"/>
                <w:highlight w:val="none"/>
              </w:rPr>
              <w:t>。</w:t>
            </w:r>
          </w:p>
          <w:p>
            <w:pPr>
              <w:spacing w:line="420" w:lineRule="exact"/>
              <w:ind w:firstLine="420" w:firstLineChars="200"/>
              <w:rPr>
                <w:rFonts w:ascii="宋体" w:hAnsi="宋体"/>
                <w:color w:val="auto"/>
                <w:highlight w:val="none"/>
              </w:rPr>
            </w:pPr>
            <w:r>
              <w:rPr>
                <w:rFonts w:hint="eastAsia" w:ascii="宋体" w:hAnsi="宋体"/>
                <w:color w:val="auto"/>
                <w:highlight w:val="none"/>
              </w:rPr>
              <w:t>三档（</w:t>
            </w:r>
            <w:r>
              <w:rPr>
                <w:rFonts w:ascii="宋体" w:hAnsi="宋体"/>
                <w:color w:val="auto"/>
                <w:highlight w:val="none"/>
              </w:rPr>
              <w:t>7</w:t>
            </w:r>
            <w:r>
              <w:rPr>
                <w:rFonts w:hint="eastAsia" w:ascii="宋体" w:hAnsi="宋体"/>
                <w:color w:val="auto"/>
                <w:highlight w:val="none"/>
              </w:rPr>
              <w:t>分）：在确定提供的货物有质量问题，或者数量不足的情况时，承诺退换时间6-8小时，且服务承诺、措施满足项目需求，后期服务承诺响应满足项目需求，</w:t>
            </w:r>
            <w:r>
              <w:rPr>
                <w:rFonts w:hint="eastAsia" w:ascii="宋体" w:hAnsi="宋体" w:cs="宋体"/>
                <w:color w:val="auto"/>
                <w:szCs w:val="21"/>
                <w:highlight w:val="none"/>
              </w:rPr>
              <w:t>有基本的服务流程，</w:t>
            </w:r>
            <w:r>
              <w:rPr>
                <w:rFonts w:hint="eastAsia" w:ascii="宋体" w:hAnsi="宋体" w:cs="宋体"/>
                <w:color w:val="auto"/>
                <w:szCs w:val="21"/>
                <w:highlight w:val="none"/>
                <w:lang w:bidi="ar"/>
              </w:rPr>
              <w:t>服务工作思路合理，</w:t>
            </w:r>
            <w:r>
              <w:rPr>
                <w:rFonts w:hint="eastAsia" w:ascii="宋体" w:hAnsi="宋体"/>
                <w:color w:val="auto"/>
                <w:highlight w:val="none"/>
              </w:rPr>
              <w:t>有一定的可行性。</w:t>
            </w:r>
          </w:p>
          <w:p>
            <w:pPr>
              <w:spacing w:line="420" w:lineRule="exact"/>
              <w:ind w:firstLine="420" w:firstLineChars="200"/>
              <w:rPr>
                <w:rFonts w:ascii="宋体" w:hAnsi="宋体"/>
                <w:color w:val="auto"/>
                <w:highlight w:val="none"/>
              </w:rPr>
            </w:pPr>
            <w:r>
              <w:rPr>
                <w:rFonts w:hint="eastAsia" w:ascii="宋体" w:hAnsi="宋体"/>
                <w:color w:val="auto"/>
                <w:highlight w:val="none"/>
              </w:rPr>
              <w:t>四档（</w:t>
            </w:r>
            <w:r>
              <w:rPr>
                <w:rFonts w:ascii="宋体" w:hAnsi="宋体"/>
                <w:color w:val="auto"/>
                <w:highlight w:val="none"/>
              </w:rPr>
              <w:t>10</w:t>
            </w:r>
            <w:r>
              <w:rPr>
                <w:rFonts w:hint="eastAsia" w:ascii="宋体" w:hAnsi="宋体"/>
                <w:color w:val="auto"/>
                <w:highlight w:val="none"/>
              </w:rPr>
              <w:t>分）：对发生紧急事件问题处理预案内容较具体、周到，在确定提供的货物有质量问题，或者数量不足的情况时，并承诺退换时间4-6小时，有详细的服务承诺、后期售后服务方式多样，</w:t>
            </w:r>
            <w:r>
              <w:rPr>
                <w:rFonts w:hint="eastAsia" w:ascii="宋体" w:hAnsi="宋体" w:cs="宋体"/>
                <w:color w:val="auto"/>
                <w:szCs w:val="21"/>
                <w:highlight w:val="none"/>
              </w:rPr>
              <w:t>有具体的服务流程说明，服务工作思路清晰合理，</w:t>
            </w:r>
            <w:r>
              <w:rPr>
                <w:rFonts w:hint="eastAsia" w:ascii="宋体" w:hAnsi="宋体"/>
                <w:color w:val="auto"/>
                <w:highlight w:val="none"/>
              </w:rPr>
              <w:t>措施合理，能满足项目需求，具有可行性。</w:t>
            </w:r>
          </w:p>
          <w:p>
            <w:pPr>
              <w:spacing w:line="420" w:lineRule="exact"/>
              <w:ind w:firstLine="420" w:firstLineChars="200"/>
              <w:rPr>
                <w:rFonts w:ascii="宋体" w:hAnsi="宋体"/>
                <w:color w:val="auto"/>
                <w:szCs w:val="20"/>
                <w:highlight w:val="none"/>
              </w:rPr>
            </w:pPr>
            <w:r>
              <w:rPr>
                <w:rFonts w:hint="eastAsia" w:ascii="宋体" w:hAnsi="宋体" w:cs="宋体"/>
                <w:color w:val="auto"/>
                <w:szCs w:val="21"/>
                <w:highlight w:val="none"/>
              </w:rPr>
              <w:t>五档（15分）：对发生紧急事件问题处理预案内容具体、全面，在确定提供的货物有质量问题，或者数量不足的情况时，并承诺退换时间4小时内的，有健全、详细、高效的服务承诺、后期售后服务方式多样有效，有详细完整的服务流程，安排详细具体，针对性强，服务工作思路全面，且考虑到项目实际情况，措施得力，充分满足项目需求，针对性、可行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45" w:type="dxa"/>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3</w:t>
            </w:r>
          </w:p>
        </w:tc>
        <w:tc>
          <w:tcPr>
            <w:tcW w:w="1105" w:type="dxa"/>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cs="宋体"/>
                <w:b/>
                <w:bCs/>
                <w:color w:val="auto"/>
                <w:kern w:val="0"/>
                <w:szCs w:val="21"/>
                <w:highlight w:val="none"/>
              </w:rPr>
            </w:pPr>
            <w:r>
              <w:rPr>
                <w:rFonts w:hint="eastAsia"/>
                <w:b/>
                <w:bCs/>
                <w:color w:val="auto"/>
                <w:highlight w:val="none"/>
              </w:rPr>
              <w:t>人员配备分（</w:t>
            </w:r>
            <w:r>
              <w:rPr>
                <w:b/>
                <w:bCs/>
                <w:color w:val="auto"/>
                <w:highlight w:val="none"/>
              </w:rPr>
              <w:t>7</w:t>
            </w:r>
            <w:r>
              <w:rPr>
                <w:rFonts w:hint="eastAsia"/>
                <w:b/>
                <w:bCs/>
                <w:color w:val="auto"/>
                <w:highlight w:val="none"/>
              </w:rPr>
              <w:t>分）</w:t>
            </w:r>
          </w:p>
        </w:tc>
        <w:tc>
          <w:tcPr>
            <w:tcW w:w="7713" w:type="dxa"/>
            <w:gridSpan w:val="2"/>
            <w:tcBorders>
              <w:top w:val="single" w:color="auto" w:sz="4" w:space="0"/>
              <w:left w:val="single" w:color="auto" w:sz="4" w:space="0"/>
              <w:right w:val="single" w:color="auto" w:sz="4" w:space="0"/>
            </w:tcBorders>
            <w:vAlign w:val="center"/>
          </w:tcPr>
          <w:p>
            <w:pPr>
              <w:spacing w:line="400" w:lineRule="exact"/>
              <w:rPr>
                <w:rFonts w:ascii="宋体" w:hAnsi="Courier New"/>
                <w:color w:val="auto"/>
                <w:kern w:val="0"/>
                <w:szCs w:val="21"/>
                <w:highlight w:val="none"/>
                <w:lang w:val="zh-TW"/>
              </w:rPr>
            </w:pPr>
            <w:r>
              <w:rPr>
                <w:rFonts w:hint="eastAsia" w:ascii="宋体" w:hAnsi="Courier New"/>
                <w:color w:val="auto"/>
                <w:kern w:val="0"/>
                <w:szCs w:val="21"/>
                <w:highlight w:val="none"/>
                <w:lang w:val="zh-TW"/>
              </w:rPr>
              <w:t>（1）拟投入本项目人员中具有食品安全管理员或食品质量管理师（投标文件中提供投标人为其缴纳的开标截止时间前半年内任意1个月的社保证明材料和相关证书或考试合格证明复印件）每提供1个得1分，最多得2分；</w:t>
            </w:r>
          </w:p>
          <w:p>
            <w:pPr>
              <w:spacing w:line="400" w:lineRule="exact"/>
              <w:rPr>
                <w:rFonts w:ascii="宋体" w:hAnsi="Courier New"/>
                <w:color w:val="auto"/>
                <w:kern w:val="0"/>
                <w:szCs w:val="21"/>
                <w:highlight w:val="none"/>
                <w:lang w:val="zh-TW"/>
              </w:rPr>
            </w:pPr>
            <w:r>
              <w:rPr>
                <w:rFonts w:hint="eastAsia" w:ascii="宋体" w:hAnsi="Courier New"/>
                <w:color w:val="auto"/>
                <w:kern w:val="0"/>
                <w:szCs w:val="21"/>
                <w:highlight w:val="none"/>
                <w:lang w:val="zh-TW"/>
              </w:rPr>
              <w:t>（2）拟投入本项目人员中配备有食品检验人员的（投标文件中提供投标人为其缴纳的开标截止时间前半年内任意1个月的社保证明材料及相关证书复印件），每提供1个得1分，最多得2分；</w:t>
            </w:r>
          </w:p>
          <w:p>
            <w:pPr>
              <w:spacing w:line="400" w:lineRule="exact"/>
              <w:rPr>
                <w:rFonts w:ascii="宋体" w:hAnsi="宋体"/>
                <w:color w:val="auto"/>
                <w:szCs w:val="20"/>
                <w:highlight w:val="none"/>
              </w:rPr>
            </w:pPr>
            <w:r>
              <w:rPr>
                <w:rFonts w:hint="eastAsia" w:ascii="宋体" w:hAnsi="Courier New"/>
                <w:color w:val="auto"/>
                <w:kern w:val="0"/>
                <w:szCs w:val="21"/>
                <w:highlight w:val="none"/>
                <w:lang w:val="zh-TW"/>
              </w:rPr>
              <w:t>（</w:t>
            </w:r>
            <w:r>
              <w:rPr>
                <w:rFonts w:hint="eastAsia" w:ascii="宋体" w:hAnsi="Courier New"/>
                <w:color w:val="auto"/>
                <w:kern w:val="0"/>
                <w:szCs w:val="21"/>
                <w:highlight w:val="none"/>
                <w:lang w:val="en-US" w:eastAsia="zh-CN"/>
              </w:rPr>
              <w:t>3</w:t>
            </w:r>
            <w:r>
              <w:rPr>
                <w:rFonts w:hint="eastAsia" w:ascii="宋体" w:hAnsi="Courier New"/>
                <w:color w:val="auto"/>
                <w:kern w:val="0"/>
                <w:szCs w:val="21"/>
                <w:highlight w:val="none"/>
                <w:lang w:val="zh-TW"/>
              </w:rPr>
              <w:t>）拟投入本项目人员中配备有专职配送人员的（投标文件中提供投标人为其缴纳的开标截止时间前半年内任意1个月的社保证明材料及健康证复印件），每提供1个得1分，最多得</w:t>
            </w:r>
            <w:r>
              <w:rPr>
                <w:rFonts w:hint="eastAsia" w:ascii="宋体" w:hAnsi="Courier New"/>
                <w:color w:val="auto"/>
                <w:kern w:val="0"/>
                <w:szCs w:val="21"/>
                <w:highlight w:val="none"/>
              </w:rPr>
              <w:t>3</w:t>
            </w:r>
            <w:r>
              <w:rPr>
                <w:rFonts w:hint="eastAsia" w:ascii="宋体" w:hAnsi="Courier New"/>
                <w:color w:val="auto"/>
                <w:kern w:val="0"/>
                <w:szCs w:val="21"/>
                <w:highlight w:val="none"/>
                <w:lang w:val="zh-TW"/>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645" w:type="dxa"/>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b/>
                <w:color w:val="auto"/>
                <w:szCs w:val="21"/>
                <w:highlight w:val="none"/>
              </w:rPr>
            </w:pPr>
            <w:r>
              <w:rPr>
                <w:rFonts w:hint="eastAsia" w:ascii="宋体" w:hAnsi="宋体"/>
                <w:b/>
                <w:color w:val="auto"/>
                <w:szCs w:val="21"/>
                <w:highlight w:val="none"/>
              </w:rPr>
              <w:t>4</w:t>
            </w:r>
          </w:p>
        </w:tc>
        <w:tc>
          <w:tcPr>
            <w:tcW w:w="1105" w:type="dxa"/>
            <w:tcBorders>
              <w:left w:val="single" w:color="auto" w:sz="4" w:space="0"/>
              <w:right w:val="single" w:color="auto" w:sz="4" w:space="0"/>
            </w:tcBorders>
            <w:vAlign w:val="center"/>
          </w:tcPr>
          <w:p>
            <w:pPr>
              <w:adjustRightInd w:val="0"/>
              <w:snapToGrid w:val="0"/>
              <w:spacing w:line="320" w:lineRule="exact"/>
              <w:jc w:val="center"/>
              <w:textAlignment w:val="baseline"/>
              <w:rPr>
                <w:rFonts w:ascii="宋体" w:hAnsi="宋体" w:cs="宋体"/>
                <w:b/>
                <w:bCs/>
                <w:color w:val="auto"/>
                <w:kern w:val="0"/>
                <w:szCs w:val="21"/>
                <w:highlight w:val="none"/>
              </w:rPr>
            </w:pPr>
            <w:r>
              <w:rPr>
                <w:rFonts w:hint="eastAsia" w:ascii="宋体" w:hAnsi="宋体" w:cs="宋体"/>
                <w:b/>
                <w:bCs/>
                <w:color w:val="auto"/>
                <w:kern w:val="0"/>
                <w:szCs w:val="21"/>
                <w:highlight w:val="none"/>
              </w:rPr>
              <w:t>履约能力分（</w:t>
            </w:r>
            <w:r>
              <w:rPr>
                <w:rFonts w:ascii="宋体" w:hAnsi="宋体" w:cs="宋体"/>
                <w:b/>
                <w:bCs/>
                <w:color w:val="auto"/>
                <w:kern w:val="0"/>
                <w:szCs w:val="21"/>
                <w:highlight w:val="none"/>
              </w:rPr>
              <w:t>18</w:t>
            </w:r>
            <w:r>
              <w:rPr>
                <w:rFonts w:hint="eastAsia" w:ascii="宋体" w:hAnsi="宋体" w:cs="宋体"/>
                <w:b/>
                <w:bCs/>
                <w:color w:val="auto"/>
                <w:kern w:val="0"/>
                <w:szCs w:val="21"/>
                <w:highlight w:val="none"/>
              </w:rPr>
              <w:t>分）</w:t>
            </w:r>
          </w:p>
        </w:tc>
        <w:tc>
          <w:tcPr>
            <w:tcW w:w="7713" w:type="dxa"/>
            <w:gridSpan w:val="2"/>
            <w:tcBorders>
              <w:top w:val="single" w:color="auto" w:sz="4" w:space="0"/>
              <w:left w:val="single" w:color="auto" w:sz="4" w:space="0"/>
              <w:right w:val="single" w:color="auto" w:sz="4" w:space="0"/>
            </w:tcBorders>
            <w:vAlign w:val="center"/>
          </w:tcPr>
          <w:p>
            <w:pPr>
              <w:numPr>
                <w:ilvl w:val="0"/>
                <w:numId w:val="0"/>
              </w:numPr>
              <w:spacing w:line="400" w:lineRule="exact"/>
              <w:rPr>
                <w:rFonts w:ascii="宋体" w:hAnsi="宋体" w:cs="Arial"/>
                <w:color w:val="auto"/>
                <w:szCs w:val="21"/>
                <w:highlight w:val="none"/>
              </w:rPr>
            </w:pPr>
            <w:r>
              <w:rPr>
                <w:rFonts w:ascii="宋体" w:hAnsi="宋体" w:eastAsia="宋体" w:cs="Arial"/>
                <w:color w:val="auto"/>
                <w:kern w:val="2"/>
                <w:sz w:val="21"/>
                <w:szCs w:val="21"/>
                <w:highlight w:val="none"/>
                <w:lang w:val="en-US" w:eastAsia="zh-CN" w:bidi="ar-SA"/>
              </w:rPr>
              <w:t>（1）</w:t>
            </w:r>
            <w:r>
              <w:rPr>
                <w:rFonts w:hint="eastAsia" w:ascii="宋体" w:hAnsi="宋体" w:cs="Arial"/>
                <w:color w:val="auto"/>
                <w:szCs w:val="21"/>
                <w:highlight w:val="none"/>
              </w:rPr>
              <w:t>供应商提供有效的：质量管理体系认证证书、食品安全管理体系认证证书（认证范围：蔬菜、禽畜肉、预包装食品（冻品）的配送），每一项得1分，本项最多得2分。</w:t>
            </w:r>
          </w:p>
          <w:p>
            <w:pPr>
              <w:spacing w:line="400" w:lineRule="exact"/>
              <w:rPr>
                <w:rFonts w:ascii="宋体" w:hAnsi="Courier New"/>
                <w:color w:val="auto"/>
                <w:kern w:val="0"/>
                <w:szCs w:val="21"/>
                <w:highlight w:val="none"/>
              </w:rPr>
            </w:pPr>
            <w:r>
              <w:rPr>
                <w:rFonts w:hint="eastAsia" w:ascii="宋体" w:hAnsi="Courier New"/>
                <w:color w:val="auto"/>
                <w:kern w:val="0"/>
                <w:szCs w:val="21"/>
                <w:highlight w:val="none"/>
              </w:rPr>
              <w:t>（2）储藏保障能力分：投标人在桂林市内具有自有冷冻库或租赁冷冻库的，在100立方米（含100立方米）的得1分</w:t>
            </w:r>
            <w:r>
              <w:rPr>
                <w:rFonts w:hint="eastAsia" w:ascii="宋体" w:hAnsi="Courier New"/>
                <w:color w:val="auto"/>
                <w:kern w:val="0"/>
                <w:szCs w:val="21"/>
                <w:highlight w:val="none"/>
                <w:lang w:eastAsia="zh-CN"/>
              </w:rPr>
              <w:t>，</w:t>
            </w:r>
            <w:r>
              <w:rPr>
                <w:rFonts w:hint="eastAsia" w:ascii="宋体" w:hAnsi="Courier New"/>
                <w:color w:val="auto"/>
                <w:kern w:val="0"/>
                <w:szCs w:val="21"/>
                <w:highlight w:val="none"/>
                <w:lang w:val="en-US" w:eastAsia="zh-CN"/>
              </w:rPr>
              <w:t>不足</w:t>
            </w:r>
            <w:r>
              <w:rPr>
                <w:rFonts w:hint="eastAsia" w:ascii="宋体" w:hAnsi="Courier New"/>
                <w:color w:val="auto"/>
                <w:kern w:val="0"/>
                <w:szCs w:val="21"/>
                <w:highlight w:val="none"/>
              </w:rPr>
              <w:t>100立方米</w:t>
            </w:r>
            <w:r>
              <w:rPr>
                <w:rFonts w:hint="eastAsia" w:ascii="宋体" w:hAnsi="Courier New"/>
                <w:color w:val="auto"/>
                <w:kern w:val="0"/>
                <w:szCs w:val="21"/>
                <w:highlight w:val="none"/>
                <w:lang w:val="en-US" w:eastAsia="zh-CN"/>
              </w:rPr>
              <w:t>的不得分</w:t>
            </w:r>
            <w:r>
              <w:rPr>
                <w:rFonts w:hint="eastAsia" w:ascii="宋体" w:hAnsi="Courier New"/>
                <w:color w:val="auto"/>
                <w:kern w:val="0"/>
                <w:szCs w:val="21"/>
                <w:highlight w:val="none"/>
              </w:rPr>
              <w:t>，每增加100立方米加1分【投标文件中提供相关有效证明材料（包括但不限于：冷库及设备相关照片、投标人所有权属场地的不动产权证复印件或场地的租赁合同复印件等）】，最多得4分。</w:t>
            </w:r>
          </w:p>
          <w:p>
            <w:pPr>
              <w:spacing w:line="400" w:lineRule="exact"/>
              <w:rPr>
                <w:rFonts w:ascii="宋体" w:hAnsi="Courier New"/>
                <w:color w:val="auto"/>
                <w:kern w:val="0"/>
                <w:szCs w:val="21"/>
                <w:highlight w:val="none"/>
              </w:rPr>
            </w:pPr>
            <w:r>
              <w:rPr>
                <w:rFonts w:hint="eastAsia" w:ascii="宋体" w:hAnsi="Courier New"/>
                <w:color w:val="auto"/>
                <w:kern w:val="0"/>
                <w:szCs w:val="21"/>
                <w:highlight w:val="none"/>
              </w:rPr>
              <w:t>（3）配送能力分：投标人具有自有冷链（冷藏）运输车辆的，每提供1台得1分；具有自有其它类型运输车辆的，每提供1台得0.5分（投标文件中提供相关运输车辆的机动车行驶证复印件及运输车辆照片），最多得3分。</w:t>
            </w:r>
          </w:p>
          <w:p>
            <w:pPr>
              <w:spacing w:line="400" w:lineRule="exact"/>
              <w:rPr>
                <w:rFonts w:ascii="宋体" w:hAnsi="Courier New"/>
                <w:color w:val="auto"/>
                <w:kern w:val="0"/>
                <w:szCs w:val="21"/>
                <w:highlight w:val="none"/>
              </w:rPr>
            </w:pPr>
            <w:r>
              <w:rPr>
                <w:rFonts w:hint="eastAsia" w:ascii="宋体" w:hAnsi="Courier New"/>
                <w:color w:val="auto"/>
                <w:kern w:val="0"/>
                <w:szCs w:val="21"/>
                <w:highlight w:val="none"/>
              </w:rPr>
              <w:t xml:space="preserve">（4）食品安全责任险分：食品安全责任险投保金额为400万元（含400万元）的得1分，每增加200 万  加1分（投标文件中提供投保保单及发票复印件），最多得4分。   </w:t>
            </w:r>
          </w:p>
          <w:p>
            <w:pPr>
              <w:spacing w:line="400" w:lineRule="exact"/>
              <w:rPr>
                <w:rFonts w:ascii="宋体" w:hAnsi="Courier New"/>
                <w:color w:val="auto"/>
                <w:kern w:val="0"/>
                <w:szCs w:val="21"/>
                <w:highlight w:val="none"/>
              </w:rPr>
            </w:pPr>
            <w:r>
              <w:rPr>
                <w:rFonts w:hint="eastAsia" w:ascii="宋体" w:hAnsi="Courier New"/>
                <w:color w:val="auto"/>
                <w:kern w:val="0"/>
                <w:szCs w:val="21"/>
                <w:highlight w:val="none"/>
              </w:rPr>
              <w:t>（5）</w:t>
            </w:r>
            <w:r>
              <w:rPr>
                <w:rFonts w:hint="eastAsia" w:ascii="宋体" w:hAnsi="宋体" w:cs="宋体"/>
                <w:color w:val="auto"/>
                <w:kern w:val="0"/>
                <w:szCs w:val="21"/>
                <w:highlight w:val="none"/>
              </w:rPr>
              <w:t>投标人具备食品检验检测能力的，得2分（提供公司购买检验检测设备发票复印件及图片）。</w:t>
            </w:r>
            <w:r>
              <w:rPr>
                <w:rFonts w:hint="eastAsia" w:ascii="宋体" w:hAnsi="Courier New"/>
                <w:color w:val="auto"/>
                <w:kern w:val="0"/>
                <w:szCs w:val="21"/>
                <w:highlight w:val="none"/>
              </w:rPr>
              <w:t xml:space="preserve"> </w:t>
            </w:r>
          </w:p>
          <w:p>
            <w:pPr>
              <w:spacing w:line="400" w:lineRule="exact"/>
              <w:rPr>
                <w:rFonts w:ascii="宋体" w:hAnsi="Courier New"/>
                <w:color w:val="auto"/>
                <w:kern w:val="0"/>
                <w:szCs w:val="21"/>
                <w:highlight w:val="none"/>
              </w:rPr>
            </w:pPr>
            <w:r>
              <w:rPr>
                <w:rFonts w:hint="eastAsia" w:ascii="宋体" w:hAnsi="Courier New"/>
                <w:color w:val="auto"/>
                <w:kern w:val="0"/>
                <w:szCs w:val="21"/>
                <w:highlight w:val="none"/>
              </w:rPr>
              <w:t xml:space="preserve">（6）投标人2020年以来同类项目业绩 【无不良记录，以中标、成交通知书或签订的项目合同复印件及任意一个月的发票为准，同一个编号的项目有两个或两个以上的分标中标（成交）的只算一次】，每具有1个得0.5分，最多得3分。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463" w:type="dxa"/>
            <w:gridSpan w:val="4"/>
            <w:tcBorders>
              <w:top w:val="single" w:color="auto" w:sz="4" w:space="0"/>
              <w:left w:val="single" w:color="auto" w:sz="4" w:space="0"/>
              <w:bottom w:val="single" w:color="auto" w:sz="4" w:space="0"/>
              <w:right w:val="single" w:color="auto" w:sz="4" w:space="0"/>
            </w:tcBorders>
            <w:vAlign w:val="center"/>
          </w:tcPr>
          <w:p>
            <w:pPr>
              <w:pStyle w:val="11"/>
              <w:adjustRightInd w:val="0"/>
              <w:snapToGrid w:val="0"/>
              <w:spacing w:line="320" w:lineRule="exact"/>
              <w:rPr>
                <w:rFonts w:hint="default" w:hAnsi="宋体" w:eastAsia="宋体" w:cs="Courier New"/>
                <w:bCs/>
                <w:color w:val="auto"/>
                <w:szCs w:val="21"/>
                <w:highlight w:val="none"/>
                <w:lang w:val="en-US" w:eastAsia="zh-CN"/>
              </w:rPr>
            </w:pPr>
            <w:r>
              <w:rPr>
                <w:rFonts w:hint="eastAsia" w:hAnsi="宋体" w:cs="Courier New"/>
                <w:bCs/>
                <w:color w:val="auto"/>
                <w:szCs w:val="21"/>
                <w:highlight w:val="none"/>
              </w:rPr>
              <w:t>总得分=1+2+3</w:t>
            </w:r>
            <w:r>
              <w:rPr>
                <w:rFonts w:hint="eastAsia" w:hAnsi="宋体" w:cs="Courier New"/>
                <w:bCs/>
                <w:color w:val="auto"/>
                <w:szCs w:val="21"/>
                <w:highlight w:val="none"/>
                <w:lang w:val="en-US" w:eastAsia="zh-CN"/>
              </w:rPr>
              <w:t>+4</w:t>
            </w:r>
          </w:p>
        </w:tc>
      </w:tr>
    </w:tbl>
    <w:p>
      <w:pPr>
        <w:pStyle w:val="11"/>
        <w:tabs>
          <w:tab w:val="left" w:pos="4214"/>
        </w:tabs>
        <w:spacing w:line="360" w:lineRule="auto"/>
        <w:ind w:firstLine="420" w:firstLineChars="200"/>
        <w:rPr>
          <w:rFonts w:hAnsi="宋体" w:cs="宋体"/>
          <w:b/>
          <w:color w:val="auto"/>
          <w:szCs w:val="21"/>
          <w:highlight w:val="none"/>
        </w:rPr>
      </w:pPr>
      <w:r>
        <w:rPr>
          <w:rFonts w:hint="eastAsia" w:hAnsi="宋体" w:cs="宋体"/>
          <w:b/>
          <w:color w:val="auto"/>
          <w:szCs w:val="21"/>
          <w:highlight w:val="none"/>
        </w:rPr>
        <w:t>三、推荐及确定成交候选供应商原则</w:t>
      </w:r>
    </w:p>
    <w:p>
      <w:pPr>
        <w:pStyle w:val="11"/>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1.评标委员会根据综合得分由高到低排列次序，若得分相同时，按评标价由低到高顺序排列；得分相同且评标价也相同的由评标委员会按照抽签的方式决定排次次序。</w:t>
      </w:r>
    </w:p>
    <w:p>
      <w:pPr>
        <w:pStyle w:val="11"/>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2.评标委员会可推荐前三名为成交候选人，采购人应当确定评标委员会推荐排名第一的成交候选人为成交人。</w:t>
      </w:r>
    </w:p>
    <w:p>
      <w:pPr>
        <w:pStyle w:val="11"/>
        <w:tabs>
          <w:tab w:val="left" w:pos="4214"/>
        </w:tabs>
        <w:spacing w:line="360" w:lineRule="auto"/>
        <w:ind w:firstLine="420" w:firstLineChars="200"/>
        <w:rPr>
          <w:rFonts w:hAnsi="宋体" w:cs="宋体"/>
          <w:color w:val="auto"/>
          <w:szCs w:val="21"/>
          <w:highlight w:val="none"/>
        </w:rPr>
      </w:pPr>
      <w:r>
        <w:rPr>
          <w:rFonts w:hint="eastAsia" w:hAnsi="宋体" w:cs="宋体"/>
          <w:color w:val="auto"/>
          <w:szCs w:val="21"/>
          <w:highlight w:val="none"/>
        </w:rPr>
        <w:t>3.排名第一的成交候选人放弃成交、因不可抗力提出不能履行合同，或者招标文件规定应当提交履约保证金而在规定的期限内未能提交的，或因失信行为被取消成交候选人资格的，采购人可以确定排名第二的成交候选人为成交人，并依此类推。</w:t>
      </w:r>
    </w:p>
    <w:p>
      <w:pPr>
        <w:spacing w:line="360" w:lineRule="auto"/>
        <w:ind w:firstLine="424" w:firstLineChars="202"/>
        <w:jc w:val="left"/>
        <w:rPr>
          <w:rFonts w:ascii="宋体" w:hAnsi="宋体" w:cs="宋体"/>
          <w:b/>
          <w:color w:val="auto"/>
          <w:szCs w:val="21"/>
          <w:highlight w:val="none"/>
        </w:rPr>
      </w:pPr>
      <w:r>
        <w:rPr>
          <w:rFonts w:hint="eastAsia" w:ascii="宋体" w:hAnsi="宋体" w:cs="宋体"/>
          <w:b/>
          <w:color w:val="auto"/>
          <w:szCs w:val="21"/>
          <w:highlight w:val="none"/>
        </w:rPr>
        <w:t>四、特别说明</w:t>
      </w:r>
    </w:p>
    <w:p>
      <w:pPr>
        <w:spacing w:line="340" w:lineRule="exact"/>
        <w:ind w:firstLine="420" w:firstLineChars="200"/>
        <w:rPr>
          <w:rFonts w:ascii="宋体" w:hAnsi="宋体" w:cs="宋体"/>
          <w:color w:val="auto"/>
          <w:kern w:val="0"/>
          <w:highlight w:val="none"/>
        </w:rPr>
      </w:pPr>
      <w:r>
        <w:rPr>
          <w:rFonts w:hint="eastAsia" w:ascii="宋体" w:hAnsi="宋体" w:cs="宋体"/>
          <w:b/>
          <w:bCs/>
          <w:color w:val="auto"/>
          <w:szCs w:val="21"/>
          <w:highlight w:val="none"/>
          <w:u w:val="double"/>
        </w:rPr>
        <w:t>评审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jc w:val="left"/>
        <w:rPr>
          <w:color w:val="auto"/>
          <w:highlight w:val="none"/>
        </w:rPr>
      </w:pPr>
    </w:p>
    <w:p>
      <w:pPr>
        <w:pStyle w:val="8"/>
        <w:spacing w:line="360" w:lineRule="auto"/>
        <w:rPr>
          <w:rFonts w:ascii="宋体" w:hAnsi="宋体" w:cs="宋体"/>
          <w:b/>
          <w:bCs/>
          <w:color w:val="auto"/>
          <w:szCs w:val="21"/>
          <w:highlight w:val="none"/>
        </w:rPr>
      </w:pPr>
    </w:p>
    <w:p>
      <w:pPr>
        <w:pStyle w:val="20"/>
        <w:ind w:left="0" w:leftChars="0" w:firstLine="0" w:firstLineChars="0"/>
        <w:rPr>
          <w:rFonts w:ascii="宋体" w:hAnsi="宋体" w:cs="宋体"/>
          <w:b/>
          <w:color w:val="auto"/>
          <w:sz w:val="28"/>
          <w:szCs w:val="28"/>
          <w:highlight w:val="none"/>
        </w:rPr>
      </w:pPr>
    </w:p>
    <w:p>
      <w:pPr>
        <w:spacing w:line="280" w:lineRule="exact"/>
        <w:rPr>
          <w:rFonts w:ascii="宋体" w:hAnsi="宋体" w:cs="宋体"/>
          <w:b/>
          <w:bCs/>
          <w:color w:val="auto"/>
          <w:sz w:val="24"/>
          <w:highlight w:val="none"/>
        </w:rPr>
      </w:pPr>
    </w:p>
    <w:p>
      <w:pPr>
        <w:widowControl/>
        <w:jc w:val="left"/>
        <w:rPr>
          <w:rFonts w:ascii="Calibri" w:hAnsi="Calibri"/>
          <w:b/>
          <w:color w:val="auto"/>
          <w:sz w:val="32"/>
          <w:highlight w:val="none"/>
        </w:rPr>
      </w:pPr>
      <w:r>
        <w:rPr>
          <w:color w:val="auto"/>
          <w:highlight w:val="none"/>
        </w:rPr>
        <w:br w:type="page"/>
      </w:r>
    </w:p>
    <w:p>
      <w:pPr>
        <w:pStyle w:val="4"/>
        <w:rPr>
          <w:color w:val="auto"/>
          <w:highlight w:val="none"/>
        </w:rPr>
      </w:pPr>
      <w:bookmarkStart w:id="111" w:name="_Toc155802483"/>
      <w:r>
        <w:rPr>
          <w:rFonts w:hint="eastAsia"/>
          <w:color w:val="auto"/>
          <w:highlight w:val="none"/>
        </w:rPr>
        <w:t>附表</w:t>
      </w:r>
      <w:bookmarkEnd w:id="111"/>
    </w:p>
    <w:p>
      <w:pPr>
        <w:widowControl/>
        <w:spacing w:before="156" w:beforeLines="50" w:after="156" w:afterLines="50" w:line="280" w:lineRule="exact"/>
        <w:jc w:val="center"/>
        <w:rPr>
          <w:rFonts w:ascii="宋体" w:hAnsi="宋体" w:cs="宋体"/>
          <w:b/>
          <w:bCs/>
          <w:color w:val="auto"/>
          <w:kern w:val="0"/>
          <w:sz w:val="30"/>
          <w:szCs w:val="30"/>
          <w:highlight w:val="none"/>
        </w:rPr>
      </w:pPr>
      <w:bookmarkStart w:id="112" w:name="_Toc28361_WPSOffice_Level2"/>
      <w:r>
        <w:rPr>
          <w:rFonts w:hint="eastAsia" w:ascii="宋体" w:hAnsi="宋体" w:cs="宋体"/>
          <w:b/>
          <w:bCs/>
          <w:color w:val="auto"/>
          <w:kern w:val="0"/>
          <w:sz w:val="30"/>
          <w:szCs w:val="30"/>
          <w:highlight w:val="none"/>
        </w:rPr>
        <w:t>统计上大中小微型企业划分标准</w:t>
      </w:r>
      <w:bookmarkEnd w:id="112"/>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r>
              <w:rPr>
                <w:rFonts w:hint="eastAsia" w:ascii="宋体" w:hAnsi="宋体" w:cs="宋体"/>
                <w:b/>
                <w:bCs/>
                <w:color w:val="auto"/>
                <w:kern w:val="0"/>
                <w:sz w:val="18"/>
                <w:szCs w:val="18"/>
                <w:highlight w:val="none"/>
              </w:rPr>
              <w:br w:type="textWrapping"/>
            </w:r>
            <w:r>
              <w:rPr>
                <w:rFonts w:hint="eastAsia" w:ascii="宋体" w:hAnsi="宋体" w:cs="宋体"/>
                <w:b/>
                <w:bCs/>
                <w:color w:val="auto"/>
                <w:kern w:val="0"/>
                <w:sz w:val="18"/>
                <w:szCs w:val="18"/>
                <w:highlight w:val="none"/>
              </w:rPr>
              <w:t>单位</w:t>
            </w:r>
          </w:p>
        </w:tc>
        <w:tc>
          <w:tcPr>
            <w:tcW w:w="1125"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FFFFFF"/>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280" w:lineRule="exact"/>
        <w:rPr>
          <w:rFonts w:ascii="宋体" w:hAnsi="宋体" w:cs="宋体"/>
          <w:color w:val="auto"/>
          <w:spacing w:val="8"/>
          <w:kern w:val="0"/>
          <w:sz w:val="24"/>
          <w:highlight w:val="none"/>
        </w:rPr>
      </w:pPr>
    </w:p>
    <w:p>
      <w:pPr>
        <w:widowControl/>
        <w:spacing w:line="280" w:lineRule="exact"/>
        <w:rPr>
          <w:rFonts w:ascii="宋体" w:hAnsi="宋体" w:cs="宋体"/>
          <w:color w:val="auto"/>
          <w:spacing w:val="8"/>
          <w:kern w:val="0"/>
          <w:sz w:val="24"/>
          <w:highlight w:val="none"/>
        </w:rPr>
      </w:pPr>
    </w:p>
    <w:p>
      <w:pPr>
        <w:widowControl/>
        <w:spacing w:line="280" w:lineRule="exact"/>
        <w:rPr>
          <w:rFonts w:ascii="宋体" w:hAnsi="宋体" w:cs="宋体"/>
          <w:color w:val="auto"/>
          <w:spacing w:val="8"/>
          <w:kern w:val="0"/>
          <w:sz w:val="24"/>
          <w:highlight w:val="none"/>
        </w:rPr>
      </w:pPr>
      <w:r>
        <w:rPr>
          <w:rFonts w:hint="eastAsia" w:ascii="宋体" w:hAnsi="宋体" w:cs="宋体"/>
          <w:color w:val="auto"/>
          <w:spacing w:val="8"/>
          <w:kern w:val="0"/>
          <w:sz w:val="24"/>
          <w:highlight w:val="none"/>
        </w:rPr>
        <w:t>说明：</w:t>
      </w:r>
    </w:p>
    <w:p>
      <w:pPr>
        <w:pStyle w:val="11"/>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1.大型、中型和小型企业须同时满足所列指标的下限，否则下划一档；微型企业只须满足所列指标中的一项即可。</w:t>
      </w:r>
    </w:p>
    <w:p>
      <w:pPr>
        <w:pStyle w:val="11"/>
        <w:adjustRightInd w:val="0"/>
        <w:spacing w:line="280" w:lineRule="exact"/>
        <w:ind w:firstLine="512" w:firstLineChars="200"/>
        <w:contextualSpacing/>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1"/>
        <w:spacing w:line="280" w:lineRule="exact"/>
        <w:ind w:firstLine="512" w:firstLineChars="200"/>
        <w:rPr>
          <w:rFonts w:hAnsi="宋体" w:cs="宋体"/>
          <w:color w:val="auto"/>
          <w:spacing w:val="8"/>
          <w:kern w:val="0"/>
          <w:sz w:val="24"/>
          <w:szCs w:val="24"/>
          <w:highlight w:val="none"/>
        </w:rPr>
      </w:pPr>
      <w:r>
        <w:rPr>
          <w:rFonts w:hint="eastAsia" w:hAnsi="宋体" w:cs="宋体"/>
          <w:color w:val="auto"/>
          <w:spacing w:val="8"/>
          <w:kern w:val="0"/>
          <w:sz w:val="24"/>
          <w:szCs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113" w:name="_Toc4774"/>
      <w:bookmarkStart w:id="114" w:name="_Toc8466"/>
    </w:p>
    <w:p>
      <w:pPr>
        <w:pStyle w:val="6"/>
        <w:rPr>
          <w:rFonts w:ascii="宋体" w:hAnsi="宋体" w:cs="宋体"/>
          <w:color w:val="auto"/>
          <w:spacing w:val="8"/>
          <w:kern w:val="0"/>
          <w:sz w:val="24"/>
          <w:highlight w:val="none"/>
        </w:rPr>
      </w:pPr>
    </w:p>
    <w:p>
      <w:pPr>
        <w:rPr>
          <w:rFonts w:ascii="宋体" w:hAnsi="宋体" w:cs="宋体"/>
          <w:color w:val="auto"/>
          <w:spacing w:val="8"/>
          <w:kern w:val="0"/>
          <w:sz w:val="24"/>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pStyle w:val="26"/>
        <w:rPr>
          <w:rFonts w:ascii="宋体" w:hAnsi="宋体" w:cs="宋体"/>
          <w:color w:val="auto"/>
          <w:highlight w:val="none"/>
        </w:rPr>
      </w:pPr>
    </w:p>
    <w:p>
      <w:pPr>
        <w:rPr>
          <w:rFonts w:ascii="宋体" w:hAnsi="宋体" w:cs="宋体"/>
          <w:color w:val="auto"/>
          <w:highlight w:val="none"/>
        </w:rPr>
      </w:pPr>
    </w:p>
    <w:p>
      <w:pPr>
        <w:pStyle w:val="2"/>
        <w:tabs>
          <w:tab w:val="left" w:pos="0"/>
        </w:tabs>
        <w:autoSpaceDE w:val="0"/>
        <w:autoSpaceDN w:val="0"/>
        <w:adjustRightInd w:val="0"/>
        <w:spacing w:before="0" w:after="0" w:line="360" w:lineRule="auto"/>
        <w:jc w:val="center"/>
        <w:rPr>
          <w:rFonts w:ascii="宋体" w:hAnsi="宋体" w:cs="宋体"/>
          <w:color w:val="auto"/>
          <w:sz w:val="32"/>
          <w:szCs w:val="32"/>
          <w:highlight w:val="none"/>
        </w:rPr>
      </w:pPr>
      <w:bookmarkStart w:id="115" w:name="_Toc155802484"/>
      <w:r>
        <w:rPr>
          <w:rFonts w:hint="eastAsia" w:ascii="宋体" w:hAnsi="宋体" w:cs="宋体"/>
          <w:color w:val="auto"/>
          <w:sz w:val="32"/>
          <w:szCs w:val="32"/>
          <w:highlight w:val="none"/>
        </w:rPr>
        <w:t>第五章 采购合同（合同主要条款及格式）</w:t>
      </w:r>
      <w:bookmarkEnd w:id="113"/>
      <w:bookmarkEnd w:id="114"/>
      <w:bookmarkEnd w:id="115"/>
    </w:p>
    <w:p>
      <w:pPr>
        <w:spacing w:line="420" w:lineRule="exact"/>
        <w:rPr>
          <w:rFonts w:ascii="宋体" w:hAnsi="宋体" w:cs="宋体"/>
          <w:color w:val="auto"/>
          <w:szCs w:val="21"/>
          <w:highlight w:val="none"/>
        </w:rPr>
      </w:pPr>
      <w:r>
        <w:rPr>
          <w:rFonts w:hint="eastAsia" w:ascii="宋体" w:hAnsi="宋体" w:cs="宋体"/>
          <w:color w:val="auto"/>
          <w:szCs w:val="21"/>
          <w:highlight w:val="none"/>
        </w:rPr>
        <w:t>合同编号：GLZC2024-C3-990013-GXAZ</w:t>
      </w:r>
    </w:p>
    <w:p>
      <w:pPr>
        <w:spacing w:line="420" w:lineRule="exact"/>
        <w:rPr>
          <w:rFonts w:ascii="宋体" w:hAnsi="宋体" w:cs="宋体"/>
          <w:color w:val="auto"/>
          <w:szCs w:val="21"/>
          <w:highlight w:val="none"/>
        </w:rPr>
      </w:pPr>
      <w:r>
        <w:rPr>
          <w:rFonts w:hint="eastAsia" w:ascii="宋体" w:hAnsi="宋体" w:cs="宋体"/>
          <w:color w:val="auto"/>
          <w:szCs w:val="21"/>
          <w:highlight w:val="none"/>
        </w:rPr>
        <w:t xml:space="preserve">项目名称：桂林市公安局秀峰分局食堂食材定点采购项目  </w:t>
      </w:r>
    </w:p>
    <w:p>
      <w:pPr>
        <w:spacing w:line="360" w:lineRule="auto"/>
        <w:rPr>
          <w:rFonts w:ascii="宋体" w:hAnsi="宋体" w:cs="宋体"/>
          <w:color w:val="auto"/>
          <w:highlight w:val="none"/>
        </w:rPr>
      </w:pPr>
    </w:p>
    <w:p>
      <w:pPr>
        <w:spacing w:line="360" w:lineRule="auto"/>
        <w:rPr>
          <w:rFonts w:ascii="宋体" w:hAnsi="宋体" w:cs="宋体"/>
          <w:color w:val="auto"/>
          <w:highlight w:val="none"/>
        </w:rPr>
      </w:pPr>
      <w:r>
        <w:rPr>
          <w:rFonts w:hint="eastAsia" w:ascii="宋体" w:hAnsi="宋体" w:cs="宋体"/>
          <w:color w:val="auto"/>
          <w:highlight w:val="none"/>
        </w:rPr>
        <w:t>甲方：</w:t>
      </w:r>
      <w:r>
        <w:rPr>
          <w:rFonts w:hint="eastAsia" w:ascii="宋体" w:hAnsi="宋体" w:cs="宋体"/>
          <w:color w:val="auto"/>
          <w:highlight w:val="none"/>
          <w:u w:val="single"/>
        </w:rPr>
        <w:t xml:space="preserve">    业主单位名称         </w:t>
      </w:r>
      <w:r>
        <w:rPr>
          <w:rFonts w:hint="eastAsia" w:ascii="宋体" w:hAnsi="宋体" w:cs="宋体"/>
          <w:color w:val="auto"/>
          <w:highlight w:val="none"/>
        </w:rPr>
        <w:t>（采购人）</w:t>
      </w:r>
    </w:p>
    <w:p>
      <w:pPr>
        <w:spacing w:line="360" w:lineRule="auto"/>
        <w:rPr>
          <w:rFonts w:ascii="宋体" w:hAnsi="宋体" w:cs="宋体"/>
          <w:color w:val="auto"/>
          <w:highlight w:val="none"/>
        </w:rPr>
      </w:pPr>
      <w:r>
        <w:rPr>
          <w:rFonts w:hint="eastAsia" w:ascii="宋体" w:hAnsi="宋体" w:cs="宋体"/>
          <w:color w:val="auto"/>
          <w:highlight w:val="none"/>
        </w:rPr>
        <w:t>乙方：</w:t>
      </w:r>
      <w:r>
        <w:rPr>
          <w:rFonts w:hint="eastAsia" w:ascii="宋体" w:hAnsi="宋体" w:cs="宋体"/>
          <w:color w:val="auto"/>
          <w:highlight w:val="none"/>
          <w:u w:val="single"/>
        </w:rPr>
        <w:t xml:space="preserve">                                                      </w:t>
      </w:r>
      <w:r>
        <w:rPr>
          <w:rFonts w:hint="eastAsia" w:ascii="宋体" w:hAnsi="宋体" w:cs="宋体"/>
          <w:color w:val="auto"/>
          <w:highlight w:val="none"/>
        </w:rPr>
        <w:t>（成交供应商）</w:t>
      </w:r>
    </w:p>
    <w:p>
      <w:pPr>
        <w:widowControl/>
        <w:ind w:firstLine="420" w:firstLineChars="200"/>
        <w:jc w:val="left"/>
        <w:rPr>
          <w:rFonts w:ascii="宋体" w:hAnsi="宋体" w:cs="宋体"/>
          <w:color w:val="auto"/>
          <w:highlight w:val="none"/>
        </w:rPr>
      </w:pPr>
      <w:r>
        <w:rPr>
          <w:rFonts w:hint="eastAsia" w:ascii="宋体" w:hAnsi="宋体" w:cs="宋体"/>
          <w:color w:val="auto"/>
          <w:highlight w:val="none"/>
        </w:rPr>
        <w:t>根据《中华人民共和国政府采购法》《中华人民共和国政府采购法实施条例》《中华人民共和国民法典》等法律、法规规定，按照竞争性磋商文件（以下简称磋商文件）、竞争性磋商响应文件（以下简称响应文件）规定条款和成交供应商的承诺、甲乙双方签订本合同。</w:t>
      </w:r>
    </w:p>
    <w:p>
      <w:pPr>
        <w:adjustRightInd w:val="0"/>
        <w:snapToGrid w:val="0"/>
        <w:spacing w:line="360" w:lineRule="exact"/>
        <w:ind w:firstLine="422"/>
        <w:rPr>
          <w:rFonts w:ascii="宋体" w:hAnsi="宋体"/>
          <w:b/>
          <w:color w:val="auto"/>
          <w:szCs w:val="21"/>
          <w:highlight w:val="none"/>
        </w:rPr>
      </w:pPr>
      <w:r>
        <w:rPr>
          <w:rFonts w:hint="eastAsia" w:ascii="宋体" w:hAnsi="宋体"/>
          <w:b/>
          <w:color w:val="auto"/>
          <w:szCs w:val="21"/>
          <w:highlight w:val="none"/>
        </w:rPr>
        <w:t>第一条　合同标的</w:t>
      </w:r>
    </w:p>
    <w:tbl>
      <w:tblPr>
        <w:tblStyle w:val="21"/>
        <w:tblW w:w="8647"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10"/>
        <w:gridCol w:w="4820"/>
        <w:gridCol w:w="141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2"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标的名称</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jc w:val="center"/>
              <w:rPr>
                <w:rFonts w:ascii="宋体" w:hAnsi="宋体"/>
                <w:color w:val="auto"/>
                <w:szCs w:val="21"/>
                <w:highlight w:val="none"/>
              </w:rPr>
            </w:pPr>
            <w:r>
              <w:rPr>
                <w:rFonts w:hint="eastAsia" w:ascii="宋体" w:hAnsi="宋体" w:cs="宋体"/>
                <w:b/>
                <w:color w:val="auto"/>
                <w:kern w:val="0"/>
                <w:szCs w:val="21"/>
                <w:highlight w:val="none"/>
                <w:shd w:val="clear" w:color="auto" w:fill="FFFFFF"/>
              </w:rPr>
              <w:t>成交综合折扣率</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2"/>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2" w:hRule="atLeast"/>
        </w:trPr>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auto"/>
                <w:szCs w:val="21"/>
                <w:highlight w:val="none"/>
              </w:rPr>
            </w:pPr>
            <w:r>
              <w:rPr>
                <w:rFonts w:hint="eastAsia" w:ascii="宋体" w:hAnsi="宋体" w:cs="宋体"/>
                <w:color w:val="auto"/>
                <w:highlight w:val="none"/>
              </w:rPr>
              <w:t>桂林市公安局秀峰分局食堂食材定点采购项目</w:t>
            </w:r>
          </w:p>
        </w:tc>
        <w:tc>
          <w:tcPr>
            <w:tcW w:w="4820" w:type="dxa"/>
            <w:tcBorders>
              <w:top w:val="single" w:color="auto" w:sz="4" w:space="0"/>
              <w:left w:val="single" w:color="auto" w:sz="4" w:space="0"/>
              <w:bottom w:val="single" w:color="auto" w:sz="4" w:space="0"/>
              <w:right w:val="single" w:color="auto" w:sz="4" w:space="0"/>
            </w:tcBorders>
            <w:vAlign w:val="center"/>
          </w:tcPr>
          <w:p>
            <w:pPr>
              <w:spacing w:line="330" w:lineRule="exact"/>
              <w:rPr>
                <w:rFonts w:ascii="宋体" w:hAnsi="宋体"/>
                <w:color w:val="auto"/>
                <w:szCs w:val="21"/>
                <w:highlight w:val="none"/>
              </w:rPr>
            </w:pPr>
            <w:r>
              <w:rPr>
                <w:rFonts w:hint="eastAsia" w:hAnsi="宋体" w:cs="宋体"/>
                <w:color w:val="auto"/>
                <w:highlight w:val="none"/>
              </w:rPr>
              <w:t>①</w:t>
            </w:r>
            <w:r>
              <w:rPr>
                <w:rFonts w:hint="eastAsia" w:ascii="宋体" w:hAnsi="宋体" w:cs="宋体"/>
                <w:color w:val="auto"/>
                <w:szCs w:val="21"/>
                <w:highlight w:val="none"/>
              </w:rPr>
              <w:t>肉、鸡鸭类、冻货、禽蛋类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olor w:val="auto"/>
                <w:szCs w:val="21"/>
                <w:highlight w:val="none"/>
              </w:rPr>
              <w:t>%；</w:t>
            </w:r>
          </w:p>
          <w:p>
            <w:pPr>
              <w:spacing w:line="330" w:lineRule="exact"/>
              <w:rPr>
                <w:rFonts w:ascii="宋体" w:hAnsi="宋体" w:cs="宋体"/>
                <w:color w:val="auto"/>
                <w:highlight w:val="none"/>
              </w:rPr>
            </w:pPr>
            <w:r>
              <w:rPr>
                <w:rFonts w:hint="eastAsia" w:ascii="宋体" w:hAnsi="宋体"/>
                <w:color w:val="auto"/>
                <w:szCs w:val="21"/>
                <w:highlight w:val="none"/>
              </w:rPr>
              <w:t>②</w:t>
            </w:r>
            <w:r>
              <w:rPr>
                <w:rFonts w:hint="eastAsia" w:ascii="宋体" w:hAnsi="宋体" w:cs="宋体"/>
                <w:color w:val="auto"/>
                <w:szCs w:val="21"/>
                <w:highlight w:val="none"/>
              </w:rPr>
              <w:t>蔬菜类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p>
            <w:pPr>
              <w:spacing w:line="330" w:lineRule="exact"/>
              <w:rPr>
                <w:rFonts w:ascii="宋体" w:hAnsi="宋体"/>
                <w:color w:val="auto"/>
                <w:kern w:val="0"/>
                <w:szCs w:val="21"/>
                <w:highlight w:val="none"/>
              </w:rPr>
            </w:pPr>
            <w:r>
              <w:rPr>
                <w:rFonts w:hint="eastAsia" w:ascii="宋体" w:hAnsi="宋体" w:cs="宋体"/>
                <w:color w:val="auto"/>
                <w:highlight w:val="none"/>
              </w:rPr>
              <w:t>③</w:t>
            </w:r>
            <w:r>
              <w:rPr>
                <w:rFonts w:hint="eastAsia" w:ascii="宋体" w:hAnsi="宋体" w:cs="宋体"/>
                <w:color w:val="auto"/>
                <w:szCs w:val="21"/>
                <w:highlight w:val="none"/>
              </w:rPr>
              <w:t>调味品干杂香料、食用油类、副食品类</w:t>
            </w:r>
            <w:r>
              <w:rPr>
                <w:rFonts w:hint="eastAsia" w:ascii="宋体"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20"/>
              <w:rPr>
                <w:rFonts w:ascii="宋体" w:hAnsi="宋体"/>
                <w:color w:val="auto"/>
                <w:szCs w:val="21"/>
                <w:highlight w:val="none"/>
              </w:rPr>
            </w:pPr>
          </w:p>
        </w:tc>
      </w:tr>
    </w:tbl>
    <w:p>
      <w:pPr>
        <w:adjustRightInd w:val="0"/>
        <w:snapToGrid w:val="0"/>
        <w:spacing w:line="360" w:lineRule="exact"/>
        <w:ind w:firstLine="422"/>
        <w:rPr>
          <w:rFonts w:ascii="宋体" w:hAnsi="宋体"/>
          <w:color w:val="auto"/>
          <w:szCs w:val="21"/>
          <w:highlight w:val="none"/>
        </w:rPr>
      </w:pPr>
      <w:r>
        <w:rPr>
          <w:rFonts w:hint="eastAsia" w:ascii="宋体" w:hAnsi="宋体"/>
          <w:b/>
          <w:color w:val="auto"/>
          <w:szCs w:val="21"/>
          <w:highlight w:val="none"/>
        </w:rPr>
        <w:t>第二条 质量保证</w:t>
      </w:r>
    </w:p>
    <w:p>
      <w:pPr>
        <w:spacing w:line="360" w:lineRule="exact"/>
        <w:ind w:firstLine="424" w:firstLineChars="202"/>
        <w:rPr>
          <w:rFonts w:ascii="宋体" w:hAnsi="宋体"/>
          <w:b/>
          <w:color w:val="auto"/>
          <w:szCs w:val="21"/>
          <w:highlight w:val="none"/>
        </w:rPr>
      </w:pPr>
      <w:r>
        <w:rPr>
          <w:rFonts w:hint="eastAsia" w:ascii="宋体" w:hAnsi="宋体"/>
          <w:color w:val="auto"/>
          <w:szCs w:val="21"/>
          <w:highlight w:val="none"/>
        </w:rPr>
        <w:t>1.乙方应按竞争性磋商文件规定的及响应文件承诺的服务要求、质量标准向甲方提供</w:t>
      </w:r>
      <w:r>
        <w:rPr>
          <w:rFonts w:hint="eastAsia" w:ascii="宋体" w:hAnsi="宋体" w:cs="宋体"/>
          <w:color w:val="auto"/>
          <w:highlight w:val="none"/>
        </w:rPr>
        <w:t>食堂物资定点供应服务</w:t>
      </w:r>
      <w:r>
        <w:rPr>
          <w:rFonts w:hint="eastAsia" w:ascii="宋体" w:hAnsi="宋体"/>
          <w:color w:val="auto"/>
          <w:szCs w:val="21"/>
          <w:highlight w:val="none"/>
        </w:rPr>
        <w:t>。</w:t>
      </w:r>
    </w:p>
    <w:p>
      <w:pPr>
        <w:spacing w:line="360" w:lineRule="exact"/>
        <w:ind w:firstLine="424" w:firstLineChars="202"/>
        <w:rPr>
          <w:rFonts w:ascii="宋体" w:hAnsi="宋体"/>
          <w:b/>
          <w:color w:val="auto"/>
          <w:szCs w:val="21"/>
          <w:highlight w:val="none"/>
        </w:rPr>
      </w:pPr>
      <w:r>
        <w:rPr>
          <w:rFonts w:hint="eastAsia" w:ascii="宋体" w:hAnsi="宋体"/>
          <w:color w:val="auto"/>
          <w:szCs w:val="21"/>
          <w:highlight w:val="none"/>
        </w:rPr>
        <w:t>2.乙方提供不符合磋商文件、响应文件承诺和本合同规定的服务，甲方有权拒绝接受。</w:t>
      </w:r>
    </w:p>
    <w:p>
      <w:pPr>
        <w:spacing w:line="360" w:lineRule="exact"/>
        <w:ind w:firstLine="422"/>
        <w:rPr>
          <w:rFonts w:ascii="宋体" w:hAnsi="宋体"/>
          <w:b/>
          <w:color w:val="auto"/>
          <w:szCs w:val="21"/>
          <w:highlight w:val="none"/>
        </w:rPr>
      </w:pPr>
      <w:r>
        <w:rPr>
          <w:rFonts w:hint="eastAsia" w:ascii="宋体" w:hAnsi="宋体"/>
          <w:b/>
          <w:color w:val="auto"/>
          <w:szCs w:val="21"/>
          <w:highlight w:val="none"/>
        </w:rPr>
        <w:t>第三条  权力保证</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1.乙方应保证所提供服务不会侵犯任何第三方的专利权、商标权、设计权或其他权利。</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2.乙方应按响应文件规定的时间向甲方提供服务的有关资料。</w:t>
      </w:r>
    </w:p>
    <w:p>
      <w:pPr>
        <w:spacing w:line="360" w:lineRule="exact"/>
        <w:ind w:firstLine="422"/>
        <w:rPr>
          <w:rFonts w:ascii="宋体" w:hAnsi="宋体"/>
          <w:b/>
          <w:color w:val="auto"/>
          <w:szCs w:val="21"/>
          <w:highlight w:val="none"/>
        </w:rPr>
      </w:pPr>
      <w:r>
        <w:rPr>
          <w:rFonts w:hint="eastAsia" w:ascii="宋体" w:hAnsi="宋体"/>
          <w:b/>
          <w:color w:val="auto"/>
          <w:szCs w:val="21"/>
          <w:highlight w:val="none"/>
        </w:rPr>
        <w:t xml:space="preserve">第四条  </w:t>
      </w:r>
      <w:r>
        <w:rPr>
          <w:rFonts w:hint="eastAsia" w:ascii="宋体" w:hAnsi="宋体"/>
          <w:b/>
          <w:bCs/>
          <w:color w:val="auto"/>
          <w:szCs w:val="21"/>
          <w:highlight w:val="none"/>
        </w:rPr>
        <w:t>定点配送期限及配送地点</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1.</w:t>
      </w:r>
      <w:r>
        <w:rPr>
          <w:rFonts w:hint="eastAsia" w:ascii="宋体" w:hAnsi="宋体"/>
          <w:bCs/>
          <w:color w:val="auto"/>
          <w:szCs w:val="21"/>
          <w:highlight w:val="none"/>
        </w:rPr>
        <w:t>定点配送期限：</w:t>
      </w:r>
      <w:r>
        <w:rPr>
          <w:rFonts w:hint="eastAsia" w:ascii="宋体" w:hAnsi="宋体" w:cs="宋体"/>
          <w:color w:val="auto"/>
          <w:szCs w:val="21"/>
          <w:highlight w:val="none"/>
        </w:rPr>
        <w:t>自合同签订之日起1年</w:t>
      </w:r>
      <w:r>
        <w:rPr>
          <w:rFonts w:hint="eastAsia" w:ascii="宋体" w:hAnsi="宋体"/>
          <w:color w:val="auto"/>
          <w:szCs w:val="21"/>
          <w:highlight w:val="none"/>
        </w:rPr>
        <w:t>，即自</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日起至</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w:t>
      </w:r>
      <w:r>
        <w:rPr>
          <w:rFonts w:hint="eastAsia" w:ascii="宋体" w:hAnsi="宋体"/>
          <w:color w:val="auto"/>
          <w:szCs w:val="21"/>
          <w:highlight w:val="none"/>
          <w:u w:val="single"/>
        </w:rPr>
        <w:t xml:space="preserve">   </w:t>
      </w:r>
      <w:r>
        <w:rPr>
          <w:rFonts w:hint="eastAsia" w:ascii="宋体" w:hAnsi="宋体"/>
          <w:color w:val="auto"/>
          <w:szCs w:val="21"/>
          <w:highlight w:val="none"/>
        </w:rPr>
        <w:t>月   日止。</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2.配送地点：</w:t>
      </w:r>
      <w:r>
        <w:rPr>
          <w:rFonts w:hint="eastAsia" w:ascii="宋体" w:hAnsi="宋体" w:cs="宋体"/>
          <w:color w:val="auto"/>
          <w:szCs w:val="21"/>
          <w:highlight w:val="none"/>
        </w:rPr>
        <w:t>广西</w:t>
      </w:r>
      <w:r>
        <w:rPr>
          <w:rFonts w:hint="eastAsia" w:ascii="宋体" w:hAnsi="宋体" w:cs="宋体"/>
          <w:color w:val="auto"/>
          <w:highlight w:val="none"/>
        </w:rPr>
        <w:t>桂林市社会福利院内</w:t>
      </w:r>
      <w:r>
        <w:rPr>
          <w:rFonts w:hint="eastAsia" w:ascii="宋体" w:hAnsi="宋体" w:cs="宋体"/>
          <w:color w:val="auto"/>
          <w:szCs w:val="21"/>
          <w:highlight w:val="none"/>
        </w:rPr>
        <w:t>指定</w:t>
      </w:r>
      <w:r>
        <w:rPr>
          <w:rFonts w:hint="eastAsia" w:hAnsi="宋体" w:cs="宋体"/>
          <w:color w:val="auto"/>
          <w:szCs w:val="21"/>
          <w:highlight w:val="none"/>
        </w:rPr>
        <w:t>地点</w:t>
      </w:r>
      <w:r>
        <w:rPr>
          <w:rFonts w:hint="eastAsia" w:ascii="宋体" w:hAnsi="宋体"/>
          <w:color w:val="auto"/>
          <w:szCs w:val="21"/>
          <w:highlight w:val="none"/>
        </w:rPr>
        <w:t>。</w:t>
      </w:r>
    </w:p>
    <w:p>
      <w:pPr>
        <w:spacing w:line="360" w:lineRule="exact"/>
        <w:ind w:firstLine="422"/>
        <w:rPr>
          <w:rFonts w:ascii="宋体" w:hAnsi="宋体"/>
          <w:color w:val="auto"/>
          <w:szCs w:val="21"/>
          <w:highlight w:val="none"/>
        </w:rPr>
      </w:pPr>
      <w:r>
        <w:rPr>
          <w:rFonts w:hint="eastAsia" w:ascii="宋体" w:hAnsi="宋体"/>
          <w:b/>
          <w:color w:val="auto"/>
          <w:szCs w:val="21"/>
          <w:highlight w:val="none"/>
        </w:rPr>
        <w:t>第五条  服务内容及要求</w:t>
      </w:r>
    </w:p>
    <w:p>
      <w:pPr>
        <w:spacing w:line="360" w:lineRule="exact"/>
        <w:ind w:left="359" w:leftChars="171"/>
        <w:rPr>
          <w:rFonts w:ascii="宋体" w:hAnsi="宋体" w:cs="宋体"/>
          <w:color w:val="auto"/>
          <w:szCs w:val="21"/>
          <w:highlight w:val="none"/>
          <w:shd w:val="clear" w:color="auto" w:fill="FFFFFF"/>
        </w:rPr>
      </w:pPr>
      <w:r>
        <w:rPr>
          <w:rFonts w:hint="eastAsia" w:ascii="宋体" w:hAnsi="宋体"/>
          <w:color w:val="auto"/>
          <w:szCs w:val="21"/>
          <w:highlight w:val="none"/>
        </w:rPr>
        <w:t>按乙方响应承诺执且不低于磋商文件“第三章 采购需求”中的“服务内容及要求”</w:t>
      </w:r>
      <w:r>
        <w:rPr>
          <w:rFonts w:hint="eastAsia" w:ascii="宋体" w:hAnsi="宋体" w:cs="宋体"/>
          <w:color w:val="auto"/>
          <w:szCs w:val="21"/>
          <w:highlight w:val="none"/>
          <w:shd w:val="clear" w:color="auto" w:fill="FFFFFF"/>
        </w:rPr>
        <w:t>。</w:t>
      </w:r>
    </w:p>
    <w:p>
      <w:pPr>
        <w:spacing w:line="360" w:lineRule="exact"/>
        <w:ind w:firstLine="422"/>
        <w:rPr>
          <w:rFonts w:ascii="宋体" w:hAnsi="宋体"/>
          <w:b/>
          <w:color w:val="auto"/>
          <w:szCs w:val="21"/>
          <w:highlight w:val="none"/>
        </w:rPr>
      </w:pPr>
      <w:r>
        <w:rPr>
          <w:rFonts w:hint="eastAsia" w:ascii="宋体" w:hAnsi="宋体"/>
          <w:b/>
          <w:color w:val="auto"/>
          <w:szCs w:val="21"/>
          <w:highlight w:val="none"/>
        </w:rPr>
        <w:t>第六条  售后服务及质保</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1.乙方应按照国家有关法律规定和“三包”规定以及响应文件、磋商文件，为甲方提供售后服务。</w:t>
      </w:r>
    </w:p>
    <w:p>
      <w:pPr>
        <w:spacing w:line="360" w:lineRule="exact"/>
        <w:ind w:firstLine="420"/>
        <w:rPr>
          <w:rFonts w:ascii="宋体" w:hAnsi="宋体"/>
          <w:b/>
          <w:color w:val="auto"/>
          <w:szCs w:val="21"/>
          <w:highlight w:val="none"/>
        </w:rPr>
      </w:pPr>
      <w:r>
        <w:rPr>
          <w:rFonts w:hint="eastAsia" w:ascii="宋体" w:hAnsi="宋体"/>
          <w:color w:val="auto"/>
          <w:szCs w:val="21"/>
          <w:highlight w:val="none"/>
        </w:rPr>
        <w:t>2.如在使用过程中发生质量问题，乙方在接到甲方通知后在</w:t>
      </w:r>
      <w:r>
        <w:rPr>
          <w:rFonts w:hint="eastAsia" w:ascii="宋体" w:hAnsi="宋体"/>
          <w:color w:val="auto"/>
          <w:szCs w:val="21"/>
          <w:highlight w:val="none"/>
          <w:u w:val="single"/>
        </w:rPr>
        <w:t>响应文件承诺的时间</w:t>
      </w:r>
      <w:r>
        <w:rPr>
          <w:rFonts w:hint="eastAsia" w:ascii="宋体" w:hAnsi="宋体"/>
          <w:color w:val="auto"/>
          <w:szCs w:val="21"/>
          <w:highlight w:val="none"/>
        </w:rPr>
        <w:t>内到达甲方现场处理。</w:t>
      </w:r>
    </w:p>
    <w:p>
      <w:pPr>
        <w:spacing w:line="360" w:lineRule="exact"/>
        <w:ind w:firstLine="403" w:firstLineChars="192"/>
        <w:rPr>
          <w:rFonts w:ascii="宋体" w:hAnsi="宋体"/>
          <w:b/>
          <w:color w:val="auto"/>
          <w:szCs w:val="21"/>
          <w:highlight w:val="none"/>
        </w:rPr>
      </w:pPr>
      <w:r>
        <w:rPr>
          <w:rFonts w:hint="eastAsia" w:ascii="宋体" w:hAnsi="宋体"/>
          <w:b/>
          <w:color w:val="auto"/>
          <w:szCs w:val="21"/>
          <w:highlight w:val="none"/>
        </w:rPr>
        <w:t>第七条  税费</w:t>
      </w:r>
    </w:p>
    <w:p>
      <w:pPr>
        <w:spacing w:line="360" w:lineRule="exact"/>
        <w:ind w:firstLine="403" w:firstLineChars="192"/>
        <w:rPr>
          <w:rFonts w:ascii="宋体" w:hAnsi="宋体"/>
          <w:b/>
          <w:color w:val="auto"/>
          <w:szCs w:val="21"/>
          <w:highlight w:val="none"/>
        </w:rPr>
      </w:pPr>
      <w:r>
        <w:rPr>
          <w:rFonts w:hint="eastAsia" w:ascii="宋体" w:hAnsi="宋体"/>
          <w:color w:val="auto"/>
          <w:szCs w:val="21"/>
          <w:highlight w:val="none"/>
        </w:rPr>
        <w:t>本合同执行中相关的一切税费均由乙方负担。</w:t>
      </w:r>
    </w:p>
    <w:p>
      <w:pPr>
        <w:spacing w:line="360" w:lineRule="exact"/>
        <w:ind w:firstLine="403" w:firstLineChars="192"/>
        <w:rPr>
          <w:rFonts w:ascii="宋体" w:hAnsi="宋体"/>
          <w:b/>
          <w:color w:val="auto"/>
          <w:szCs w:val="21"/>
          <w:highlight w:val="none"/>
        </w:rPr>
      </w:pPr>
      <w:r>
        <w:rPr>
          <w:rFonts w:hint="eastAsia" w:ascii="宋体" w:hAnsi="宋体"/>
          <w:b/>
          <w:color w:val="auto"/>
          <w:szCs w:val="21"/>
          <w:highlight w:val="none"/>
        </w:rPr>
        <w:t>第八条  结算方式及付款方式</w:t>
      </w:r>
    </w:p>
    <w:p>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1. 本项目服务期限内，相应类别的物资供应价款实际结算=相应类别的物资供应基础价格×数量×相应类别物资成交综合折扣率（%）。</w:t>
      </w:r>
    </w:p>
    <w:p>
      <w:pPr>
        <w:spacing w:line="360" w:lineRule="exact"/>
        <w:ind w:firstLine="411" w:firstLineChars="196"/>
        <w:rPr>
          <w:rFonts w:ascii="宋体" w:hAnsi="宋体"/>
          <w:color w:val="auto"/>
          <w:szCs w:val="21"/>
          <w:highlight w:val="none"/>
        </w:rPr>
      </w:pPr>
      <w:r>
        <w:rPr>
          <w:rFonts w:hint="eastAsia" w:ascii="宋体" w:hAnsi="宋体"/>
          <w:color w:val="auto"/>
          <w:szCs w:val="21"/>
          <w:highlight w:val="none"/>
        </w:rPr>
        <w:t>2.</w:t>
      </w:r>
      <w:r>
        <w:rPr>
          <w:rFonts w:hint="eastAsia" w:ascii="宋体" w:hAnsi="宋体" w:cs="新宋体"/>
          <w:color w:val="auto"/>
          <w:kern w:val="0"/>
          <w:szCs w:val="21"/>
          <w:highlight w:val="none"/>
        </w:rPr>
        <w:t xml:space="preserve"> 实行按月结算方式，即本月货款于次月结算。以双方签字确认后的送货单为依据，月末经双方汇总核对无误后，中标人开具正规增值税普通发票给采购人后支付货款。采购人以银行转账方式支付(无息)。</w:t>
      </w:r>
    </w:p>
    <w:p>
      <w:pPr>
        <w:spacing w:line="360" w:lineRule="exact"/>
        <w:ind w:firstLine="403" w:firstLineChars="192"/>
        <w:rPr>
          <w:rFonts w:ascii="宋体" w:hAnsi="宋体"/>
          <w:b/>
          <w:color w:val="auto"/>
          <w:szCs w:val="21"/>
          <w:highlight w:val="none"/>
        </w:rPr>
      </w:pPr>
      <w:r>
        <w:rPr>
          <w:rFonts w:hint="eastAsia" w:ascii="宋体" w:hAnsi="宋体"/>
          <w:b/>
          <w:color w:val="auto"/>
          <w:szCs w:val="21"/>
          <w:highlight w:val="none"/>
        </w:rPr>
        <w:t>第九条   验收标准</w:t>
      </w:r>
    </w:p>
    <w:p>
      <w:pPr>
        <w:tabs>
          <w:tab w:val="left" w:pos="1305"/>
        </w:tabs>
        <w:spacing w:line="360" w:lineRule="exact"/>
        <w:ind w:firstLine="420"/>
        <w:rPr>
          <w:rFonts w:ascii="宋体" w:hAnsi="宋体"/>
          <w:color w:val="auto"/>
          <w:szCs w:val="21"/>
          <w:highlight w:val="none"/>
        </w:rPr>
      </w:pPr>
      <w:r>
        <w:rPr>
          <w:rFonts w:hint="eastAsia" w:ascii="宋体" w:hAnsi="宋体"/>
          <w:color w:val="auto"/>
          <w:szCs w:val="21"/>
          <w:highlight w:val="none"/>
        </w:rPr>
        <w:t>1.本项目执行相关国家标准、行业标准、地方标准或者其他标准、规范。</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2.要求乙方依据竞争性磋商文件要求、响应文件承诺、强制执行的国家、行业、地方标准履行合同；乙方提供的服务成果达不到以上验收标准的，不予验收，造成的一切不利后果由乙方自行承担。</w:t>
      </w:r>
    </w:p>
    <w:p>
      <w:pPr>
        <w:spacing w:line="360" w:lineRule="exact"/>
        <w:ind w:firstLine="420"/>
        <w:rPr>
          <w:rFonts w:ascii="宋体" w:hAnsi="宋体"/>
          <w:color w:val="auto"/>
          <w:szCs w:val="21"/>
          <w:highlight w:val="none"/>
        </w:rPr>
      </w:pPr>
      <w:r>
        <w:rPr>
          <w:rFonts w:hint="eastAsia" w:ascii="宋体" w:hAnsi="宋体"/>
          <w:color w:val="auto"/>
          <w:szCs w:val="21"/>
          <w:highlight w:val="none"/>
        </w:rPr>
        <w:t>3.外包装良好、标注生产日期及保质期，内透明塑料袋包装，袋内无杂质、无破损、无漏气，产品大小均匀，无霉变、无异味、无过期，食品安全的各项指标符合国家要求。</w:t>
      </w:r>
    </w:p>
    <w:p>
      <w:pPr>
        <w:spacing w:line="360" w:lineRule="exact"/>
        <w:ind w:firstLine="420"/>
        <w:rPr>
          <w:rFonts w:ascii="宋体" w:hAnsi="宋体"/>
          <w:color w:val="auto"/>
          <w:szCs w:val="21"/>
          <w:highlight w:val="none"/>
        </w:rPr>
      </w:pPr>
      <w:r>
        <w:rPr>
          <w:rFonts w:hint="eastAsia" w:ascii="宋体" w:hAnsi="宋体"/>
          <w:color w:val="auto"/>
          <w:szCs w:val="21"/>
          <w:highlight w:val="none"/>
        </w:rPr>
        <w:t>4.所有食品的来源必须清晰。应当来源于受地方政府部门监管的基地、专业流通市场。</w:t>
      </w:r>
    </w:p>
    <w:p>
      <w:pPr>
        <w:adjustRightInd w:val="0"/>
        <w:snapToGrid w:val="0"/>
        <w:spacing w:line="360" w:lineRule="exact"/>
        <w:ind w:firstLine="422"/>
        <w:rPr>
          <w:rFonts w:ascii="宋体" w:hAnsi="宋体"/>
          <w:b/>
          <w:color w:val="auto"/>
          <w:szCs w:val="21"/>
          <w:highlight w:val="none"/>
        </w:rPr>
      </w:pPr>
      <w:r>
        <w:rPr>
          <w:rFonts w:hint="eastAsia" w:ascii="宋体" w:hAnsi="宋体"/>
          <w:b/>
          <w:color w:val="auto"/>
          <w:szCs w:val="21"/>
          <w:highlight w:val="none"/>
        </w:rPr>
        <w:t>第十条  违约责任</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1.乙方应在甲方指定的时间、地点送货，若因乙方原因不能按时送货，即视为乙方违约，甲方有权拒绝接受物资，并有权按照每迟延一次，向乙方收取当次交易额5%的违约金；若甲方已另行向其他供应商采购，乙方应承担甲方因此多支付的费用，包括但不限于货款差价、运输费等。若乙方存在两次（包括两次）以上迟延送货的情况，甲方有权解除本合同。</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2.乙方所交付的物资质量、数量、品种、规格、性能等不符合合同约定的，甲方有权拒收。甲方拒收的，乙方应向甲方支付货款总额5%的违约金。违约金不足以赔偿甲方损失（包括但不限于采购款差价、赔偿金、补偿金、律师费、公告费、保全费、诉讼费、交通费、劳务费等）的，乙方应按实际损失赔偿甲方。</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3.在乙方承诺的或国家规定的质量保证期内（取两者中较长的期限），若乙方提供的物资存在质量问题，乙方应无条件为甲方换货或退货，并应承担因换货或退货产生的相关费用。甲方要求退货的，乙方应退回全部货款，并按物资总价款5%向甲方支付违约金。违约金不足以赔偿甲方损失（包括但不限于采购款差价、赔偿金、补偿金、律师费、公告费、保全费、诉讼费、交通费、劳务费等）的，乙方应按实际损失赔偿甲方。</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4.除本协议另有约定的除外，甲方应按本合同约定向乙方支付货款，若因甲方原因致使付款迟延，每迟延一日，甲方应按应付款项的万分之四向乙方支付违约金。甲方按时完成支付手续办理但由于财政原因造成无法按时支付的不算甲方违约。</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5.乙方提供的食堂物资如果侵犯了第三方合法权益而引发的任何纠纷或诉讼，均由乙方负责交涉并承担全部责任。</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6.甲方无故延期接受物资、乙方逾期交付物资的，每天向对方偿付该批次采购金额</w:t>
      </w:r>
      <w:r>
        <w:rPr>
          <w:rFonts w:hint="eastAsia" w:ascii="宋体" w:hAnsi="宋体"/>
          <w:color w:val="auto"/>
          <w:szCs w:val="21"/>
          <w:highlight w:val="none"/>
          <w:u w:val="single"/>
        </w:rPr>
        <w:t>　3　</w:t>
      </w:r>
      <w:r>
        <w:rPr>
          <w:rFonts w:hint="eastAsia" w:ascii="宋体" w:hAnsi="宋体"/>
          <w:color w:val="auto"/>
          <w:szCs w:val="21"/>
          <w:highlight w:val="none"/>
        </w:rPr>
        <w:t>‰违约金，但违约金额不得超过该批次采购金额</w:t>
      </w:r>
      <w:r>
        <w:rPr>
          <w:rFonts w:hint="eastAsia" w:ascii="宋体" w:hAnsi="宋体"/>
          <w:color w:val="auto"/>
          <w:szCs w:val="21"/>
          <w:highlight w:val="none"/>
          <w:u w:val="single"/>
        </w:rPr>
        <w:t>　5　</w:t>
      </w:r>
      <w:r>
        <w:rPr>
          <w:rFonts w:hint="eastAsia" w:ascii="宋体" w:hAnsi="宋体"/>
          <w:color w:val="auto"/>
          <w:szCs w:val="21"/>
          <w:highlight w:val="none"/>
        </w:rPr>
        <w:t>%，超过</w:t>
      </w:r>
      <w:r>
        <w:rPr>
          <w:rFonts w:hint="eastAsia" w:ascii="宋体" w:hAnsi="宋体"/>
          <w:color w:val="auto"/>
          <w:szCs w:val="21"/>
          <w:highlight w:val="none"/>
          <w:u w:val="single"/>
        </w:rPr>
        <w:t>10</w:t>
      </w:r>
      <w:r>
        <w:rPr>
          <w:rFonts w:hint="eastAsia" w:ascii="宋体" w:hAnsi="宋体"/>
          <w:color w:val="auto"/>
          <w:szCs w:val="21"/>
          <w:highlight w:val="none"/>
        </w:rPr>
        <w:t>天对方有权解除合同，违约方承担因此给对方造成的经济损失：甲方延期付货款的，每天向乙方偿付当期应付货款金额</w:t>
      </w:r>
      <w:r>
        <w:rPr>
          <w:rFonts w:hint="eastAsia" w:ascii="宋体" w:hAnsi="宋体"/>
          <w:color w:val="auto"/>
          <w:szCs w:val="21"/>
          <w:highlight w:val="none"/>
          <w:u w:val="single"/>
        </w:rPr>
        <w:t>　3　</w:t>
      </w:r>
      <w:r>
        <w:rPr>
          <w:rFonts w:hint="eastAsia" w:ascii="宋体" w:hAnsi="宋体"/>
          <w:color w:val="auto"/>
          <w:szCs w:val="21"/>
          <w:highlight w:val="none"/>
        </w:rPr>
        <w:t>‰滞纳金，但滞纳金累计不得超过当期应付货款金额</w:t>
      </w:r>
      <w:r>
        <w:rPr>
          <w:rFonts w:hint="eastAsia" w:ascii="宋体" w:hAnsi="宋体"/>
          <w:color w:val="auto"/>
          <w:szCs w:val="21"/>
          <w:highlight w:val="none"/>
          <w:u w:val="single"/>
        </w:rPr>
        <w:t>　5　</w:t>
      </w:r>
      <w:r>
        <w:rPr>
          <w:rFonts w:hint="eastAsia" w:ascii="宋体" w:hAnsi="宋体"/>
          <w:color w:val="auto"/>
          <w:szCs w:val="21"/>
          <w:highlight w:val="none"/>
        </w:rPr>
        <w:t>%。</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7.乙方未按本合同和响应文件中规定的服务承诺提供服务的，乙方应按每批次供货金额的</w:t>
      </w:r>
      <w:r>
        <w:rPr>
          <w:rFonts w:hint="eastAsia" w:ascii="宋体" w:hAnsi="宋体"/>
          <w:color w:val="auto"/>
          <w:szCs w:val="21"/>
          <w:highlight w:val="none"/>
          <w:u w:val="single"/>
        </w:rPr>
        <w:t xml:space="preserve">　10  </w:t>
      </w:r>
      <w:r>
        <w:rPr>
          <w:rFonts w:hint="eastAsia" w:ascii="宋体" w:hAnsi="宋体"/>
          <w:color w:val="auto"/>
          <w:szCs w:val="21"/>
          <w:highlight w:val="none"/>
        </w:rPr>
        <w:t>%向甲方支付违约金每次。乙方如提供假冒或质量低劣的产品，甲方有权要求退货并终止本合同。</w:t>
      </w:r>
    </w:p>
    <w:p>
      <w:pPr>
        <w:spacing w:line="360" w:lineRule="exact"/>
        <w:ind w:firstLine="525" w:firstLineChars="250"/>
        <w:rPr>
          <w:rFonts w:ascii="宋体" w:hAnsi="宋体"/>
          <w:color w:val="auto"/>
          <w:szCs w:val="21"/>
          <w:highlight w:val="none"/>
        </w:rPr>
      </w:pPr>
      <w:r>
        <w:rPr>
          <w:rFonts w:hint="eastAsia" w:ascii="宋体" w:hAnsi="宋体"/>
          <w:color w:val="auto"/>
          <w:szCs w:val="21"/>
          <w:highlight w:val="none"/>
        </w:rPr>
        <w:t>8.乙方提供的食堂物资在服务期内，因其他原因造成的问题，由乙方负责，并承担相应的赔偿责任。</w:t>
      </w:r>
    </w:p>
    <w:p>
      <w:pPr>
        <w:spacing w:line="360" w:lineRule="exact"/>
        <w:ind w:firstLine="420"/>
        <w:jc w:val="left"/>
        <w:rPr>
          <w:rFonts w:ascii="宋体" w:hAnsi="宋体"/>
          <w:color w:val="auto"/>
          <w:szCs w:val="21"/>
          <w:highlight w:val="none"/>
        </w:rPr>
      </w:pPr>
      <w:r>
        <w:rPr>
          <w:rFonts w:hint="eastAsia" w:ascii="宋体" w:hAnsi="宋体" w:cs="仿宋_GB2312"/>
          <w:color w:val="auto"/>
          <w:szCs w:val="21"/>
          <w:highlight w:val="none"/>
        </w:rPr>
        <w:t>9.服务期限内，因</w:t>
      </w:r>
      <w:r>
        <w:rPr>
          <w:rFonts w:hint="eastAsia" w:ascii="宋体" w:hAnsi="宋体"/>
          <w:color w:val="auto"/>
          <w:szCs w:val="21"/>
          <w:highlight w:val="none"/>
        </w:rPr>
        <w:t>乙方提供的物资</w:t>
      </w:r>
      <w:r>
        <w:rPr>
          <w:rFonts w:hint="eastAsia" w:ascii="宋体" w:hAnsi="宋体" w:cs="仿宋_GB2312"/>
          <w:color w:val="auto"/>
          <w:szCs w:val="21"/>
          <w:highlight w:val="none"/>
        </w:rPr>
        <w:t>发生食物中毒或其他安全事故，由乙方承担全部责任和损失，构成犯罪的，依法追究刑事责任。给</w:t>
      </w:r>
      <w:r>
        <w:rPr>
          <w:rFonts w:hint="eastAsia" w:ascii="宋体" w:hAnsi="宋体"/>
          <w:color w:val="auto"/>
          <w:szCs w:val="21"/>
          <w:highlight w:val="none"/>
        </w:rPr>
        <w:t>甲方</w:t>
      </w:r>
      <w:r>
        <w:rPr>
          <w:rFonts w:hint="eastAsia" w:ascii="宋体" w:hAnsi="宋体" w:cs="仿宋_GB2312"/>
          <w:color w:val="auto"/>
          <w:szCs w:val="21"/>
          <w:highlight w:val="none"/>
        </w:rPr>
        <w:t>造成损失的，包括律师费、诉讼费、赔偿金等均由乙方负责赔偿，同时，</w:t>
      </w:r>
      <w:r>
        <w:rPr>
          <w:rFonts w:hint="eastAsia" w:ascii="宋体" w:hAnsi="宋体"/>
          <w:color w:val="auto"/>
          <w:szCs w:val="21"/>
          <w:highlight w:val="none"/>
        </w:rPr>
        <w:t>甲方</w:t>
      </w:r>
      <w:r>
        <w:rPr>
          <w:rFonts w:hint="eastAsia" w:ascii="宋体" w:hAnsi="宋体" w:cs="仿宋_GB2312"/>
          <w:color w:val="auto"/>
          <w:szCs w:val="21"/>
          <w:highlight w:val="none"/>
        </w:rPr>
        <w:t>有权解除本合同并追究乙方违约责任，乙方须</w:t>
      </w:r>
      <w:r>
        <w:rPr>
          <w:rFonts w:hint="eastAsia" w:ascii="宋体" w:hAnsi="宋体"/>
          <w:color w:val="auto"/>
          <w:szCs w:val="21"/>
          <w:highlight w:val="none"/>
        </w:rPr>
        <w:t>按供货金额的</w:t>
      </w:r>
      <w:r>
        <w:rPr>
          <w:rFonts w:hint="eastAsia" w:ascii="宋体" w:hAnsi="宋体"/>
          <w:color w:val="auto"/>
          <w:szCs w:val="21"/>
          <w:highlight w:val="none"/>
          <w:u w:val="single"/>
        </w:rPr>
        <w:t>30</w:t>
      </w:r>
      <w:r>
        <w:rPr>
          <w:rFonts w:hint="eastAsia" w:ascii="宋体" w:hAnsi="宋体"/>
          <w:color w:val="auto"/>
          <w:szCs w:val="21"/>
          <w:highlight w:val="none"/>
        </w:rPr>
        <w:t>%向甲方支付相应违约金</w:t>
      </w:r>
      <w:r>
        <w:rPr>
          <w:rFonts w:hint="eastAsia" w:ascii="宋体" w:hAnsi="宋体" w:cs="仿宋_GB2312"/>
          <w:color w:val="auto"/>
          <w:szCs w:val="21"/>
          <w:highlight w:val="none"/>
        </w:rPr>
        <w:t>。</w:t>
      </w:r>
    </w:p>
    <w:p>
      <w:pPr>
        <w:spacing w:line="360" w:lineRule="exact"/>
        <w:ind w:firstLine="420"/>
        <w:jc w:val="left"/>
        <w:rPr>
          <w:rFonts w:ascii="宋体" w:hAnsi="宋体"/>
          <w:color w:val="auto"/>
          <w:szCs w:val="21"/>
          <w:highlight w:val="none"/>
        </w:rPr>
      </w:pPr>
      <w:r>
        <w:rPr>
          <w:rFonts w:hint="eastAsia" w:ascii="宋体" w:hAnsi="宋体"/>
          <w:color w:val="auto"/>
          <w:szCs w:val="21"/>
          <w:highlight w:val="none"/>
        </w:rPr>
        <w:t>10.乙方存在提高价格、质量下降、以次充好、服务质量不达标等问题，甲方视供货方违约情况可要求乙方赔偿损失。乙方在供应的物资中存在下列情形的，甲方可直接取消乙方的供货资格，终止供货合同，乙方还需承担由此造成的经济责任和法律责任：</w:t>
      </w:r>
    </w:p>
    <w:p>
      <w:pPr>
        <w:spacing w:line="360" w:lineRule="exact"/>
        <w:ind w:firstLine="424" w:firstLineChars="202"/>
        <w:rPr>
          <w:rFonts w:ascii="宋体" w:hAnsi="宋体"/>
          <w:color w:val="auto"/>
          <w:szCs w:val="21"/>
          <w:highlight w:val="none"/>
        </w:rPr>
      </w:pPr>
      <w:r>
        <w:rPr>
          <w:rFonts w:hint="eastAsia" w:ascii="宋体" w:hAnsi="宋体" w:cs="仿宋"/>
          <w:color w:val="auto"/>
          <w:szCs w:val="21"/>
          <w:highlight w:val="none"/>
        </w:rPr>
        <w:t>（1）发生食物中毒或重大安全生产责任事故的；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（2）腐败变质、油脂酸败、霉变、生虫、污秽不洁、混有异物或者其他感官性状异常，对人体健康有害的；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（3）含有毒、有害物质或者被有害物质污染，对人体健康有害的；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（4）含有致病性寄生虫、微生物或者微生物含量超过国家限定标准的；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（5）掺假、掺杂、伪造，影响营养、卫生的；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（6）用非食品原料加工的，加入非食品用化学物质或者将非食品当作食品的；</w:t>
      </w:r>
    </w:p>
    <w:p>
      <w:pPr>
        <w:spacing w:line="360" w:lineRule="exact"/>
        <w:ind w:firstLine="424" w:firstLineChars="202"/>
        <w:rPr>
          <w:rFonts w:ascii="宋体" w:hAnsi="宋体"/>
          <w:color w:val="auto"/>
          <w:szCs w:val="21"/>
          <w:highlight w:val="none"/>
        </w:rPr>
      </w:pPr>
      <w:r>
        <w:rPr>
          <w:rFonts w:hint="eastAsia" w:ascii="宋体" w:hAnsi="宋体"/>
          <w:color w:val="auto"/>
          <w:szCs w:val="21"/>
          <w:highlight w:val="none"/>
        </w:rPr>
        <w:t>（7）超过保质期限的。</w:t>
      </w:r>
    </w:p>
    <w:p>
      <w:pPr>
        <w:spacing w:line="360" w:lineRule="exact"/>
        <w:ind w:firstLine="411" w:firstLineChars="196"/>
        <w:rPr>
          <w:rFonts w:ascii="宋体" w:hAnsi="宋体"/>
          <w:b/>
          <w:color w:val="auto"/>
          <w:szCs w:val="21"/>
          <w:highlight w:val="none"/>
        </w:rPr>
      </w:pPr>
      <w:r>
        <w:rPr>
          <w:rFonts w:hint="eastAsia" w:ascii="宋体" w:hAnsi="宋体"/>
          <w:b/>
          <w:color w:val="auto"/>
          <w:szCs w:val="21"/>
          <w:highlight w:val="none"/>
        </w:rPr>
        <w:t>第十一条  不可抗力事件处理</w:t>
      </w:r>
    </w:p>
    <w:p>
      <w:pPr>
        <w:spacing w:line="360" w:lineRule="exact"/>
        <w:ind w:firstLine="420"/>
        <w:rPr>
          <w:rFonts w:ascii="宋体" w:hAnsi="宋体"/>
          <w:color w:val="auto"/>
          <w:szCs w:val="21"/>
          <w:highlight w:val="none"/>
        </w:rPr>
      </w:pPr>
      <w:r>
        <w:rPr>
          <w:rFonts w:hint="eastAsia" w:ascii="宋体" w:hAnsi="宋体"/>
          <w:color w:val="auto"/>
          <w:szCs w:val="21"/>
          <w:highlight w:val="none"/>
        </w:rPr>
        <w:t>1.在合同有效期内，乙方因不可抗力事件导致不能履行合同，则合同履行期可延长，其延长期与不可抗力影响期相同。</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2.不可抗力事件发生后，应立即通知对方，并寄送有关权威机构出具的证明。</w:t>
      </w:r>
    </w:p>
    <w:p>
      <w:pPr>
        <w:spacing w:line="360" w:lineRule="exact"/>
        <w:ind w:firstLine="420"/>
        <w:rPr>
          <w:rFonts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pPr>
        <w:spacing w:line="360" w:lineRule="exact"/>
        <w:ind w:firstLine="411" w:firstLineChars="196"/>
        <w:rPr>
          <w:rFonts w:ascii="宋体" w:hAnsi="宋体"/>
          <w:b/>
          <w:color w:val="auto"/>
          <w:szCs w:val="21"/>
          <w:highlight w:val="none"/>
        </w:rPr>
      </w:pPr>
      <w:r>
        <w:rPr>
          <w:rFonts w:hint="eastAsia" w:ascii="宋体" w:hAnsi="宋体"/>
          <w:b/>
          <w:color w:val="auto"/>
          <w:szCs w:val="21"/>
          <w:highlight w:val="none"/>
        </w:rPr>
        <w:t>第十二条  保密</w:t>
      </w:r>
    </w:p>
    <w:p>
      <w:pPr>
        <w:spacing w:line="360" w:lineRule="exact"/>
        <w:ind w:firstLine="420"/>
        <w:rPr>
          <w:rFonts w:ascii="宋体" w:hAnsi="宋体"/>
          <w:color w:val="auto"/>
          <w:szCs w:val="21"/>
          <w:highlight w:val="none"/>
        </w:rPr>
      </w:pPr>
      <w:r>
        <w:rPr>
          <w:rFonts w:hint="eastAsia" w:ascii="宋体" w:hAnsi="宋体"/>
          <w:color w:val="auto"/>
          <w:szCs w:val="21"/>
          <w:highlight w:val="none"/>
        </w:rPr>
        <w:t>甲乙双方对于履行本合同所获悉的属于对方的且无法自公开渠道获得的文件及资料（包括但不限于商业秘密、公司计划、运营活动、财务信息、技术信息、经营信息及其他商业秘密、国家秘密/机密/绝密文件以及尚未公开的任何资料/信息）予以保密，不论是否明确为保密信息均应履行相应保密义务。未经该资料和文件的提供方的书面同意，另一方不得向任何第三方泄露或允许其使用该资料或文件的全部或部分内容，亦不得将前述资料用于本合同目的以外的用途。双方的保密义务不受本合同的终止或解除的影响。</w:t>
      </w:r>
    </w:p>
    <w:p>
      <w:pPr>
        <w:spacing w:line="360" w:lineRule="exact"/>
        <w:ind w:firstLine="411" w:firstLineChars="196"/>
        <w:rPr>
          <w:rFonts w:ascii="宋体" w:hAnsi="宋体"/>
          <w:b/>
          <w:color w:val="auto"/>
          <w:szCs w:val="21"/>
          <w:highlight w:val="none"/>
        </w:rPr>
      </w:pPr>
      <w:r>
        <w:rPr>
          <w:rFonts w:hint="eastAsia" w:ascii="宋体" w:hAnsi="宋体"/>
          <w:b/>
          <w:color w:val="auto"/>
          <w:szCs w:val="21"/>
          <w:highlight w:val="none"/>
        </w:rPr>
        <w:t>第十三条  合同争议解决</w:t>
      </w:r>
    </w:p>
    <w:p>
      <w:pPr>
        <w:spacing w:line="360" w:lineRule="exact"/>
        <w:ind w:firstLine="420"/>
        <w:rPr>
          <w:rFonts w:ascii="宋体" w:hAnsi="宋体"/>
          <w:color w:val="auto"/>
          <w:szCs w:val="21"/>
          <w:highlight w:val="none"/>
        </w:rPr>
      </w:pPr>
      <w:r>
        <w:rPr>
          <w:rFonts w:hint="eastAsia" w:ascii="宋体" w:hAnsi="宋体"/>
          <w:color w:val="auto"/>
          <w:szCs w:val="21"/>
          <w:highlight w:val="none"/>
        </w:rPr>
        <w:t>1.因物资质量问题发生争议的，应邀请国家认可的质量检测机构对物资质量进行鉴定。物资符合标准的，鉴定费由甲方承担；物资不符合标准的，鉴定费由乙方承担。</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2.因履行本合同引起的或与本合同有关的争议，甲乙双方应首先通过友好协商解决，如果协商不能解决，可向甲方所在地人民法院提起诉讼。</w:t>
      </w:r>
    </w:p>
    <w:p>
      <w:pPr>
        <w:spacing w:line="360" w:lineRule="exact"/>
        <w:ind w:firstLine="420"/>
        <w:rPr>
          <w:rFonts w:ascii="宋体" w:hAnsi="宋体"/>
          <w:color w:val="auto"/>
          <w:szCs w:val="21"/>
          <w:highlight w:val="none"/>
        </w:rPr>
      </w:pPr>
      <w:r>
        <w:rPr>
          <w:rFonts w:hint="eastAsia" w:ascii="宋体" w:hAnsi="宋体"/>
          <w:color w:val="auto"/>
          <w:szCs w:val="21"/>
          <w:highlight w:val="none"/>
        </w:rPr>
        <w:t>3.诉讼期间，本合同继续履行。</w:t>
      </w:r>
    </w:p>
    <w:p>
      <w:pPr>
        <w:spacing w:line="360" w:lineRule="exact"/>
        <w:ind w:firstLine="411" w:firstLineChars="196"/>
        <w:rPr>
          <w:rFonts w:ascii="宋体" w:hAnsi="宋体"/>
          <w:b/>
          <w:color w:val="auto"/>
          <w:szCs w:val="21"/>
          <w:highlight w:val="none"/>
        </w:rPr>
      </w:pPr>
      <w:r>
        <w:rPr>
          <w:rFonts w:hint="eastAsia" w:ascii="宋体" w:hAnsi="宋体"/>
          <w:b/>
          <w:color w:val="auto"/>
          <w:szCs w:val="21"/>
          <w:highlight w:val="none"/>
        </w:rPr>
        <w:t>第十四条  合同生效及其他</w:t>
      </w:r>
    </w:p>
    <w:p>
      <w:pPr>
        <w:spacing w:line="360" w:lineRule="exact"/>
        <w:ind w:firstLine="420"/>
        <w:rPr>
          <w:rFonts w:ascii="宋体" w:hAnsi="宋体"/>
          <w:color w:val="auto"/>
          <w:szCs w:val="21"/>
          <w:highlight w:val="none"/>
        </w:rPr>
      </w:pPr>
      <w:r>
        <w:rPr>
          <w:rFonts w:hint="eastAsia" w:ascii="宋体" w:hAnsi="宋体"/>
          <w:color w:val="auto"/>
          <w:szCs w:val="21"/>
          <w:highlight w:val="none"/>
        </w:rPr>
        <w:t>1.合同经甲乙双方法定代表人或相应的授权代表签字并加盖单位公章后生效。</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2.本合同未尽事宜，遵照《中华人民共和国民法典》有关条文执行。</w:t>
      </w:r>
    </w:p>
    <w:p>
      <w:pPr>
        <w:spacing w:line="360" w:lineRule="exact"/>
        <w:ind w:firstLine="411" w:firstLineChars="196"/>
        <w:rPr>
          <w:rFonts w:ascii="宋体" w:hAnsi="宋体"/>
          <w:b/>
          <w:color w:val="auto"/>
          <w:szCs w:val="21"/>
          <w:highlight w:val="none"/>
        </w:rPr>
      </w:pPr>
      <w:r>
        <w:rPr>
          <w:rFonts w:hint="eastAsia" w:ascii="宋体" w:hAnsi="宋体"/>
          <w:b/>
          <w:color w:val="auto"/>
          <w:szCs w:val="21"/>
          <w:highlight w:val="none"/>
        </w:rPr>
        <w:t>第十五条  合同的变更、终止与转让</w:t>
      </w:r>
    </w:p>
    <w:p>
      <w:pPr>
        <w:spacing w:line="360" w:lineRule="exact"/>
        <w:ind w:firstLine="420"/>
        <w:rPr>
          <w:rFonts w:ascii="宋体" w:hAnsi="宋体"/>
          <w:color w:val="auto"/>
          <w:szCs w:val="21"/>
          <w:highlight w:val="none"/>
        </w:rPr>
      </w:pPr>
      <w:r>
        <w:rPr>
          <w:rFonts w:hint="eastAsia" w:ascii="宋体" w:hAnsi="宋体"/>
          <w:color w:val="auto"/>
          <w:szCs w:val="21"/>
          <w:highlight w:val="none"/>
        </w:rPr>
        <w:t>1.本合同一经签订，甲乙双方不得擅自变更，中止或终止。</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2.乙方不得擅自转让(无进口资格的乙方委托进口货物除外)其应履行的合同义务。</w:t>
      </w:r>
    </w:p>
    <w:p>
      <w:pPr>
        <w:pStyle w:val="39"/>
        <w:tabs>
          <w:tab w:val="left" w:pos="1418"/>
        </w:tabs>
        <w:spacing w:after="156" w:afterLines="50" w:line="360" w:lineRule="exact"/>
        <w:ind w:firstLineChars="0"/>
        <w:jc w:val="left"/>
        <w:rPr>
          <w:rFonts w:ascii="宋体" w:hAnsi="宋体" w:cs="宋体"/>
          <w:b/>
          <w:color w:val="auto"/>
          <w:szCs w:val="21"/>
          <w:highlight w:val="none"/>
        </w:rPr>
      </w:pPr>
      <w:r>
        <w:rPr>
          <w:rFonts w:hint="eastAsia" w:ascii="宋体" w:hAnsi="宋体" w:cs="宋体"/>
          <w:b/>
          <w:color w:val="auto"/>
          <w:szCs w:val="21"/>
          <w:highlight w:val="none"/>
        </w:rPr>
        <w:t>第十六条 附则</w:t>
      </w:r>
    </w:p>
    <w:p>
      <w:pPr>
        <w:spacing w:line="360" w:lineRule="exact"/>
        <w:ind w:firstLine="420"/>
        <w:rPr>
          <w:rFonts w:ascii="宋体" w:hAnsi="宋体"/>
          <w:color w:val="auto"/>
          <w:szCs w:val="21"/>
          <w:highlight w:val="none"/>
        </w:rPr>
      </w:pPr>
      <w:r>
        <w:rPr>
          <w:rFonts w:hint="eastAsia" w:ascii="宋体" w:hAnsi="宋体"/>
          <w:color w:val="auto"/>
          <w:szCs w:val="21"/>
          <w:highlight w:val="none"/>
        </w:rPr>
        <w:t>1.本合同正本连同附件一式五份，甲乙双方各执二份，采购代理机构1份，具有同等法律效力。</w:t>
      </w:r>
    </w:p>
    <w:p>
      <w:pPr>
        <w:spacing w:line="360" w:lineRule="exact"/>
        <w:ind w:firstLine="420"/>
        <w:rPr>
          <w:rFonts w:ascii="宋体" w:hAnsi="宋体"/>
          <w:color w:val="auto"/>
          <w:szCs w:val="21"/>
          <w:highlight w:val="none"/>
        </w:rPr>
      </w:pPr>
      <w:r>
        <w:rPr>
          <w:rFonts w:hint="eastAsia" w:ascii="宋体" w:hAnsi="宋体"/>
          <w:color w:val="auto"/>
          <w:szCs w:val="21"/>
          <w:highlight w:val="none"/>
        </w:rPr>
        <w:t>2.本合同未尽事宜，由双方另行协商并签订书面补充协议。若补充协议与本合同规定不一致的，则应以补充协议的相关约定为准。未经对方事先书面同意，任何一方不得擅自修改本合同。</w:t>
      </w:r>
    </w:p>
    <w:p>
      <w:pPr>
        <w:spacing w:line="360" w:lineRule="exact"/>
        <w:ind w:firstLine="420"/>
        <w:rPr>
          <w:rFonts w:ascii="宋体" w:hAnsi="宋体"/>
          <w:color w:val="auto"/>
          <w:szCs w:val="21"/>
          <w:highlight w:val="none"/>
        </w:rPr>
      </w:pPr>
      <w:r>
        <w:rPr>
          <w:rFonts w:hint="eastAsia" w:ascii="宋体" w:hAnsi="宋体"/>
          <w:color w:val="auto"/>
          <w:szCs w:val="21"/>
          <w:highlight w:val="none"/>
        </w:rPr>
        <w:t>3.本合同所规定双方的任何权利和义务，任何一方在未经征得另一方书面同意之前，不得转让给第三方。任何权利义务的转让，未经另一方书面明确同意，均不产生任何法律效力。</w:t>
      </w:r>
    </w:p>
    <w:p>
      <w:pPr>
        <w:spacing w:line="360" w:lineRule="exact"/>
        <w:ind w:firstLine="420"/>
        <w:rPr>
          <w:rFonts w:ascii="宋体" w:hAnsi="宋体"/>
          <w:color w:val="auto"/>
          <w:szCs w:val="21"/>
          <w:highlight w:val="none"/>
        </w:rPr>
      </w:pPr>
      <w:r>
        <w:rPr>
          <w:rFonts w:hint="eastAsia" w:ascii="宋体" w:hAnsi="宋体"/>
          <w:color w:val="auto"/>
          <w:szCs w:val="21"/>
          <w:highlight w:val="none"/>
        </w:rPr>
        <w:t>4.本合同的附件、竞争性磋商文件、响应文件构成本合同的组成部分，与本合同均具有法律效力。</w:t>
      </w:r>
    </w:p>
    <w:p>
      <w:pPr>
        <w:spacing w:line="360" w:lineRule="exact"/>
        <w:ind w:firstLine="422"/>
        <w:jc w:val="left"/>
        <w:rPr>
          <w:rFonts w:ascii="宋体" w:hAnsi="宋体"/>
          <w:b/>
          <w:color w:val="auto"/>
          <w:szCs w:val="21"/>
          <w:highlight w:val="none"/>
        </w:rPr>
      </w:pPr>
      <w:r>
        <w:rPr>
          <w:rFonts w:hint="eastAsia" w:ascii="宋体" w:hAnsi="宋体"/>
          <w:b/>
          <w:color w:val="auto"/>
          <w:szCs w:val="21"/>
          <w:highlight w:val="none"/>
        </w:rPr>
        <w:t>第十七条　本合同书与下列文件一起构成合同文件</w:t>
      </w:r>
    </w:p>
    <w:p>
      <w:pPr>
        <w:spacing w:line="360" w:lineRule="exact"/>
        <w:ind w:firstLine="420"/>
        <w:jc w:val="left"/>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成交通知书；</w:t>
      </w:r>
    </w:p>
    <w:p>
      <w:pPr>
        <w:spacing w:line="360" w:lineRule="exact"/>
        <w:ind w:firstLine="420"/>
        <w:jc w:val="left"/>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s="宋体"/>
          <w:color w:val="auto"/>
          <w:kern w:val="0"/>
          <w:szCs w:val="21"/>
          <w:highlight w:val="none"/>
        </w:rPr>
        <w:t>磋商报价表</w:t>
      </w:r>
      <w:r>
        <w:rPr>
          <w:rFonts w:hint="eastAsia" w:ascii="宋体" w:hAnsi="宋体"/>
          <w:color w:val="auto"/>
          <w:szCs w:val="21"/>
          <w:highlight w:val="none"/>
        </w:rPr>
        <w:t>；</w:t>
      </w:r>
    </w:p>
    <w:p>
      <w:pPr>
        <w:spacing w:line="360" w:lineRule="exact"/>
        <w:ind w:firstLine="420"/>
        <w:jc w:val="left"/>
        <w:rPr>
          <w:rFonts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服务内容及要求响应表</w:t>
      </w:r>
      <w:r>
        <w:rPr>
          <w:rFonts w:hint="eastAsia" w:ascii="宋体" w:hAnsi="宋体"/>
          <w:color w:val="auto"/>
          <w:szCs w:val="21"/>
          <w:highlight w:val="none"/>
        </w:rPr>
        <w:t>；</w:t>
      </w:r>
    </w:p>
    <w:p>
      <w:pPr>
        <w:spacing w:line="360" w:lineRule="exact"/>
        <w:ind w:firstLine="42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s="宋体"/>
          <w:color w:val="auto"/>
          <w:kern w:val="0"/>
          <w:szCs w:val="21"/>
          <w:highlight w:val="none"/>
        </w:rPr>
        <w:t>商务响应表</w:t>
      </w:r>
      <w:r>
        <w:rPr>
          <w:rFonts w:hint="eastAsia" w:ascii="宋体" w:hAnsi="宋体"/>
          <w:color w:val="auto"/>
          <w:szCs w:val="21"/>
          <w:highlight w:val="none"/>
        </w:rPr>
        <w:t>；</w:t>
      </w:r>
    </w:p>
    <w:p>
      <w:pPr>
        <w:spacing w:line="360" w:lineRule="exact"/>
        <w:ind w:firstLine="42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其他合同文件。</w:t>
      </w:r>
    </w:p>
    <w:p>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本合同甲乙双方签字盖章后生效，一式四份，具有同等法律效力，甲乙双方各持一份。双方自签订之日起一个工作日内，乙方将合同原件一份交采购代理机构。采购人于合同签订之日起七个工作日内将一份合同原件送本级财政部门备案。</w:t>
      </w:r>
    </w:p>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采购人名称（公章）：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成交供应商名称（公章）：</w:t>
      </w:r>
      <w:r>
        <w:rPr>
          <w:rFonts w:hint="eastAsia" w:ascii="宋体" w:hAnsi="宋体" w:cs="宋体"/>
          <w:color w:val="auto"/>
          <w:szCs w:val="21"/>
          <w:highlight w:val="none"/>
          <w:u w:val="single"/>
        </w:rPr>
        <w:t xml:space="preserve">                                                    </w:t>
      </w:r>
    </w:p>
    <w:p>
      <w:pPr>
        <w:spacing w:line="360" w:lineRule="auto"/>
        <w:rPr>
          <w:rFonts w:ascii="宋体" w:hAnsi="宋体" w:cs="宋体"/>
          <w:color w:val="auto"/>
          <w:szCs w:val="21"/>
          <w:highlight w:val="none"/>
          <w:u w:val="singl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p>
    <w:p>
      <w:pPr>
        <w:tabs>
          <w:tab w:val="left" w:pos="468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tabs>
          <w:tab w:val="left" w:pos="5040"/>
        </w:tabs>
        <w:spacing w:line="360" w:lineRule="auto"/>
        <w:rPr>
          <w:rFonts w:ascii="宋体" w:hAnsi="宋体" w:cs="宋体"/>
          <w:color w:val="auto"/>
          <w:szCs w:val="21"/>
          <w:highlight w:val="none"/>
          <w:u w:val="singl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 </w:t>
      </w:r>
      <w:r>
        <w:rPr>
          <w:rFonts w:hint="eastAsia" w:ascii="宋体" w:hAnsi="宋体" w:cs="宋体"/>
          <w:color w:val="auto"/>
          <w:szCs w:val="21"/>
          <w:highlight w:val="none"/>
          <w:u w:val="singl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color w:val="auto"/>
          <w:szCs w:val="21"/>
          <w:highlight w:val="none"/>
        </w:rPr>
      </w:pPr>
      <w:r>
        <w:rPr>
          <w:rFonts w:hint="eastAsia" w:ascii="宋体" w:hAnsi="宋体" w:cs="宋体"/>
          <w:color w:val="auto"/>
          <w:szCs w:val="21"/>
          <w:highlight w:val="none"/>
        </w:rPr>
        <w:t>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tabs>
          <w:tab w:val="left" w:pos="5040"/>
        </w:tabs>
        <w:spacing w:line="360" w:lineRule="auto"/>
        <w:rPr>
          <w:rFonts w:ascii="宋体" w:hAnsi="宋体" w:cs="宋体"/>
          <w:color w:val="auto"/>
          <w:highlight w:val="none"/>
        </w:rPr>
      </w:pPr>
      <w:r>
        <w:rPr>
          <w:rFonts w:hint="eastAsia" w:ascii="宋体" w:hAnsi="宋体" w:cs="宋体"/>
          <w:color w:val="auto"/>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rPr>
          <w:rFonts w:ascii="宋体" w:hAnsi="宋体" w:cs="宋体"/>
          <w:color w:val="auto"/>
          <w:highlight w:val="none"/>
        </w:rPr>
      </w:pPr>
    </w:p>
    <w:p>
      <w:pPr>
        <w:pStyle w:val="8"/>
        <w:rPr>
          <w:rFonts w:ascii="宋体" w:hAnsi="宋体" w:cs="宋体"/>
          <w:color w:val="auto"/>
          <w:highlight w:val="none"/>
        </w:rPr>
      </w:pPr>
    </w:p>
    <w:p>
      <w:pPr>
        <w:pStyle w:val="3"/>
        <w:ind w:left="0" w:firstLine="0"/>
        <w:rPr>
          <w:rFonts w:ascii="宋体" w:hAnsi="宋体" w:cs="宋体"/>
          <w:b/>
          <w:color w:val="auto"/>
          <w:kern w:val="44"/>
          <w:sz w:val="32"/>
          <w:highlight w:val="none"/>
        </w:rPr>
      </w:pPr>
      <w:bookmarkStart w:id="116" w:name="_Toc24269"/>
      <w:bookmarkStart w:id="117" w:name="_Toc10014"/>
    </w:p>
    <w:p>
      <w:pPr>
        <w:rPr>
          <w:rFonts w:ascii="宋体" w:hAnsi="宋体" w:cs="宋体"/>
          <w:b/>
          <w:bCs/>
          <w:color w:val="auto"/>
          <w:kern w:val="44"/>
          <w:sz w:val="32"/>
          <w:szCs w:val="32"/>
          <w:highlight w:val="none"/>
        </w:rPr>
      </w:pPr>
    </w:p>
    <w:p>
      <w:pPr>
        <w:pStyle w:val="8"/>
        <w:rPr>
          <w:rFonts w:ascii="宋体" w:hAnsi="宋体" w:cs="宋体"/>
          <w:b/>
          <w:bCs/>
          <w:color w:val="auto"/>
          <w:kern w:val="44"/>
          <w:sz w:val="32"/>
          <w:szCs w:val="32"/>
          <w:highlight w:val="none"/>
        </w:rPr>
      </w:pPr>
    </w:p>
    <w:p>
      <w:pPr>
        <w:rPr>
          <w:color w:val="auto"/>
          <w:highlight w:val="none"/>
        </w:rPr>
      </w:pPr>
    </w:p>
    <w:p>
      <w:pPr>
        <w:widowControl/>
        <w:jc w:val="left"/>
        <w:rPr>
          <w:rFonts w:ascii="宋体" w:hAnsi="宋体" w:cs="宋体"/>
          <w:b/>
          <w:bCs/>
          <w:color w:val="auto"/>
          <w:kern w:val="44"/>
          <w:sz w:val="32"/>
          <w:szCs w:val="32"/>
          <w:highlight w:val="none"/>
          <w:lang w:val="pt-BR"/>
        </w:rPr>
      </w:pPr>
      <w:r>
        <w:rPr>
          <w:rFonts w:ascii="宋体" w:hAnsi="宋体" w:cs="宋体"/>
          <w:b/>
          <w:color w:val="auto"/>
          <w:kern w:val="44"/>
          <w:sz w:val="32"/>
          <w:highlight w:val="none"/>
        </w:rPr>
        <w:br w:type="page"/>
      </w:r>
    </w:p>
    <w:p>
      <w:pPr>
        <w:pStyle w:val="3"/>
        <w:ind w:left="0" w:firstLine="0"/>
        <w:jc w:val="center"/>
        <w:rPr>
          <w:rFonts w:ascii="宋体" w:hAnsi="宋体" w:cs="宋体"/>
          <w:b/>
          <w:color w:val="auto"/>
          <w:highlight w:val="none"/>
        </w:rPr>
      </w:pPr>
      <w:bookmarkStart w:id="118" w:name="_Toc155802485"/>
      <w:r>
        <w:rPr>
          <w:rFonts w:hint="eastAsia" w:ascii="宋体" w:hAnsi="宋体" w:cs="宋体"/>
          <w:b/>
          <w:color w:val="auto"/>
          <w:kern w:val="44"/>
          <w:sz w:val="32"/>
          <w:highlight w:val="none"/>
        </w:rPr>
        <w:t xml:space="preserve">第六章  </w:t>
      </w:r>
      <w:bookmarkEnd w:id="116"/>
      <w:bookmarkEnd w:id="117"/>
      <w:bookmarkStart w:id="119" w:name="_Toc13185"/>
      <w:r>
        <w:rPr>
          <w:rFonts w:hint="eastAsia" w:ascii="宋体" w:hAnsi="宋体" w:cs="宋体"/>
          <w:b/>
          <w:color w:val="auto"/>
          <w:sz w:val="32"/>
          <w:highlight w:val="none"/>
        </w:rPr>
        <w:t>响应文件（格式）</w:t>
      </w:r>
      <w:bookmarkEnd w:id="118"/>
      <w:bookmarkEnd w:id="119"/>
    </w:p>
    <w:p>
      <w:pPr>
        <w:rPr>
          <w:rFonts w:ascii="宋体" w:hAnsi="宋体" w:cs="宋体"/>
          <w:color w:val="auto"/>
          <w:highlight w:val="none"/>
        </w:rPr>
      </w:pPr>
    </w:p>
    <w:p>
      <w:pPr>
        <w:pStyle w:val="11"/>
        <w:rPr>
          <w:rFonts w:hAnsi="宋体" w:cs="宋体"/>
          <w:b/>
          <w:color w:val="auto"/>
          <w:sz w:val="32"/>
          <w:highlight w:val="none"/>
        </w:rPr>
      </w:pPr>
      <w:bookmarkStart w:id="120" w:name="_Toc497927069"/>
      <w:bookmarkStart w:id="121" w:name="_Toc18351"/>
      <w:bookmarkStart w:id="122" w:name="_Toc21496"/>
      <w:r>
        <w:rPr>
          <w:rFonts w:hint="eastAsia" w:hAnsi="宋体" w:cs="宋体"/>
          <w:b/>
          <w:color w:val="auto"/>
          <w:sz w:val="32"/>
          <w:highlight w:val="none"/>
        </w:rPr>
        <w:t>一、响应文件袋（盒、箱）标记</w:t>
      </w:r>
      <w:bookmarkEnd w:id="120"/>
      <w:bookmarkEnd w:id="121"/>
      <w:bookmarkEnd w:id="122"/>
    </w:p>
    <w:p>
      <w:pPr>
        <w:adjustRightInd w:val="0"/>
        <w:snapToGrid w:val="0"/>
        <w:rPr>
          <w:rFonts w:ascii="宋体" w:hAnsi="宋体" w:cs="宋体"/>
          <w:b/>
          <w:color w:val="auto"/>
          <w:sz w:val="44"/>
          <w:szCs w:val="44"/>
          <w:highlight w:val="none"/>
        </w:rPr>
      </w:pPr>
    </w:p>
    <w:p>
      <w:pPr>
        <w:pStyle w:val="26"/>
        <w:rPr>
          <w:rFonts w:ascii="宋体" w:hAnsi="宋体" w:cs="宋体"/>
          <w:color w:val="auto"/>
          <w:highlight w:val="none"/>
        </w:rPr>
      </w:pPr>
    </w:p>
    <w:p>
      <w:pPr>
        <w:snapToGrid w:val="0"/>
        <w:spacing w:before="156" w:beforeLines="50" w:after="50"/>
        <w:jc w:val="center"/>
        <w:rPr>
          <w:rFonts w:ascii="宋体" w:hAnsi="宋体" w:cs="宋体"/>
          <w:b/>
          <w:color w:val="auto"/>
          <w:sz w:val="36"/>
          <w:szCs w:val="36"/>
          <w:highlight w:val="none"/>
        </w:rPr>
      </w:pPr>
      <w:r>
        <w:rPr>
          <w:rFonts w:hint="eastAsia" w:ascii="宋体" w:hAnsi="宋体" w:cs="宋体"/>
          <w:b/>
          <w:color w:val="auto"/>
          <w:sz w:val="36"/>
          <w:szCs w:val="36"/>
          <w:highlight w:val="none"/>
        </w:rPr>
        <w:t>响 应 文 件</w:t>
      </w:r>
    </w:p>
    <w:p>
      <w:pPr>
        <w:snapToGrid w:val="0"/>
        <w:spacing w:before="156" w:beforeLines="50" w:after="50"/>
        <w:ind w:firstLine="480" w:firstLineChars="150"/>
        <w:rPr>
          <w:rFonts w:ascii="宋体" w:hAnsi="宋体" w:cs="宋体"/>
          <w:b/>
          <w:color w:val="auto"/>
          <w:sz w:val="28"/>
          <w:szCs w:val="28"/>
          <w:highlight w:val="none"/>
        </w:rPr>
      </w:pPr>
      <w:r>
        <w:rPr>
          <w:rFonts w:hint="eastAsia" w:ascii="宋体" w:hAnsi="宋体" w:cs="宋体"/>
          <w:color w:val="auto"/>
          <w:sz w:val="32"/>
          <w:szCs w:val="32"/>
          <w:highlight w:val="none"/>
        </w:rPr>
        <w:t xml:space="preserve">                       </w:t>
      </w:r>
    </w:p>
    <w:p>
      <w:pPr>
        <w:snapToGrid w:val="0"/>
        <w:spacing w:before="156" w:beforeLines="50" w:after="50"/>
        <w:ind w:firstLine="420" w:firstLineChars="150"/>
        <w:rPr>
          <w:rFonts w:ascii="宋体" w:hAnsi="宋体" w:cs="宋体"/>
          <w:b/>
          <w:color w:val="auto"/>
          <w:sz w:val="28"/>
          <w:szCs w:val="28"/>
          <w:highlight w:val="none"/>
        </w:rPr>
      </w:pPr>
    </w:p>
    <w:p>
      <w:pPr>
        <w:snapToGrid w:val="0"/>
        <w:spacing w:before="156" w:beforeLines="50" w:after="50"/>
        <w:ind w:firstLine="420" w:firstLineChars="150"/>
        <w:rPr>
          <w:rFonts w:ascii="宋体" w:hAnsi="宋体" w:cs="宋体"/>
          <w:b/>
          <w:color w:val="auto"/>
          <w:sz w:val="28"/>
          <w:szCs w:val="28"/>
          <w:highlight w:val="none"/>
        </w:rPr>
      </w:pPr>
    </w:p>
    <w:p>
      <w:pPr>
        <w:snapToGrid w:val="0"/>
        <w:spacing w:before="156" w:beforeLines="50" w:after="50"/>
        <w:ind w:firstLine="2693" w:firstLineChars="962"/>
        <w:rPr>
          <w:rFonts w:ascii="宋体" w:hAnsi="宋体" w:cs="宋体"/>
          <w:b/>
          <w:color w:val="auto"/>
          <w:sz w:val="28"/>
          <w:szCs w:val="28"/>
          <w:highlight w:val="none"/>
          <w:u w:val="single"/>
        </w:rPr>
      </w:pPr>
      <w:r>
        <w:rPr>
          <w:rFonts w:hint="eastAsia" w:ascii="宋体" w:hAnsi="宋体" w:cs="宋体"/>
          <w:b/>
          <w:color w:val="auto"/>
          <w:sz w:val="28"/>
          <w:szCs w:val="28"/>
          <w:highlight w:val="none"/>
        </w:rPr>
        <w:t>项目名称：</w:t>
      </w:r>
      <w:r>
        <w:rPr>
          <w:rFonts w:hint="eastAsia" w:ascii="宋体" w:hAnsi="宋体" w:cs="宋体"/>
          <w:b/>
          <w:color w:val="auto"/>
          <w:sz w:val="28"/>
          <w:szCs w:val="28"/>
          <w:highlight w:val="none"/>
          <w:u w:val="single"/>
        </w:rPr>
        <w:t>桂林市公安局秀峰分局食堂食材定点采购项目</w:t>
      </w:r>
    </w:p>
    <w:p>
      <w:pPr>
        <w:snapToGrid w:val="0"/>
        <w:spacing w:before="156" w:beforeLines="50" w:after="50"/>
        <w:ind w:firstLine="2693" w:firstLineChars="962"/>
        <w:rPr>
          <w:rFonts w:ascii="宋体" w:hAnsi="宋体" w:cs="宋体"/>
          <w:b/>
          <w:color w:val="auto"/>
          <w:sz w:val="28"/>
          <w:szCs w:val="28"/>
          <w:highlight w:val="none"/>
        </w:rPr>
      </w:pPr>
    </w:p>
    <w:p>
      <w:pPr>
        <w:snapToGrid w:val="0"/>
        <w:spacing w:before="156" w:beforeLines="50" w:after="50"/>
        <w:ind w:firstLine="2693" w:firstLineChars="962"/>
        <w:rPr>
          <w:rFonts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宋体"/>
          <w:b/>
          <w:color w:val="auto"/>
          <w:sz w:val="28"/>
          <w:szCs w:val="28"/>
          <w:highlight w:val="none"/>
          <w:u w:val="single"/>
        </w:rPr>
        <w:t>GLZC2024-C3-990013-GXAZ</w:t>
      </w:r>
    </w:p>
    <w:p>
      <w:pPr>
        <w:rPr>
          <w:rFonts w:ascii="宋体" w:hAnsi="宋体" w:cs="宋体"/>
          <w:b/>
          <w:color w:val="auto"/>
          <w:highlight w:val="none"/>
        </w:rPr>
      </w:pPr>
    </w:p>
    <w:p>
      <w:pPr>
        <w:spacing w:line="400" w:lineRule="exact"/>
        <w:ind w:firstLine="2693" w:firstLineChars="962"/>
        <w:rPr>
          <w:rFonts w:ascii="宋体" w:hAnsi="宋体" w:cs="宋体"/>
          <w:b/>
          <w:color w:val="auto"/>
          <w:sz w:val="28"/>
          <w:szCs w:val="28"/>
          <w:highlight w:val="none"/>
        </w:rPr>
      </w:pPr>
    </w:p>
    <w:p>
      <w:pPr>
        <w:pStyle w:val="26"/>
        <w:rPr>
          <w:rFonts w:ascii="宋体" w:hAnsi="宋体" w:cs="宋体"/>
          <w:b/>
          <w:color w:val="auto"/>
          <w:sz w:val="28"/>
          <w:szCs w:val="28"/>
          <w:highlight w:val="none"/>
        </w:rPr>
      </w:pPr>
    </w:p>
    <w:p>
      <w:pPr>
        <w:pStyle w:val="26"/>
        <w:rPr>
          <w:rFonts w:ascii="宋体" w:hAnsi="宋体" w:cs="宋体"/>
          <w:b/>
          <w:color w:val="auto"/>
          <w:sz w:val="28"/>
          <w:szCs w:val="28"/>
          <w:highlight w:val="none"/>
        </w:rPr>
      </w:pPr>
    </w:p>
    <w:p>
      <w:pPr>
        <w:pStyle w:val="26"/>
        <w:rPr>
          <w:rFonts w:ascii="宋体" w:hAnsi="宋体" w:cs="宋体"/>
          <w:b/>
          <w:color w:val="auto"/>
          <w:sz w:val="28"/>
          <w:szCs w:val="28"/>
          <w:highlight w:val="none"/>
        </w:rPr>
      </w:pPr>
    </w:p>
    <w:p>
      <w:pPr>
        <w:snapToGrid w:val="0"/>
        <w:spacing w:before="156" w:beforeLines="50" w:after="50"/>
        <w:ind w:firstLine="2693" w:firstLineChars="962"/>
        <w:rPr>
          <w:rFonts w:ascii="宋体" w:hAnsi="宋体" w:cs="宋体"/>
          <w:b/>
          <w:color w:val="auto"/>
          <w:sz w:val="28"/>
          <w:szCs w:val="28"/>
          <w:highlight w:val="none"/>
          <w:u w:val="single"/>
        </w:rPr>
      </w:pPr>
      <w:r>
        <w:rPr>
          <w:rFonts w:hint="eastAsia" w:ascii="宋体" w:hAnsi="宋体" w:cs="宋体"/>
          <w:b/>
          <w:color w:val="auto"/>
          <w:sz w:val="28"/>
          <w:szCs w:val="28"/>
          <w:highlight w:val="none"/>
        </w:rPr>
        <w:t>采购代理机构：</w:t>
      </w:r>
      <w:r>
        <w:rPr>
          <w:rFonts w:hint="eastAsia" w:ascii="宋体" w:hAnsi="宋体" w:cs="宋体"/>
          <w:b/>
          <w:color w:val="auto"/>
          <w:sz w:val="28"/>
          <w:szCs w:val="28"/>
          <w:highlight w:val="none"/>
          <w:u w:val="single"/>
        </w:rPr>
        <w:t xml:space="preserve"> 广西安臻工程管理有限公司   </w:t>
      </w:r>
    </w:p>
    <w:p>
      <w:pPr>
        <w:pStyle w:val="9"/>
        <w:ind w:left="980" w:hanging="560" w:hangingChars="200"/>
        <w:rPr>
          <w:rFonts w:ascii="宋体" w:hAnsi="宋体" w:cs="宋体"/>
          <w:bCs/>
          <w:color w:val="auto"/>
          <w:sz w:val="28"/>
          <w:szCs w:val="28"/>
          <w:highlight w:val="none"/>
        </w:rPr>
      </w:pPr>
      <w:bookmarkStart w:id="123" w:name="_Toc4932_WPSOffice_Level2"/>
      <w:bookmarkStart w:id="124" w:name="_Toc20319_WPSOffice_Level2"/>
      <w:r>
        <w:rPr>
          <w:rFonts w:hint="eastAsia" w:ascii="宋体" w:hAnsi="宋体" w:cs="宋体"/>
          <w:bCs/>
          <w:color w:val="auto"/>
          <w:sz w:val="28"/>
          <w:szCs w:val="28"/>
          <w:highlight w:val="none"/>
        </w:rPr>
        <w:t>磋商供应商[公章(CA签章)、自然人除外]：</w:t>
      </w:r>
      <w:r>
        <w:rPr>
          <w:rFonts w:hint="eastAsia" w:ascii="宋体" w:hAnsi="宋体" w:cs="宋体"/>
          <w:bCs/>
          <w:color w:val="auto"/>
          <w:sz w:val="28"/>
          <w:szCs w:val="28"/>
          <w:highlight w:val="none"/>
          <w:u w:val="single"/>
        </w:rPr>
        <w:t xml:space="preserve">                       </w:t>
      </w:r>
      <w:bookmarkEnd w:id="123"/>
      <w:bookmarkEnd w:id="124"/>
      <w:r>
        <w:rPr>
          <w:rFonts w:hint="eastAsia" w:ascii="宋体" w:hAnsi="宋体" w:cs="宋体"/>
          <w:bCs/>
          <w:color w:val="auto"/>
          <w:sz w:val="28"/>
          <w:szCs w:val="28"/>
          <w:highlight w:val="none"/>
          <w:u w:val="single"/>
        </w:rPr>
        <w:t xml:space="preserve">       </w:t>
      </w:r>
    </w:p>
    <w:p>
      <w:pPr>
        <w:pStyle w:val="11"/>
        <w:spacing w:line="320" w:lineRule="exact"/>
        <w:ind w:firstLine="420"/>
        <w:rPr>
          <w:rFonts w:hAnsi="宋体" w:cs="宋体"/>
          <w:color w:val="auto"/>
          <w:sz w:val="28"/>
          <w:szCs w:val="28"/>
          <w:highlight w:val="none"/>
        </w:rPr>
      </w:pPr>
      <w:bookmarkStart w:id="125" w:name="_Toc32056_WPSOffice_Level2"/>
      <w:bookmarkStart w:id="126" w:name="_Toc9622_WPSOffice_Level2"/>
      <w:r>
        <w:rPr>
          <w:rFonts w:hint="eastAsia" w:hAnsi="宋体" w:cs="宋体"/>
          <w:color w:val="auto"/>
          <w:sz w:val="28"/>
          <w:szCs w:val="28"/>
          <w:highlight w:val="none"/>
        </w:rPr>
        <w:t>法定代表人、负责人、自然人或相应的委托代理人签字[或盖章(CA签章)]</w:t>
      </w:r>
    </w:p>
    <w:p>
      <w:pPr>
        <w:pStyle w:val="9"/>
        <w:ind w:left="980" w:hanging="560" w:hangingChars="200"/>
        <w:rPr>
          <w:rFonts w:ascii="宋体" w:hAnsi="宋体" w:cs="宋体"/>
          <w:color w:val="auto"/>
          <w:sz w:val="28"/>
          <w:szCs w:val="28"/>
          <w:highlight w:val="none"/>
          <w:u w:val="single"/>
        </w:rPr>
      </w:pPr>
      <w:r>
        <w:rPr>
          <w:rFonts w:hint="eastAsia" w:ascii="宋体" w:hAnsi="宋体" w:cs="宋体"/>
          <w:color w:val="auto"/>
          <w:sz w:val="28"/>
          <w:szCs w:val="28"/>
          <w:highlight w:val="none"/>
        </w:rPr>
        <w:t>（属自然人的应在签名处加盖大拇指指印或个人CA签章）：</w:t>
      </w:r>
      <w:r>
        <w:rPr>
          <w:rFonts w:hint="eastAsia" w:ascii="宋体" w:hAnsi="宋体" w:cs="宋体"/>
          <w:color w:val="auto"/>
          <w:sz w:val="28"/>
          <w:szCs w:val="28"/>
          <w:highlight w:val="none"/>
          <w:u w:val="single"/>
        </w:rPr>
        <w:t xml:space="preserve">              </w:t>
      </w:r>
    </w:p>
    <w:p>
      <w:pPr>
        <w:pStyle w:val="9"/>
        <w:ind w:left="980" w:hanging="560" w:hangingChars="200"/>
        <w:rPr>
          <w:rFonts w:ascii="宋体" w:hAnsi="宋体" w:cs="宋体"/>
          <w:bCs/>
          <w:color w:val="auto"/>
          <w:sz w:val="28"/>
          <w:szCs w:val="28"/>
          <w:highlight w:val="none"/>
          <w:u w:val="single"/>
        </w:rPr>
      </w:pPr>
      <w:r>
        <w:rPr>
          <w:rFonts w:hint="eastAsia" w:ascii="宋体" w:hAnsi="宋体" w:cs="宋体"/>
          <w:bCs/>
          <w:color w:val="auto"/>
          <w:sz w:val="28"/>
          <w:szCs w:val="28"/>
          <w:highlight w:val="none"/>
        </w:rPr>
        <w:t>联系电话：</w:t>
      </w:r>
      <w:bookmarkEnd w:id="125"/>
      <w:bookmarkEnd w:id="126"/>
      <w:r>
        <w:rPr>
          <w:rFonts w:hint="eastAsia" w:ascii="宋体" w:hAnsi="宋体" w:cs="宋体"/>
          <w:bCs/>
          <w:color w:val="auto"/>
          <w:sz w:val="28"/>
          <w:szCs w:val="28"/>
          <w:highlight w:val="none"/>
          <w:u w:val="single"/>
        </w:rPr>
        <w:t xml:space="preserve">                                                </w:t>
      </w:r>
    </w:p>
    <w:p>
      <w:pPr>
        <w:pStyle w:val="9"/>
        <w:ind w:left="980" w:hanging="560" w:hangingChars="200"/>
        <w:rPr>
          <w:rFonts w:ascii="宋体" w:hAnsi="宋体" w:cs="宋体"/>
          <w:bCs/>
          <w:color w:val="auto"/>
          <w:sz w:val="28"/>
          <w:szCs w:val="28"/>
          <w:highlight w:val="none"/>
        </w:rPr>
      </w:pPr>
      <w:bookmarkStart w:id="127" w:name="_Toc15933_WPSOffice_Level2"/>
      <w:bookmarkStart w:id="128" w:name="_Toc26465_WPSOffice_Level2"/>
      <w:r>
        <w:rPr>
          <w:rFonts w:hint="eastAsia" w:ascii="宋体" w:hAnsi="宋体" w:cs="宋体"/>
          <w:bCs/>
          <w:color w:val="auto"/>
          <w:sz w:val="28"/>
          <w:szCs w:val="28"/>
          <w:highlight w:val="none"/>
        </w:rPr>
        <w:t>日期：</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年</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月</w:t>
      </w:r>
      <w:r>
        <w:rPr>
          <w:rFonts w:hint="eastAsia" w:ascii="宋体" w:hAnsi="宋体" w:cs="宋体"/>
          <w:bCs/>
          <w:color w:val="auto"/>
          <w:sz w:val="28"/>
          <w:szCs w:val="28"/>
          <w:highlight w:val="none"/>
          <w:u w:val="single"/>
        </w:rPr>
        <w:t xml:space="preserve">           </w:t>
      </w:r>
      <w:r>
        <w:rPr>
          <w:rFonts w:hint="eastAsia" w:ascii="宋体" w:hAnsi="宋体" w:cs="宋体"/>
          <w:bCs/>
          <w:color w:val="auto"/>
          <w:sz w:val="28"/>
          <w:szCs w:val="28"/>
          <w:highlight w:val="none"/>
        </w:rPr>
        <w:t>日</w:t>
      </w:r>
      <w:bookmarkEnd w:id="127"/>
      <w:bookmarkEnd w:id="128"/>
    </w:p>
    <w:p>
      <w:pPr>
        <w:pStyle w:val="9"/>
        <w:ind w:left="980" w:hanging="560" w:hangingChars="200"/>
        <w:rPr>
          <w:rFonts w:ascii="宋体" w:hAnsi="宋体" w:cs="宋体"/>
          <w:bCs/>
          <w:color w:val="auto"/>
          <w:sz w:val="28"/>
          <w:szCs w:val="28"/>
          <w:highlight w:val="none"/>
        </w:rPr>
      </w:pPr>
    </w:p>
    <w:p>
      <w:pPr>
        <w:pStyle w:val="9"/>
        <w:ind w:left="980" w:hanging="560" w:hangingChars="200"/>
        <w:rPr>
          <w:rFonts w:ascii="宋体" w:hAnsi="宋体" w:cs="宋体"/>
          <w:bCs/>
          <w:color w:val="auto"/>
          <w:sz w:val="28"/>
          <w:szCs w:val="28"/>
          <w:highlight w:val="none"/>
        </w:rPr>
      </w:pPr>
    </w:p>
    <w:p>
      <w:pPr>
        <w:numPr>
          <w:ilvl w:val="0"/>
          <w:numId w:val="6"/>
        </w:numPr>
        <w:rPr>
          <w:rFonts w:ascii="宋体" w:hAnsi="宋体" w:cs="宋体"/>
          <w:b/>
          <w:bCs/>
          <w:color w:val="auto"/>
          <w:sz w:val="32"/>
          <w:szCs w:val="32"/>
          <w:highlight w:val="none"/>
        </w:rPr>
      </w:pPr>
      <w:bookmarkStart w:id="129" w:name="_Toc19430"/>
      <w:bookmarkStart w:id="130" w:name="_Toc497927070"/>
      <w:bookmarkStart w:id="131" w:name="_Toc21615"/>
      <w:r>
        <w:rPr>
          <w:rFonts w:hint="eastAsia" w:ascii="宋体" w:hAnsi="宋体" w:cs="宋体"/>
          <w:b/>
          <w:bCs/>
          <w:color w:val="auto"/>
          <w:sz w:val="32"/>
          <w:szCs w:val="32"/>
          <w:highlight w:val="none"/>
        </w:rPr>
        <w:t>响应文件组成</w:t>
      </w:r>
      <w:bookmarkEnd w:id="129"/>
      <w:bookmarkEnd w:id="130"/>
      <w:bookmarkEnd w:id="131"/>
    </w:p>
    <w:p>
      <w:pPr>
        <w:pStyle w:val="8"/>
        <w:rPr>
          <w:rFonts w:ascii="宋体" w:hAnsi="宋体" w:cs="宋体"/>
          <w:color w:val="auto"/>
          <w:highlight w:val="none"/>
        </w:rPr>
      </w:pPr>
    </w:p>
    <w:p>
      <w:pPr>
        <w:pStyle w:val="8"/>
        <w:rPr>
          <w:rFonts w:ascii="宋体" w:hAnsi="宋体" w:cs="宋体"/>
          <w:color w:val="auto"/>
          <w:highlight w:val="none"/>
        </w:rPr>
      </w:pPr>
    </w:p>
    <w:p>
      <w:pPr>
        <w:spacing w:line="400" w:lineRule="exact"/>
        <w:rPr>
          <w:rFonts w:ascii="宋体" w:hAnsi="宋体" w:cs="宋体"/>
          <w:b/>
          <w:bCs/>
          <w:color w:val="auto"/>
          <w:sz w:val="28"/>
          <w:szCs w:val="28"/>
          <w:highlight w:val="none"/>
        </w:rPr>
      </w:pPr>
    </w:p>
    <w:p>
      <w:pPr>
        <w:pStyle w:val="8"/>
        <w:rPr>
          <w:rFonts w:ascii="宋体" w:hAnsi="宋体" w:cs="宋体"/>
          <w:b/>
          <w:bCs/>
          <w:color w:val="auto"/>
          <w:sz w:val="28"/>
          <w:szCs w:val="28"/>
          <w:highlight w:val="none"/>
        </w:rPr>
      </w:pPr>
    </w:p>
    <w:p>
      <w:pPr>
        <w:numPr>
          <w:ilvl w:val="0"/>
          <w:numId w:val="7"/>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资格性响应证明材料</w:t>
      </w:r>
    </w:p>
    <w:p>
      <w:pPr>
        <w:pStyle w:val="8"/>
        <w:rPr>
          <w:rFonts w:ascii="宋体" w:hAnsi="宋体" w:cs="宋体"/>
          <w:b/>
          <w:bCs/>
          <w:color w:val="auto"/>
          <w:sz w:val="28"/>
          <w:szCs w:val="28"/>
          <w:highlight w:val="none"/>
        </w:rPr>
      </w:pPr>
    </w:p>
    <w:p>
      <w:pPr>
        <w:pStyle w:val="8"/>
        <w:rPr>
          <w:rFonts w:ascii="宋体" w:hAnsi="宋体" w:cs="宋体"/>
          <w:b/>
          <w:bCs/>
          <w:color w:val="auto"/>
          <w:sz w:val="28"/>
          <w:szCs w:val="28"/>
          <w:highlight w:val="none"/>
        </w:rPr>
      </w:pPr>
    </w:p>
    <w:p>
      <w:pPr>
        <w:numPr>
          <w:ilvl w:val="0"/>
          <w:numId w:val="7"/>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符合性响应证明材料</w:t>
      </w:r>
    </w:p>
    <w:p>
      <w:pPr>
        <w:pStyle w:val="8"/>
        <w:rPr>
          <w:rFonts w:ascii="宋体" w:hAnsi="宋体" w:cs="宋体"/>
          <w:b/>
          <w:bCs/>
          <w:color w:val="auto"/>
          <w:sz w:val="28"/>
          <w:szCs w:val="28"/>
          <w:highlight w:val="none"/>
        </w:rPr>
      </w:pPr>
    </w:p>
    <w:p>
      <w:pPr>
        <w:pStyle w:val="8"/>
        <w:rPr>
          <w:rFonts w:ascii="宋体" w:hAnsi="宋体" w:cs="宋体"/>
          <w:b/>
          <w:bCs/>
          <w:color w:val="auto"/>
          <w:sz w:val="28"/>
          <w:szCs w:val="28"/>
          <w:highlight w:val="none"/>
        </w:rPr>
      </w:pPr>
    </w:p>
    <w:p>
      <w:pPr>
        <w:numPr>
          <w:ilvl w:val="0"/>
          <w:numId w:val="7"/>
        </w:numPr>
        <w:spacing w:line="400" w:lineRule="exact"/>
        <w:ind w:firstLine="565" w:firstLineChars="202"/>
        <w:rPr>
          <w:rFonts w:ascii="宋体" w:hAnsi="宋体" w:cs="宋体"/>
          <w:b/>
          <w:bCs/>
          <w:color w:val="auto"/>
          <w:sz w:val="28"/>
          <w:szCs w:val="28"/>
          <w:highlight w:val="none"/>
        </w:rPr>
      </w:pPr>
      <w:r>
        <w:rPr>
          <w:rFonts w:hint="eastAsia" w:ascii="宋体" w:hAnsi="宋体" w:cs="宋体"/>
          <w:b/>
          <w:bCs/>
          <w:color w:val="auto"/>
          <w:sz w:val="28"/>
          <w:szCs w:val="28"/>
          <w:highlight w:val="none"/>
        </w:rPr>
        <w:t>其他有效证明材料</w:t>
      </w:r>
    </w:p>
    <w:p>
      <w:pPr>
        <w:pStyle w:val="26"/>
        <w:rPr>
          <w:rFonts w:ascii="宋体" w:hAnsi="宋体" w:cs="宋体"/>
          <w:color w:val="auto"/>
          <w:highlight w:val="none"/>
        </w:rPr>
      </w:pPr>
    </w:p>
    <w:p>
      <w:pPr>
        <w:tabs>
          <w:tab w:val="left" w:pos="5040"/>
        </w:tabs>
        <w:spacing w:line="400" w:lineRule="exact"/>
        <w:rPr>
          <w:rFonts w:ascii="宋体" w:hAnsi="宋体" w:cs="宋体"/>
          <w:color w:val="auto"/>
          <w:szCs w:val="21"/>
          <w:highlight w:val="none"/>
        </w:rPr>
      </w:pPr>
    </w:p>
    <w:p>
      <w:pPr>
        <w:pStyle w:val="8"/>
        <w:rPr>
          <w:rFonts w:ascii="宋体" w:hAnsi="宋体" w:cs="宋体"/>
          <w:color w:val="auto"/>
          <w:szCs w:val="21"/>
          <w:highlight w:val="none"/>
        </w:rPr>
      </w:pPr>
    </w:p>
    <w:p>
      <w:pPr>
        <w:pStyle w:val="8"/>
        <w:rPr>
          <w:rFonts w:ascii="宋体" w:hAnsi="宋体" w:cs="宋体"/>
          <w:color w:val="auto"/>
          <w:szCs w:val="21"/>
          <w:highlight w:val="none"/>
        </w:rPr>
      </w:pPr>
    </w:p>
    <w:p>
      <w:pPr>
        <w:pStyle w:val="8"/>
        <w:rPr>
          <w:rFonts w:ascii="宋体" w:hAnsi="宋体" w:cs="宋体"/>
          <w:color w:val="auto"/>
          <w:szCs w:val="21"/>
          <w:highlight w:val="none"/>
        </w:rPr>
      </w:pPr>
    </w:p>
    <w:p>
      <w:pPr>
        <w:pStyle w:val="8"/>
        <w:rPr>
          <w:rFonts w:ascii="宋体" w:hAnsi="宋体" w:cs="宋体"/>
          <w:color w:val="auto"/>
          <w:szCs w:val="21"/>
          <w:highlight w:val="none"/>
        </w:rPr>
      </w:pPr>
    </w:p>
    <w:p>
      <w:pPr>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pStyle w:val="26"/>
        <w:rPr>
          <w:rFonts w:ascii="宋体" w:hAnsi="宋体" w:cs="宋体"/>
          <w:color w:val="auto"/>
          <w:szCs w:val="21"/>
          <w:highlight w:val="none"/>
        </w:rPr>
      </w:pPr>
    </w:p>
    <w:p>
      <w:pPr>
        <w:widowControl/>
        <w:jc w:val="left"/>
        <w:rPr>
          <w:rFonts w:ascii="宋体" w:hAnsi="宋体" w:cs="宋体"/>
          <w:color w:val="auto"/>
          <w:kern w:val="0"/>
          <w:sz w:val="24"/>
          <w:szCs w:val="21"/>
          <w:highlight w:val="none"/>
        </w:rPr>
      </w:pPr>
      <w:r>
        <w:rPr>
          <w:rFonts w:ascii="宋体" w:hAnsi="宋体" w:cs="宋体"/>
          <w:color w:val="auto"/>
          <w:szCs w:val="21"/>
          <w:highlight w:val="none"/>
        </w:rPr>
        <w:br w:type="page"/>
      </w:r>
    </w:p>
    <w:p>
      <w:pPr>
        <w:pStyle w:val="26"/>
        <w:rPr>
          <w:rFonts w:ascii="宋体" w:hAnsi="宋体" w:cs="宋体"/>
          <w:color w:val="auto"/>
          <w:szCs w:val="21"/>
          <w:highlight w:val="none"/>
        </w:rPr>
      </w:pPr>
    </w:p>
    <w:p>
      <w:pPr>
        <w:rPr>
          <w:rFonts w:ascii="宋体" w:hAnsi="宋体" w:cs="宋体"/>
          <w:color w:val="auto"/>
          <w:highlight w:val="none"/>
        </w:rPr>
      </w:pPr>
      <w:bookmarkStart w:id="132" w:name="_Toc11067"/>
      <w:bookmarkStart w:id="133" w:name="_Toc7185"/>
      <w:bookmarkStart w:id="134" w:name="_Toc497927071"/>
    </w:p>
    <w:bookmarkEnd w:id="132"/>
    <w:bookmarkEnd w:id="133"/>
    <w:bookmarkEnd w:id="134"/>
    <w:p>
      <w:pPr>
        <w:jc w:val="center"/>
        <w:rPr>
          <w:rFonts w:ascii="宋体" w:hAnsi="宋体" w:cs="宋体"/>
          <w:color w:val="auto"/>
          <w:kern w:val="0"/>
          <w:highlight w:val="none"/>
        </w:rPr>
      </w:pPr>
      <w:r>
        <w:rPr>
          <w:rFonts w:hint="eastAsia" w:ascii="宋体" w:hAnsi="宋体" w:cs="宋体"/>
          <w:b/>
          <w:color w:val="auto"/>
          <w:kern w:val="0"/>
          <w:sz w:val="32"/>
          <w:szCs w:val="32"/>
          <w:highlight w:val="none"/>
        </w:rPr>
        <w:t>（一）资格性响应证明材料目录</w:t>
      </w:r>
    </w:p>
    <w:p>
      <w:pPr>
        <w:tabs>
          <w:tab w:val="left" w:pos="1305"/>
        </w:tabs>
        <w:spacing w:line="360" w:lineRule="exact"/>
        <w:ind w:firstLine="420"/>
        <w:rPr>
          <w:rFonts w:ascii="宋体" w:hAnsi="宋体" w:cs="宋体"/>
          <w:b/>
          <w:color w:val="auto"/>
          <w:kern w:val="0"/>
          <w:szCs w:val="21"/>
          <w:highlight w:val="none"/>
        </w:rPr>
      </w:pPr>
      <w:r>
        <w:rPr>
          <w:rFonts w:hint="eastAsia" w:ascii="宋体" w:hAnsi="宋体" w:cs="宋体"/>
          <w:color w:val="auto"/>
          <w:kern w:val="0"/>
          <w:szCs w:val="21"/>
          <w:highlight w:val="none"/>
        </w:rPr>
        <w:t>1.响应函</w:t>
      </w:r>
      <w:r>
        <w:rPr>
          <w:rFonts w:hint="eastAsia" w:ascii="宋体" w:hAnsi="宋体" w:cs="宋体"/>
          <w:b/>
          <w:color w:val="auto"/>
          <w:kern w:val="0"/>
          <w:szCs w:val="21"/>
          <w:highlight w:val="none"/>
        </w:rPr>
        <w:t xml:space="preserve">（必须提供） </w:t>
      </w:r>
    </w:p>
    <w:p>
      <w:pPr>
        <w:tabs>
          <w:tab w:val="left" w:pos="1305"/>
        </w:tabs>
        <w:spacing w:line="360" w:lineRule="exact"/>
        <w:ind w:firstLine="420"/>
        <w:rPr>
          <w:rFonts w:ascii="宋体" w:hAnsi="宋体" w:cs="宋体"/>
          <w:b/>
          <w:color w:val="auto"/>
          <w:kern w:val="0"/>
          <w:szCs w:val="21"/>
          <w:highlight w:val="none"/>
        </w:rPr>
      </w:pPr>
      <w:r>
        <w:rPr>
          <w:rFonts w:hint="eastAsia" w:ascii="宋体" w:hAnsi="宋体" w:cs="宋体"/>
          <w:color w:val="auto"/>
          <w:kern w:val="0"/>
          <w:szCs w:val="21"/>
          <w:highlight w:val="none"/>
        </w:rPr>
        <w:t>2.供应商相应的法定代表人身份证正反两面复印件</w:t>
      </w:r>
      <w:r>
        <w:rPr>
          <w:rFonts w:hint="eastAsia" w:ascii="宋体" w:hAnsi="宋体" w:cs="宋体"/>
          <w:b/>
          <w:color w:val="auto"/>
          <w:kern w:val="0"/>
          <w:szCs w:val="21"/>
          <w:highlight w:val="none"/>
        </w:rPr>
        <w:t xml:space="preserve">（必须提供） </w:t>
      </w:r>
    </w:p>
    <w:p>
      <w:pPr>
        <w:tabs>
          <w:tab w:val="left" w:pos="1305"/>
        </w:tabs>
        <w:spacing w:line="360" w:lineRule="exact"/>
        <w:ind w:firstLine="420"/>
        <w:rPr>
          <w:rFonts w:ascii="宋体" w:hAnsi="宋体" w:cs="宋体"/>
          <w:b/>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rPr>
        <w:t>供应商的授权委托书原件、委托代理人</w:t>
      </w:r>
      <w:r>
        <w:rPr>
          <w:rFonts w:hint="eastAsia" w:ascii="宋体" w:hAnsi="宋体" w:cs="宋体"/>
          <w:color w:val="auto"/>
          <w:highlight w:val="none"/>
        </w:rPr>
        <w:t>身份证正反面</w:t>
      </w:r>
      <w:r>
        <w:rPr>
          <w:rFonts w:hint="eastAsia" w:ascii="宋体" w:hAnsi="宋体" w:cs="宋体"/>
          <w:color w:val="auto"/>
          <w:szCs w:val="21"/>
          <w:highlight w:val="none"/>
        </w:rPr>
        <w:t>复印件以及供应商为委托代理人交纳的2023年以来任意3个月的社保证明复印件【属自然人的应提供自然人本人及为委托代理人所交纳的2023年以来任意3个月的社保证明复印件】</w:t>
      </w:r>
      <w:r>
        <w:rPr>
          <w:rFonts w:hint="eastAsia" w:ascii="宋体" w:hAnsi="宋体" w:cs="宋体"/>
          <w:b/>
          <w:color w:val="auto"/>
          <w:szCs w:val="21"/>
          <w:highlight w:val="none"/>
        </w:rPr>
        <w:t>（委托代理时必须提供）</w:t>
      </w:r>
      <w:r>
        <w:rPr>
          <w:rFonts w:hint="eastAsia" w:ascii="宋体" w:hAnsi="宋体" w:cs="宋体"/>
          <w:b/>
          <w:color w:val="auto"/>
          <w:kern w:val="0"/>
          <w:szCs w:val="21"/>
          <w:highlight w:val="none"/>
        </w:rPr>
        <w:t xml:space="preserve"> </w:t>
      </w:r>
    </w:p>
    <w:p>
      <w:pPr>
        <w:tabs>
          <w:tab w:val="left" w:pos="1305"/>
        </w:tabs>
        <w:spacing w:line="360" w:lineRule="exact"/>
        <w:ind w:firstLine="420"/>
        <w:rPr>
          <w:rFonts w:ascii="宋体" w:hAnsi="宋体" w:cs="宋体"/>
          <w:b/>
          <w:color w:val="auto"/>
          <w:szCs w:val="21"/>
          <w:highlight w:val="none"/>
        </w:rPr>
      </w:pPr>
      <w:r>
        <w:rPr>
          <w:rFonts w:hint="eastAsia" w:ascii="宋体" w:hAnsi="宋体" w:cs="宋体"/>
          <w:color w:val="auto"/>
          <w:szCs w:val="21"/>
          <w:highlight w:val="none"/>
        </w:rPr>
        <w:t>4.供应商的法人或者其他组织营业执照等证明文件复印件</w:t>
      </w:r>
      <w:r>
        <w:rPr>
          <w:rFonts w:hint="eastAsia" w:ascii="宋体" w:hAnsi="宋体" w:cs="宋体"/>
          <w:b/>
          <w:color w:val="auto"/>
          <w:kern w:val="0"/>
          <w:szCs w:val="21"/>
          <w:highlight w:val="none"/>
        </w:rPr>
        <w:t>（必须提供，自然人除外）</w:t>
      </w:r>
    </w:p>
    <w:p>
      <w:pPr>
        <w:tabs>
          <w:tab w:val="left" w:pos="1305"/>
        </w:tabs>
        <w:spacing w:line="360" w:lineRule="exact"/>
        <w:ind w:firstLine="422"/>
        <w:rPr>
          <w:rFonts w:ascii="宋体" w:hAnsi="宋体" w:cs="宋体"/>
          <w:b/>
          <w:color w:val="auto"/>
          <w:szCs w:val="21"/>
          <w:highlight w:val="none"/>
        </w:rPr>
      </w:pPr>
    </w:p>
    <w:p>
      <w:pPr>
        <w:tabs>
          <w:tab w:val="left" w:pos="1305"/>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 xml:space="preserve"> </w:t>
      </w:r>
      <w:r>
        <w:rPr>
          <w:rFonts w:hint="eastAsia" w:ascii="宋体" w:hAnsi="宋体" w:cs="宋体"/>
          <w:color w:val="auto"/>
          <w:szCs w:val="21"/>
          <w:highlight w:val="none"/>
        </w:rPr>
        <w:t>供应商有效的《食品生产许可证》或《食品经营许可证》复印件</w:t>
      </w:r>
      <w:r>
        <w:rPr>
          <w:rFonts w:hint="eastAsia" w:ascii="宋体" w:hAnsi="宋体" w:cs="宋体"/>
          <w:b/>
          <w:color w:val="auto"/>
          <w:szCs w:val="21"/>
          <w:highlight w:val="none"/>
        </w:rPr>
        <w:t>（必须提供）</w:t>
      </w:r>
    </w:p>
    <w:p>
      <w:pPr>
        <w:tabs>
          <w:tab w:val="left" w:pos="1305"/>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6.供应商</w:t>
      </w:r>
      <w:r>
        <w:rPr>
          <w:rFonts w:hint="eastAsia" w:ascii="宋体" w:hAnsi="宋体" w:cs="宋体"/>
          <w:color w:val="auto"/>
          <w:kern w:val="0"/>
          <w:szCs w:val="21"/>
          <w:highlight w:val="none"/>
        </w:rPr>
        <w:t>2022年以来任意一年度</w:t>
      </w:r>
      <w:r>
        <w:rPr>
          <w:rFonts w:hint="eastAsia" w:ascii="宋体" w:hAnsi="宋体" w:cs="宋体"/>
          <w:color w:val="auto"/>
          <w:szCs w:val="21"/>
          <w:highlight w:val="none"/>
        </w:rPr>
        <w:t>的财务状况报告（或2023年以来银行出具的资信证明）复印件</w:t>
      </w:r>
      <w:r>
        <w:rPr>
          <w:rFonts w:hint="eastAsia" w:ascii="宋体" w:hAnsi="宋体" w:cs="宋体"/>
          <w:b/>
          <w:color w:val="auto"/>
          <w:szCs w:val="21"/>
          <w:highlight w:val="none"/>
        </w:rPr>
        <w:t>（必须提供）</w:t>
      </w:r>
    </w:p>
    <w:p>
      <w:pPr>
        <w:tabs>
          <w:tab w:val="left" w:pos="1305"/>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7.供应商2023年以来任意3个月依法缴纳税收的相关材料复印件</w:t>
      </w:r>
      <w:r>
        <w:rPr>
          <w:rFonts w:hint="eastAsia" w:ascii="宋体" w:hAnsi="宋体" w:cs="宋体"/>
          <w:b/>
          <w:color w:val="auto"/>
          <w:szCs w:val="21"/>
          <w:highlight w:val="none"/>
        </w:rPr>
        <w:t>（必须提供）</w:t>
      </w:r>
    </w:p>
    <w:p>
      <w:pPr>
        <w:tabs>
          <w:tab w:val="left" w:pos="1305"/>
        </w:tabs>
        <w:spacing w:line="360" w:lineRule="exact"/>
        <w:ind w:firstLine="420"/>
        <w:rPr>
          <w:rFonts w:ascii="宋体" w:hAnsi="宋体" w:cs="宋体"/>
          <w:color w:val="auto"/>
          <w:szCs w:val="21"/>
          <w:highlight w:val="none"/>
        </w:rPr>
      </w:pPr>
      <w:r>
        <w:rPr>
          <w:rFonts w:hint="eastAsia" w:ascii="宋体" w:hAnsi="宋体" w:cs="宋体"/>
          <w:color w:val="auto"/>
          <w:szCs w:val="21"/>
          <w:highlight w:val="none"/>
        </w:rPr>
        <w:t>8.供应商参加政府采购活动前3年内在经营活动中没有重大违法记录及有关信用信息的书面声明</w:t>
      </w:r>
      <w:r>
        <w:rPr>
          <w:rFonts w:hint="eastAsia" w:ascii="宋体" w:hAnsi="宋体" w:cs="宋体"/>
          <w:b/>
          <w:color w:val="auto"/>
          <w:szCs w:val="21"/>
          <w:highlight w:val="none"/>
        </w:rPr>
        <w:t xml:space="preserve">（必须提供） </w:t>
      </w:r>
    </w:p>
    <w:p>
      <w:pPr>
        <w:tabs>
          <w:tab w:val="left" w:pos="1305"/>
        </w:tabs>
        <w:spacing w:line="360" w:lineRule="exact"/>
        <w:ind w:firstLine="420"/>
        <w:rPr>
          <w:rFonts w:ascii="宋体" w:hAnsi="宋体" w:cs="宋体"/>
          <w:b/>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kern w:val="0"/>
          <w:szCs w:val="21"/>
          <w:highlight w:val="none"/>
          <w:lang w:val="zh-CN" w:eastAsia="zh-CN"/>
        </w:rPr>
        <w:t xml:space="preserve"> 供应商</w:t>
      </w:r>
      <w:r>
        <w:rPr>
          <w:rFonts w:hint="eastAsia" w:ascii="宋体" w:hAnsi="宋体" w:cs="宋体"/>
          <w:color w:val="auto"/>
          <w:kern w:val="0"/>
          <w:szCs w:val="21"/>
          <w:highlight w:val="none"/>
          <w:lang w:val="zh-CN"/>
        </w:rPr>
        <w:t>符合</w:t>
      </w:r>
      <w:r>
        <w:rPr>
          <w:rFonts w:hint="eastAsia" w:ascii="宋体" w:hAnsi="宋体" w:cs="宋体"/>
          <w:bCs/>
          <w:color w:val="auto"/>
          <w:szCs w:val="21"/>
          <w:highlight w:val="none"/>
          <w:lang w:val="en-US" w:eastAsia="zh-CN"/>
        </w:rPr>
        <w:t>小微</w:t>
      </w:r>
      <w:r>
        <w:rPr>
          <w:rFonts w:hint="eastAsia" w:ascii="宋体" w:hAnsi="宋体" w:cs="宋体"/>
          <w:color w:val="auto"/>
          <w:kern w:val="0"/>
          <w:szCs w:val="21"/>
          <w:highlight w:val="none"/>
          <w:lang w:val="zh-CN"/>
        </w:rPr>
        <w:t>企业规定的相应</w:t>
      </w:r>
      <w:r>
        <w:rPr>
          <w:rFonts w:hint="eastAsia" w:ascii="宋体" w:hAnsi="宋体" w:cs="宋体"/>
          <w:color w:val="auto"/>
          <w:kern w:val="0"/>
          <w:szCs w:val="21"/>
          <w:highlight w:val="none"/>
          <w:lang w:val="zh-CN" w:eastAsia="zh-CN"/>
        </w:rPr>
        <w:t>证明材料</w:t>
      </w:r>
      <w:r>
        <w:rPr>
          <w:rFonts w:hint="eastAsia" w:ascii="宋体" w:hAnsi="宋体" w:cs="宋体"/>
          <w:color w:val="auto"/>
          <w:kern w:val="0"/>
          <w:szCs w:val="21"/>
          <w:highlight w:val="none"/>
          <w:lang w:val="zh-CN"/>
        </w:rPr>
        <w:t>复印件</w:t>
      </w:r>
      <w:r>
        <w:rPr>
          <w:rFonts w:hint="eastAsia" w:ascii="宋体" w:hAnsi="宋体" w:cs="宋体"/>
          <w:b/>
          <w:color w:val="auto"/>
          <w:szCs w:val="21"/>
          <w:highlight w:val="none"/>
        </w:rPr>
        <w:t>（必须提供）</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10.供应商参加本项目无围标串标行为的承诺函</w:t>
      </w:r>
      <w:r>
        <w:rPr>
          <w:rFonts w:hint="eastAsia" w:ascii="宋体" w:hAnsi="宋体" w:cs="宋体"/>
          <w:b/>
          <w:color w:val="auto"/>
          <w:szCs w:val="21"/>
          <w:highlight w:val="none"/>
        </w:rPr>
        <w:t>（必须提供）</w:t>
      </w: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spacing w:line="440" w:lineRule="atLeast"/>
        <w:rPr>
          <w:rFonts w:ascii="宋体" w:hAnsi="宋体"/>
          <w:b/>
          <w:color w:val="auto"/>
          <w:kern w:val="0"/>
          <w:sz w:val="28"/>
          <w:szCs w:val="28"/>
          <w:highlight w:val="none"/>
        </w:rPr>
      </w:pPr>
    </w:p>
    <w:p>
      <w:pP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1. 响应函（必须提供）</w:t>
      </w:r>
    </w:p>
    <w:p>
      <w:pPr>
        <w:spacing w:line="440" w:lineRule="atLeast"/>
        <w:rPr>
          <w:rFonts w:ascii="宋体" w:hAnsi="宋体" w:cs="宋体"/>
          <w:b/>
          <w:color w:val="auto"/>
          <w:kern w:val="0"/>
          <w:highlight w:val="none"/>
        </w:rPr>
      </w:pPr>
      <w:r>
        <w:rPr>
          <w:rFonts w:hint="eastAsia" w:ascii="宋体" w:hAnsi="宋体" w:cs="宋体"/>
          <w:b/>
          <w:color w:val="auto"/>
          <w:kern w:val="0"/>
          <w:highlight w:val="none"/>
        </w:rPr>
        <w:t>附件：</w:t>
      </w:r>
    </w:p>
    <w:p>
      <w:pPr>
        <w:ind w:firstLine="700" w:firstLineChars="25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响 应 函 （格 式）</w:t>
      </w:r>
    </w:p>
    <w:p>
      <w:pPr>
        <w:spacing w:line="400" w:lineRule="exact"/>
        <w:rPr>
          <w:rFonts w:ascii="宋体" w:hAnsi="宋体" w:cs="宋体"/>
          <w:color w:val="auto"/>
          <w:kern w:val="0"/>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广西安臻工程管理有限公司 </w:t>
      </w:r>
    </w:p>
    <w:p>
      <w:pPr>
        <w:spacing w:line="400" w:lineRule="exact"/>
        <w:rPr>
          <w:rFonts w:ascii="宋体" w:hAnsi="宋体" w:cs="宋体"/>
          <w:color w:val="auto"/>
          <w:kern w:val="0"/>
          <w:szCs w:val="21"/>
          <w:highlight w:val="none"/>
        </w:rPr>
      </w:pPr>
    </w:p>
    <w:p>
      <w:pPr>
        <w:spacing w:line="320" w:lineRule="exact"/>
        <w:ind w:left="105" w:leftChars="50" w:firstLine="315" w:firstLineChars="150"/>
        <w:rPr>
          <w:rFonts w:ascii="宋体" w:hAnsi="宋体" w:cs="宋体"/>
          <w:color w:val="auto"/>
          <w:kern w:val="0"/>
          <w:szCs w:val="20"/>
          <w:highlight w:val="none"/>
        </w:rPr>
      </w:pPr>
      <w:r>
        <w:rPr>
          <w:rFonts w:hint="eastAsia" w:ascii="宋体" w:hAnsi="宋体" w:cs="宋体"/>
          <w:color w:val="auto"/>
          <w:kern w:val="0"/>
          <w:szCs w:val="20"/>
          <w:highlight w:val="none"/>
        </w:rPr>
        <w:t>根据贵方项目磋商文件，项目编号</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1"/>
          <w:highlight w:val="none"/>
        </w:rPr>
        <w:t>，签字代表</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（姓名）经正式授权并代表供应商</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1"/>
          <w:highlight w:val="none"/>
        </w:rPr>
        <w:t>供应商单位名称</w:t>
      </w:r>
      <w:r>
        <w:rPr>
          <w:rFonts w:hint="eastAsia" w:ascii="宋体" w:hAnsi="宋体" w:cs="宋体"/>
          <w:color w:val="auto"/>
          <w:kern w:val="0"/>
          <w:szCs w:val="20"/>
          <w:highlight w:val="none"/>
        </w:rPr>
        <w:t>），提交响应文件。</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据此函，签字代表宣布同意如下：</w:t>
      </w:r>
    </w:p>
    <w:p>
      <w:pPr>
        <w:spacing w:line="34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1.按磋商文件采购需求和磋商报价表，各类物资磋商综合折扣率（%）报价如下：</w:t>
      </w:r>
    </w:p>
    <w:p>
      <w:pPr>
        <w:spacing w:line="330" w:lineRule="exact"/>
        <w:ind w:firstLine="413" w:firstLineChars="197"/>
        <w:rPr>
          <w:rFonts w:ascii="宋体" w:hAnsi="宋体"/>
          <w:color w:val="auto"/>
          <w:szCs w:val="21"/>
          <w:highlight w:val="none"/>
        </w:rPr>
      </w:pPr>
      <w:r>
        <w:rPr>
          <w:rFonts w:hint="eastAsia" w:hAnsi="宋体" w:cs="宋体"/>
          <w:color w:val="auto"/>
          <w:highlight w:val="none"/>
        </w:rPr>
        <w:t>①</w:t>
      </w:r>
      <w:r>
        <w:rPr>
          <w:rFonts w:hint="eastAsia" w:ascii="宋体" w:hAnsi="宋体" w:cs="宋体"/>
          <w:color w:val="auto"/>
          <w:szCs w:val="21"/>
          <w:highlight w:val="none"/>
        </w:rPr>
        <w:t>肉、鸡鸭类、冻货、禽蛋类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olor w:val="auto"/>
          <w:szCs w:val="21"/>
          <w:highlight w:val="none"/>
        </w:rPr>
        <w:t>%；</w:t>
      </w:r>
    </w:p>
    <w:p>
      <w:pPr>
        <w:spacing w:line="330" w:lineRule="exact"/>
        <w:ind w:firstLine="420"/>
        <w:rPr>
          <w:rFonts w:ascii="宋体" w:hAnsi="宋体" w:cs="宋体"/>
          <w:color w:val="auto"/>
          <w:highlight w:val="none"/>
        </w:rPr>
      </w:pPr>
      <w:r>
        <w:rPr>
          <w:rFonts w:hint="eastAsia" w:ascii="宋体" w:hAnsi="宋体"/>
          <w:color w:val="auto"/>
          <w:szCs w:val="21"/>
          <w:highlight w:val="none"/>
        </w:rPr>
        <w:t>②</w:t>
      </w:r>
      <w:r>
        <w:rPr>
          <w:rFonts w:hint="eastAsia" w:ascii="宋体" w:hAnsi="宋体" w:cs="宋体"/>
          <w:color w:val="auto"/>
          <w:szCs w:val="21"/>
          <w:highlight w:val="none"/>
        </w:rPr>
        <w:t>蔬菜类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p>
      <w:pPr>
        <w:spacing w:line="330" w:lineRule="exact"/>
        <w:ind w:firstLine="420"/>
        <w:rPr>
          <w:rFonts w:ascii="宋体" w:hAnsi="宋体" w:cs="宋体"/>
          <w:color w:val="auto"/>
          <w:highlight w:val="none"/>
        </w:rPr>
      </w:pPr>
      <w:r>
        <w:rPr>
          <w:rFonts w:hint="eastAsia" w:ascii="宋体" w:hAnsi="宋体" w:cs="宋体"/>
          <w:color w:val="auto"/>
          <w:highlight w:val="none"/>
        </w:rPr>
        <w:t>③</w:t>
      </w:r>
      <w:r>
        <w:rPr>
          <w:rFonts w:hint="eastAsia" w:ascii="宋体" w:hAnsi="宋体" w:cs="宋体"/>
          <w:color w:val="auto"/>
          <w:szCs w:val="21"/>
          <w:highlight w:val="none"/>
        </w:rPr>
        <w:t>调味品干杂香料、食用油类、副食品类</w:t>
      </w:r>
      <w:r>
        <w:rPr>
          <w:rFonts w:hint="eastAsia" w:ascii="宋体"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2.我方承诺已具备磋商文件规定的供应商资格条件。</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 xml:space="preserve">3.我方已详细审核磋商文件，包括修改文件（如有的话）和有关附件，将自行承担因对全部磋商文件理解不正确或误解而产生的相应后果。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4.响应文件有效期为</w:t>
      </w:r>
      <w:r>
        <w:rPr>
          <w:rFonts w:hint="eastAsia" w:ascii="宋体" w:hAnsi="宋体" w:cs="宋体"/>
          <w:color w:val="auto"/>
          <w:kern w:val="0"/>
          <w:szCs w:val="21"/>
          <w:highlight w:val="none"/>
        </w:rPr>
        <w:t>自响应文件提交截止时间之日起90天。</w:t>
      </w:r>
      <w:r>
        <w:rPr>
          <w:rFonts w:hint="eastAsia" w:ascii="宋体" w:hAnsi="宋体" w:cs="宋体"/>
          <w:color w:val="auto"/>
          <w:kern w:val="0"/>
          <w:szCs w:val="20"/>
          <w:highlight w:val="non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5.如我方成交：</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（1）我方承诺，若我方成交，保证在本项目磋商文件的规定及标准向贵单位一次性足额支付代理服务费。代理服务费发票我方选择开具：</w:t>
      </w:r>
      <w:r>
        <w:rPr>
          <w:rFonts w:hint="eastAsia" w:ascii="宋体" w:hAnsi="宋体" w:cs="宋体"/>
          <w:color w:val="auto"/>
          <w:kern w:val="0"/>
          <w:highlight w:val="none"/>
        </w:rPr>
        <w:t>□</w:t>
      </w:r>
      <w:r>
        <w:rPr>
          <w:rFonts w:hint="eastAsia" w:ascii="宋体" w:hAnsi="宋体" w:cs="宋体"/>
          <w:color w:val="auto"/>
          <w:kern w:val="0"/>
          <w:szCs w:val="20"/>
          <w:highlight w:val="none"/>
          <w:u w:val="single"/>
        </w:rPr>
        <w:t>增值税普通发票</w:t>
      </w:r>
      <w:r>
        <w:rPr>
          <w:rFonts w:hint="eastAsia" w:ascii="宋体" w:hAnsi="宋体" w:cs="宋体"/>
          <w:color w:val="auto"/>
          <w:kern w:val="0"/>
          <w:szCs w:val="20"/>
          <w:highlight w:val="none"/>
        </w:rPr>
        <w:t>、</w:t>
      </w:r>
      <w:r>
        <w:rPr>
          <w:rFonts w:hint="eastAsia" w:ascii="宋体" w:hAnsi="宋体" w:cs="宋体"/>
          <w:color w:val="auto"/>
          <w:kern w:val="0"/>
          <w:highlight w:val="none"/>
        </w:rPr>
        <w:t>□</w:t>
      </w:r>
      <w:r>
        <w:rPr>
          <w:rFonts w:hint="eastAsia" w:ascii="宋体" w:hAnsi="宋体" w:cs="宋体"/>
          <w:color w:val="auto"/>
          <w:kern w:val="0"/>
          <w:szCs w:val="20"/>
          <w:highlight w:val="none"/>
          <w:u w:val="single"/>
        </w:rPr>
        <w:t>增值税专用发票</w:t>
      </w:r>
      <w:r>
        <w:rPr>
          <w:rFonts w:hint="eastAsia" w:ascii="宋体" w:hAnsi="宋体" w:cs="宋体"/>
          <w:color w:val="auto"/>
          <w:kern w:val="0"/>
          <w:szCs w:val="20"/>
          <w:highlight w:val="none"/>
        </w:rPr>
        <w:t>，开票信息如下:</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开具增值税</w:t>
      </w:r>
      <w:r>
        <w:rPr>
          <w:rFonts w:hint="eastAsia" w:ascii="宋体" w:hAnsi="宋体" w:cs="宋体"/>
          <w:b/>
          <w:color w:val="auto"/>
          <w:kern w:val="0"/>
          <w:szCs w:val="20"/>
          <w:highlight w:val="none"/>
        </w:rPr>
        <w:t>普通</w:t>
      </w:r>
      <w:r>
        <w:rPr>
          <w:rFonts w:hint="eastAsia" w:ascii="宋体" w:hAnsi="宋体" w:cs="宋体"/>
          <w:color w:val="auto"/>
          <w:kern w:val="0"/>
          <w:szCs w:val="20"/>
          <w:highlight w:val="none"/>
        </w:rPr>
        <w:t>发票开票信息:</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①公司名称：</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②纳税人识别号：</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开具增值税</w:t>
      </w:r>
      <w:r>
        <w:rPr>
          <w:rFonts w:hint="eastAsia" w:ascii="宋体" w:hAnsi="宋体" w:cs="宋体"/>
          <w:b/>
          <w:color w:val="auto"/>
          <w:kern w:val="0"/>
          <w:szCs w:val="20"/>
          <w:highlight w:val="none"/>
        </w:rPr>
        <w:t>专用</w:t>
      </w:r>
      <w:r>
        <w:rPr>
          <w:rFonts w:hint="eastAsia" w:ascii="宋体" w:hAnsi="宋体" w:cs="宋体"/>
          <w:color w:val="auto"/>
          <w:kern w:val="0"/>
          <w:szCs w:val="20"/>
          <w:highlight w:val="none"/>
        </w:rPr>
        <w:t>发票开票信息:</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①公司名称：</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②纳税人识别号：_</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③税局登记地址：</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④税局登记电话：</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⑤开户银行：</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⑥银行账户：</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（2）我方承诺在收到成交通知书后，在成交通知书规定的期限内与采购人签订合同。</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（3）我方承诺按照磋商文件规定提交履约担保。</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（4）我方承诺本响应文件至本项目合同履行完毕止均保持有效，按磋商文件及政府采购法律、法规的规定履行合同责任和义务。</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与本响应有关的正式通讯地址为：</w:t>
      </w:r>
    </w:p>
    <w:p>
      <w:pPr>
        <w:spacing w:line="320" w:lineRule="exact"/>
        <w:ind w:firstLine="420"/>
        <w:rPr>
          <w:rFonts w:ascii="宋体" w:hAnsi="宋体" w:cs="宋体"/>
          <w:color w:val="auto"/>
          <w:kern w:val="0"/>
          <w:szCs w:val="20"/>
          <w:highlight w:val="none"/>
          <w:u w:val="single"/>
        </w:rPr>
      </w:pPr>
      <w:r>
        <w:rPr>
          <w:rFonts w:hint="eastAsia" w:ascii="宋体" w:hAnsi="宋体" w:cs="宋体"/>
          <w:color w:val="auto"/>
          <w:kern w:val="0"/>
          <w:szCs w:val="20"/>
          <w:highlight w:val="none"/>
        </w:rPr>
        <w:t>地址：</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邮编：</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邮箱：</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u w:val="single"/>
        </w:rPr>
      </w:pPr>
      <w:r>
        <w:rPr>
          <w:rFonts w:hint="eastAsia" w:ascii="宋体" w:hAnsi="宋体" w:cs="宋体"/>
          <w:color w:val="auto"/>
          <w:kern w:val="0"/>
          <w:szCs w:val="20"/>
          <w:highlight w:val="none"/>
        </w:rPr>
        <w:t>办公电话：</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传真：</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u w:val="single"/>
        </w:rPr>
      </w:pPr>
      <w:r>
        <w:rPr>
          <w:rFonts w:hint="eastAsia" w:ascii="宋体" w:hAnsi="宋体" w:cs="宋体"/>
          <w:color w:val="auto"/>
          <w:kern w:val="0"/>
          <w:szCs w:val="20"/>
          <w:highlight w:val="none"/>
        </w:rPr>
        <w:t>委托代理人联系电话：</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u w:val="single"/>
        </w:rPr>
      </w:pPr>
      <w:r>
        <w:rPr>
          <w:rFonts w:hint="eastAsia" w:ascii="宋体" w:hAnsi="宋体" w:cs="宋体"/>
          <w:color w:val="auto"/>
          <w:kern w:val="0"/>
          <w:szCs w:val="20"/>
          <w:highlight w:val="none"/>
        </w:rPr>
        <w:t>开户名称：</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开户银行：</w:t>
      </w:r>
      <w:r>
        <w:rPr>
          <w:rFonts w:hint="eastAsia" w:ascii="宋体" w:hAnsi="宋体" w:cs="宋体"/>
          <w:color w:val="auto"/>
          <w:kern w:val="0"/>
          <w:szCs w:val="20"/>
          <w:highlight w:val="none"/>
          <w:u w:val="single"/>
        </w:rPr>
        <w:t xml:space="preserve">                               　       </w:t>
      </w:r>
    </w:p>
    <w:p>
      <w:pPr>
        <w:spacing w:line="32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账号：</w:t>
      </w:r>
      <w:r>
        <w:rPr>
          <w:rFonts w:hint="eastAsia" w:ascii="宋体" w:hAnsi="宋体" w:cs="宋体"/>
          <w:color w:val="auto"/>
          <w:kern w:val="0"/>
          <w:szCs w:val="20"/>
          <w:highlight w:val="none"/>
          <w:u w:val="single"/>
        </w:rPr>
        <w:t xml:space="preserve">                                   　　　   </w:t>
      </w:r>
    </w:p>
    <w:p>
      <w:pPr>
        <w:spacing w:line="340" w:lineRule="exact"/>
        <w:ind w:firstLine="420"/>
        <w:rPr>
          <w:rFonts w:ascii="宋体" w:hAnsi="宋体" w:cs="宋体"/>
          <w:color w:val="auto"/>
          <w:kern w:val="0"/>
          <w:szCs w:val="20"/>
          <w:highlight w:val="none"/>
        </w:rPr>
      </w:pPr>
    </w:p>
    <w:p>
      <w:pPr>
        <w:spacing w:line="340" w:lineRule="exact"/>
        <w:ind w:firstLine="420"/>
        <w:rPr>
          <w:rFonts w:ascii="宋体" w:hAnsi="宋体" w:cs="宋体"/>
          <w:color w:val="auto"/>
          <w:szCs w:val="20"/>
          <w:highlight w:val="none"/>
        </w:rPr>
      </w:pPr>
      <w:r>
        <w:rPr>
          <w:rFonts w:hint="eastAsia" w:ascii="宋体" w:hAnsi="宋体" w:cs="宋体"/>
          <w:color w:val="auto"/>
          <w:szCs w:val="20"/>
          <w:highlight w:val="none"/>
        </w:rPr>
        <w:t>供应商</w:t>
      </w:r>
      <w:r>
        <w:rPr>
          <w:rFonts w:hint="eastAsia" w:ascii="宋体" w:hAnsi="宋体" w:cs="宋体"/>
          <w:bCs/>
          <w:color w:val="auto"/>
          <w:szCs w:val="21"/>
          <w:highlight w:val="none"/>
        </w:rPr>
        <w:t>（公章或</w:t>
      </w:r>
      <w:r>
        <w:rPr>
          <w:rFonts w:ascii="宋体" w:hAnsi="宋体" w:cs="宋体"/>
          <w:bCs/>
          <w:color w:val="auto"/>
          <w:szCs w:val="21"/>
          <w:highlight w:val="none"/>
        </w:rPr>
        <w:t>电子签章</w:t>
      </w:r>
      <w:r>
        <w:rPr>
          <w:rFonts w:hint="eastAsia" w:ascii="宋体" w:hAnsi="宋体" w:cs="宋体"/>
          <w:bCs/>
          <w:color w:val="auto"/>
          <w:szCs w:val="21"/>
          <w:highlight w:val="none"/>
        </w:rPr>
        <w:t>）</w:t>
      </w:r>
      <w:r>
        <w:rPr>
          <w:rFonts w:hint="eastAsia" w:ascii="宋体" w:hAnsi="宋体" w:cs="宋体"/>
          <w:color w:val="auto"/>
          <w:szCs w:val="20"/>
          <w:highlight w:val="none"/>
        </w:rPr>
        <w:t>：</w:t>
      </w:r>
      <w:r>
        <w:rPr>
          <w:rFonts w:hint="eastAsia" w:ascii="宋体" w:hAnsi="宋体" w:cs="宋体"/>
          <w:color w:val="auto"/>
          <w:szCs w:val="20"/>
          <w:highlight w:val="none"/>
          <w:u w:val="single"/>
        </w:rPr>
        <w:t xml:space="preserve">                                              </w:t>
      </w:r>
    </w:p>
    <w:p>
      <w:pPr>
        <w:spacing w:line="340" w:lineRule="exact"/>
        <w:ind w:firstLine="420"/>
        <w:rPr>
          <w:rFonts w:ascii="宋体" w:hAnsi="宋体" w:cs="宋体"/>
          <w:color w:val="auto"/>
          <w:szCs w:val="20"/>
          <w:highlight w:val="none"/>
        </w:rPr>
      </w:pPr>
      <w:r>
        <w:rPr>
          <w:rFonts w:hint="eastAsia" w:ascii="宋体" w:hAnsi="宋体" w:cs="宋体"/>
          <w:color w:val="auto"/>
          <w:szCs w:val="20"/>
          <w:highlight w:val="none"/>
        </w:rPr>
        <w:t>法定代表人或相应的委托代理人签字</w:t>
      </w:r>
      <w:r>
        <w:rPr>
          <w:rFonts w:hint="eastAsia" w:ascii="宋体" w:hAnsi="宋体" w:cs="宋体"/>
          <w:bCs/>
          <w:color w:val="auto"/>
          <w:szCs w:val="21"/>
          <w:highlight w:val="none"/>
        </w:rPr>
        <w:t>（或电子签名）</w:t>
      </w:r>
      <w:r>
        <w:rPr>
          <w:rFonts w:hint="eastAsia" w:ascii="宋体" w:hAnsi="宋体" w:cs="宋体"/>
          <w:color w:val="auto"/>
          <w:szCs w:val="20"/>
          <w:highlight w:val="none"/>
        </w:rPr>
        <w:t>：</w:t>
      </w:r>
      <w:r>
        <w:rPr>
          <w:rFonts w:hint="eastAsia" w:ascii="宋体" w:hAnsi="宋体" w:cs="宋体"/>
          <w:color w:val="auto"/>
          <w:szCs w:val="20"/>
          <w:highlight w:val="none"/>
          <w:u w:val="single"/>
        </w:rPr>
        <w:t xml:space="preserve">        </w:t>
      </w:r>
    </w:p>
    <w:p>
      <w:pPr>
        <w:spacing w:line="340" w:lineRule="exact"/>
        <w:ind w:firstLine="420"/>
        <w:rPr>
          <w:rFonts w:ascii="宋体" w:hAnsi="宋体" w:cs="宋体"/>
          <w:color w:val="auto"/>
          <w:szCs w:val="20"/>
          <w:highlight w:val="none"/>
          <w:u w:val="single"/>
        </w:rPr>
      </w:pPr>
      <w:r>
        <w:rPr>
          <w:rFonts w:hint="eastAsia" w:ascii="宋体" w:hAnsi="宋体" w:cs="宋体"/>
          <w:bCs/>
          <w:color w:val="auto"/>
          <w:szCs w:val="20"/>
          <w:highlight w:val="none"/>
        </w:rPr>
        <w:t>响应</w:t>
      </w:r>
      <w:r>
        <w:rPr>
          <w:rFonts w:hint="eastAsia" w:ascii="宋体" w:hAnsi="宋体" w:cs="宋体"/>
          <w:color w:val="auto"/>
          <w:szCs w:val="20"/>
          <w:highlight w:val="none"/>
        </w:rPr>
        <w:t>日期：</w:t>
      </w:r>
      <w:r>
        <w:rPr>
          <w:rFonts w:hint="eastAsia" w:ascii="宋体" w:hAnsi="宋体" w:cs="宋体"/>
          <w:color w:val="auto"/>
          <w:szCs w:val="20"/>
          <w:highlight w:val="none"/>
          <w:u w:val="single"/>
        </w:rPr>
        <w:t xml:space="preserve">                               </w:t>
      </w:r>
    </w:p>
    <w:p>
      <w:pPr>
        <w:spacing w:line="340" w:lineRule="exact"/>
        <w:ind w:firstLine="420"/>
        <w:rPr>
          <w:rFonts w:ascii="宋体" w:hAnsi="宋体" w:cs="宋体"/>
          <w:bCs/>
          <w:color w:val="auto"/>
          <w:kern w:val="0"/>
          <w:szCs w:val="20"/>
          <w:highlight w:val="none"/>
        </w:rPr>
      </w:pPr>
    </w:p>
    <w:p>
      <w:pPr>
        <w:spacing w:line="340" w:lineRule="exact"/>
        <w:ind w:left="840" w:leftChars="200" w:hanging="420" w:hangingChars="200"/>
        <w:rPr>
          <w:rFonts w:ascii="宋体" w:hAnsi="宋体" w:cs="宋体"/>
          <w:bCs/>
          <w:color w:val="auto"/>
          <w:szCs w:val="20"/>
          <w:highlight w:val="none"/>
        </w:rPr>
      </w:pPr>
      <w:r>
        <w:rPr>
          <w:rFonts w:hint="eastAsia" w:ascii="宋体" w:hAnsi="宋体" w:cs="宋体"/>
          <w:bCs/>
          <w:color w:val="auto"/>
          <w:szCs w:val="20"/>
          <w:highlight w:val="none"/>
        </w:rPr>
        <w:t>注：①未按照本响应函（格式）要求填报的应函将被视为非实质性响应竞争性磋商文件要求，从而导致该响应被拒绝。</w:t>
      </w:r>
    </w:p>
    <w:p>
      <w:pPr>
        <w:spacing w:line="340" w:lineRule="exact"/>
        <w:ind w:left="840" w:leftChars="400"/>
        <w:rPr>
          <w:rFonts w:ascii="宋体" w:hAnsi="宋体" w:cs="宋体"/>
          <w:bCs/>
          <w:color w:val="auto"/>
          <w:szCs w:val="20"/>
          <w:highlight w:val="none"/>
        </w:rPr>
      </w:pPr>
      <w:r>
        <w:rPr>
          <w:rFonts w:hint="eastAsia" w:ascii="宋体" w:hAnsi="宋体" w:cs="宋体"/>
          <w:bCs/>
          <w:color w:val="auto"/>
          <w:szCs w:val="21"/>
          <w:highlight w:val="none"/>
        </w:rPr>
        <w:t>②供应商必须按</w:t>
      </w:r>
      <w:r>
        <w:rPr>
          <w:rFonts w:hint="eastAsia" w:ascii="宋体" w:hAnsi="宋体" w:cs="宋体"/>
          <w:bCs/>
          <w:color w:val="auto"/>
          <w:szCs w:val="20"/>
          <w:highlight w:val="none"/>
        </w:rPr>
        <w:t>本响应函（格式）</w:t>
      </w:r>
      <w:r>
        <w:rPr>
          <w:rFonts w:hint="eastAsia" w:ascii="宋体" w:hAnsi="宋体" w:cs="宋体"/>
          <w:bCs/>
          <w:color w:val="auto"/>
          <w:szCs w:val="21"/>
          <w:highlight w:val="none"/>
        </w:rPr>
        <w:t>要求注明清楚联系方式（包括地址、邮编、邮箱、电话等），从而确保成交结果等相关信息能及时通知到位。</w:t>
      </w:r>
    </w:p>
    <w:p>
      <w:pPr>
        <w:spacing w:line="340" w:lineRule="exact"/>
        <w:ind w:left="840" w:leftChars="400"/>
        <w:rPr>
          <w:rFonts w:ascii="宋体" w:hAnsi="宋体" w:cs="宋体"/>
          <w:bCs/>
          <w:color w:val="auto"/>
          <w:szCs w:val="21"/>
          <w:highlight w:val="none"/>
        </w:rPr>
      </w:pPr>
    </w:p>
    <w:p>
      <w:pPr>
        <w:ind w:left="2940"/>
        <w:rPr>
          <w:color w:val="auto"/>
          <w:highlight w:val="none"/>
        </w:rPr>
      </w:pPr>
    </w:p>
    <w:p>
      <w:pPr>
        <w:ind w:left="2940"/>
        <w:rPr>
          <w:color w:val="auto"/>
          <w:highlight w:val="none"/>
        </w:rPr>
      </w:pPr>
    </w:p>
    <w:p>
      <w:pPr>
        <w:ind w:left="2940"/>
        <w:rPr>
          <w:color w:val="auto"/>
          <w:highlight w:val="none"/>
        </w:rPr>
      </w:pPr>
    </w:p>
    <w:p>
      <w:pPr>
        <w:ind w:left="2940"/>
        <w:rPr>
          <w:color w:val="auto"/>
          <w:highlight w:val="none"/>
        </w:rPr>
      </w:pPr>
    </w:p>
    <w:p>
      <w:pPr>
        <w:ind w:left="2940"/>
        <w:rPr>
          <w:color w:val="auto"/>
          <w:highlight w:val="none"/>
        </w:rPr>
      </w:pPr>
    </w:p>
    <w:p>
      <w:pPr>
        <w:ind w:left="2940"/>
        <w:rPr>
          <w:color w:val="auto"/>
          <w:highlight w:val="none"/>
        </w:rPr>
      </w:pPr>
    </w:p>
    <w:p>
      <w:pPr>
        <w:ind w:left="2940"/>
        <w:rPr>
          <w:color w:val="auto"/>
          <w:highlight w:val="none"/>
        </w:rPr>
      </w:pPr>
    </w:p>
    <w:p>
      <w:pPr>
        <w:rPr>
          <w:color w:val="auto"/>
          <w:highlight w:val="none"/>
        </w:rPr>
      </w:pPr>
    </w:p>
    <w:p>
      <w:pPr>
        <w:tabs>
          <w:tab w:val="left" w:pos="1305"/>
        </w:tabs>
        <w:spacing w:line="380" w:lineRule="exact"/>
        <w:rPr>
          <w:rFonts w:ascii="宋体" w:hAnsi="宋体" w:cs="宋体"/>
          <w:b/>
          <w:color w:val="auto"/>
          <w:sz w:val="32"/>
          <w:szCs w:val="32"/>
          <w:highlight w:val="none"/>
        </w:rPr>
      </w:pPr>
      <w:r>
        <w:rPr>
          <w:rFonts w:hint="eastAsia" w:ascii="宋体" w:hAnsi="宋体" w:cs="宋体"/>
          <w:b/>
          <w:color w:val="auto"/>
          <w:sz w:val="32"/>
          <w:szCs w:val="32"/>
          <w:highlight w:val="none"/>
        </w:rPr>
        <w:t>2. 供应商相应的法定代表人身份证正反两面复印件（必须提供）</w:t>
      </w: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28"/>
          <w:szCs w:val="28"/>
          <w:highlight w:val="none"/>
        </w:rPr>
      </w:pPr>
    </w:p>
    <w:p>
      <w:pPr>
        <w:widowControl/>
        <w:jc w:val="left"/>
        <w:rPr>
          <w:rFonts w:ascii="宋体" w:hAnsi="宋体" w:cs="宋体"/>
          <w:b/>
          <w:color w:val="auto"/>
          <w:sz w:val="28"/>
          <w:szCs w:val="28"/>
          <w:highlight w:val="none"/>
        </w:rPr>
      </w:pPr>
      <w:r>
        <w:rPr>
          <w:rFonts w:ascii="宋体" w:hAnsi="宋体" w:cs="宋体"/>
          <w:b/>
          <w:color w:val="auto"/>
          <w:sz w:val="28"/>
          <w:szCs w:val="28"/>
          <w:highlight w:val="none"/>
        </w:rPr>
        <w:br w:type="page"/>
      </w:r>
    </w:p>
    <w:p>
      <w:pPr>
        <w:tabs>
          <w:tab w:val="left" w:pos="1305"/>
        </w:tabs>
        <w:spacing w:line="380" w:lineRule="exact"/>
        <w:rPr>
          <w:rFonts w:ascii="宋体" w:hAnsi="宋体" w:cs="宋体"/>
          <w:b/>
          <w:color w:val="auto"/>
          <w:sz w:val="28"/>
          <w:szCs w:val="28"/>
          <w:highlight w:val="none"/>
        </w:rPr>
      </w:pPr>
    </w:p>
    <w:p>
      <w:pPr>
        <w:tabs>
          <w:tab w:val="left" w:pos="1305"/>
        </w:tabs>
        <w:spacing w:line="380" w:lineRule="exact"/>
        <w:rPr>
          <w:rFonts w:ascii="宋体" w:hAnsi="宋体" w:cs="宋体"/>
          <w:b/>
          <w:color w:val="auto"/>
          <w:sz w:val="32"/>
          <w:szCs w:val="32"/>
          <w:highlight w:val="none"/>
        </w:rPr>
      </w:pPr>
      <w:r>
        <w:rPr>
          <w:rFonts w:hint="eastAsia" w:ascii="宋体" w:hAnsi="宋体" w:cs="宋体"/>
          <w:b/>
          <w:color w:val="auto"/>
          <w:sz w:val="32"/>
          <w:szCs w:val="32"/>
          <w:highlight w:val="none"/>
        </w:rPr>
        <w:t>3.供应商的授权委托书原件、委托代理人身份证正反面复印件以及供应商为委托代理人交纳的2023年以来任意3个月的社保证明复印件【属自然人的应提供自然人本人及为委托代理人所交纳的2023年以来任意3个月的社保证明复印件】（委托代理时必须提供）</w:t>
      </w:r>
    </w:p>
    <w:p>
      <w:pPr>
        <w:spacing w:line="300" w:lineRule="exact"/>
        <w:rPr>
          <w:rFonts w:ascii="宋体" w:hAnsi="宋体" w:cs="宋体"/>
          <w:b/>
          <w:color w:val="auto"/>
          <w:kern w:val="0"/>
          <w:sz w:val="28"/>
          <w:szCs w:val="28"/>
          <w:highlight w:val="none"/>
        </w:rPr>
      </w:pPr>
    </w:p>
    <w:p>
      <w:pPr>
        <w:spacing w:line="400" w:lineRule="exact"/>
        <w:ind w:left="420" w:leftChars="200" w:firstLine="156" w:firstLineChars="49"/>
        <w:rPr>
          <w:rFonts w:ascii="宋体" w:hAnsi="宋体" w:cs="宋体"/>
          <w:b/>
          <w:color w:val="auto"/>
          <w:sz w:val="32"/>
          <w:szCs w:val="32"/>
          <w:highlight w:val="none"/>
        </w:rPr>
      </w:pPr>
      <w:r>
        <w:rPr>
          <w:rFonts w:hint="eastAsia" w:ascii="宋体" w:hAnsi="宋体" w:cs="宋体"/>
          <w:b/>
          <w:color w:val="auto"/>
          <w:sz w:val="32"/>
          <w:szCs w:val="32"/>
          <w:highlight w:val="none"/>
        </w:rPr>
        <w:t>附件：</w:t>
      </w:r>
    </w:p>
    <w:p>
      <w:pPr>
        <w:ind w:firstLine="482"/>
        <w:rPr>
          <w:rFonts w:ascii="宋体" w:hAnsi="宋体" w:cs="宋体"/>
          <w:b/>
          <w:color w:val="auto"/>
          <w:highlight w:val="none"/>
        </w:rPr>
      </w:pPr>
    </w:p>
    <w:p>
      <w:pPr>
        <w:jc w:val="center"/>
        <w:rPr>
          <w:rFonts w:ascii="宋体" w:hAnsi="宋体" w:cs="宋体"/>
          <w:b/>
          <w:color w:val="auto"/>
          <w:sz w:val="28"/>
          <w:szCs w:val="28"/>
          <w:highlight w:val="none"/>
        </w:rPr>
      </w:pPr>
      <w:r>
        <w:rPr>
          <w:rFonts w:hint="eastAsia" w:ascii="宋体" w:hAnsi="宋体" w:cs="宋体"/>
          <w:b/>
          <w:color w:val="auto"/>
          <w:sz w:val="32"/>
          <w:szCs w:val="20"/>
          <w:highlight w:val="none"/>
        </w:rPr>
        <w:t xml:space="preserve">  </w:t>
      </w:r>
      <w:r>
        <w:rPr>
          <w:rFonts w:hint="eastAsia" w:ascii="宋体" w:hAnsi="宋体" w:cs="宋体"/>
          <w:b/>
          <w:color w:val="auto"/>
          <w:sz w:val="28"/>
          <w:szCs w:val="28"/>
          <w:highlight w:val="none"/>
        </w:rPr>
        <w:t>授权委托书（格式一）</w:t>
      </w:r>
    </w:p>
    <w:p>
      <w:pPr>
        <w:snapToGrid w:val="0"/>
        <w:spacing w:line="400" w:lineRule="exact"/>
        <w:rPr>
          <w:rFonts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广西安臻工程管理有限公司</w:t>
      </w:r>
    </w:p>
    <w:p>
      <w:pPr>
        <w:snapToGrid w:val="0"/>
        <w:spacing w:line="400" w:lineRule="exact"/>
        <w:rPr>
          <w:rFonts w:ascii="宋体" w:hAnsi="宋体" w:cs="宋体"/>
          <w:color w:val="auto"/>
          <w:szCs w:val="21"/>
          <w:highlight w:val="none"/>
          <w:u w:val="single"/>
        </w:rPr>
      </w:pPr>
    </w:p>
    <w:p>
      <w:pPr>
        <w:spacing w:line="400" w:lineRule="exact"/>
        <w:ind w:firstLine="525" w:firstLineChars="250"/>
        <w:rPr>
          <w:rFonts w:ascii="宋体" w:hAnsi="宋体" w:cs="宋体"/>
          <w:color w:val="auto"/>
          <w:szCs w:val="20"/>
          <w:highlight w:val="none"/>
        </w:rPr>
      </w:pPr>
      <w:r>
        <w:rPr>
          <w:rFonts w:hint="eastAsia" w:ascii="宋体" w:hAnsi="宋体" w:cs="宋体"/>
          <w:color w:val="auto"/>
          <w:kern w:val="0"/>
          <w:szCs w:val="20"/>
          <w:highlight w:val="none"/>
        </w:rPr>
        <w:t>我</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（姓名）系</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（供应商名称）的法定代表人，现授权委托本单位在职职工</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（姓名）以我公司名义参加</w:t>
      </w:r>
      <w:r>
        <w:rPr>
          <w:rFonts w:hint="eastAsia" w:ascii="宋体" w:hAnsi="宋体" w:cs="宋体"/>
          <w:color w:val="auto"/>
          <w:kern w:val="0"/>
          <w:szCs w:val="20"/>
          <w:highlight w:val="none"/>
          <w:u w:val="single"/>
        </w:rPr>
        <w:t xml:space="preserve">      </w:t>
      </w:r>
      <w:r>
        <w:rPr>
          <w:rFonts w:hint="eastAsia" w:ascii="宋体" w:hAnsi="宋体" w:cs="宋体"/>
          <w:color w:val="auto"/>
          <w:szCs w:val="20"/>
          <w:highlight w:val="none"/>
          <w:u w:val="single"/>
        </w:rPr>
        <w:t xml:space="preserve">（项目名称及项目编号）        </w:t>
      </w:r>
      <w:r>
        <w:rPr>
          <w:rFonts w:hint="eastAsia" w:ascii="宋体" w:hAnsi="宋体" w:cs="宋体"/>
          <w:color w:val="auto"/>
          <w:szCs w:val="20"/>
          <w:highlight w:val="none"/>
        </w:rPr>
        <w:t>项目的磋商活动，并代表我方全权办理针对上述项目的磋商、签约等具体事务和签署相关文件。</w:t>
      </w:r>
    </w:p>
    <w:p>
      <w:pPr>
        <w:spacing w:line="400" w:lineRule="exact"/>
        <w:ind w:firstLine="420"/>
        <w:rPr>
          <w:rFonts w:ascii="宋体" w:hAnsi="宋体" w:cs="宋体"/>
          <w:color w:val="auto"/>
          <w:szCs w:val="20"/>
          <w:highlight w:val="none"/>
        </w:rPr>
      </w:pPr>
      <w:r>
        <w:rPr>
          <w:rFonts w:hint="eastAsia" w:ascii="宋体" w:hAnsi="宋体" w:cs="宋体"/>
          <w:color w:val="auto"/>
          <w:szCs w:val="20"/>
          <w:highlight w:val="none"/>
        </w:rPr>
        <w:t>我方对被授权人的签字事项负全部责任。</w:t>
      </w:r>
    </w:p>
    <w:p>
      <w:pPr>
        <w:spacing w:line="400" w:lineRule="exact"/>
        <w:ind w:firstLine="420"/>
        <w:rPr>
          <w:rFonts w:ascii="宋体" w:hAnsi="宋体" w:cs="宋体"/>
          <w:color w:val="auto"/>
          <w:szCs w:val="20"/>
          <w:highlight w:val="none"/>
          <w:u w:val="single"/>
        </w:rPr>
      </w:pPr>
      <w:r>
        <w:rPr>
          <w:rFonts w:hint="eastAsia" w:ascii="宋体" w:hAnsi="宋体" w:cs="宋体"/>
          <w:color w:val="auto"/>
          <w:szCs w:val="20"/>
          <w:highlight w:val="none"/>
        </w:rPr>
        <w:t>授权委托代理期限：从</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月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日起至</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月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日止。</w:t>
      </w:r>
    </w:p>
    <w:p>
      <w:pPr>
        <w:spacing w:line="400" w:lineRule="exact"/>
        <w:rPr>
          <w:rFonts w:ascii="宋体" w:hAnsi="宋体" w:cs="宋体"/>
          <w:color w:val="auto"/>
          <w:szCs w:val="20"/>
          <w:highlight w:val="none"/>
          <w:u w:val="single"/>
        </w:rPr>
      </w:pPr>
      <w:r>
        <w:rPr>
          <w:rFonts w:hint="eastAsia" w:ascii="宋体" w:hAnsi="宋体" w:cs="宋体"/>
          <w:color w:val="auto"/>
          <w:szCs w:val="20"/>
          <w:highlight w:val="none"/>
        </w:rPr>
        <w:t xml:space="preserve">                                                                                             </w:t>
      </w:r>
    </w:p>
    <w:p>
      <w:pPr>
        <w:spacing w:line="400" w:lineRule="exact"/>
        <w:ind w:firstLine="42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rPr>
          <w:rFonts w:ascii="宋体" w:hAnsi="宋体" w:cs="宋体"/>
          <w:color w:val="auto"/>
          <w:highlight w:val="none"/>
        </w:rPr>
      </w:pPr>
    </w:p>
    <w:p>
      <w:pPr>
        <w:snapToGrid w:val="0"/>
        <w:spacing w:line="400" w:lineRule="exact"/>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widowControl/>
        <w:ind w:firstLine="480"/>
        <w:jc w:val="left"/>
        <w:rPr>
          <w:rFonts w:ascii="宋体" w:hAnsi="宋体" w:cs="宋体"/>
          <w:color w:val="auto"/>
          <w:kern w:val="0"/>
          <w:szCs w:val="28"/>
          <w:highlight w:val="none"/>
        </w:rPr>
      </w:pPr>
    </w:p>
    <w:p>
      <w:pPr>
        <w:widowControl/>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 xml:space="preserve">供应商（公章或电子签章）：                                   </w:t>
      </w:r>
    </w:p>
    <w:p>
      <w:pPr>
        <w:widowControl/>
        <w:ind w:firstLine="480"/>
        <w:jc w:val="left"/>
        <w:rPr>
          <w:rFonts w:ascii="宋体" w:hAnsi="宋体" w:cs="宋体"/>
          <w:color w:val="auto"/>
          <w:kern w:val="0"/>
          <w:szCs w:val="21"/>
          <w:highlight w:val="none"/>
        </w:rPr>
      </w:pPr>
    </w:p>
    <w:p>
      <w:pPr>
        <w:widowControl/>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 xml:space="preserve">法定代表人签字（或电子签名）：                       　    </w:t>
      </w:r>
    </w:p>
    <w:p>
      <w:pPr>
        <w:widowControl/>
        <w:ind w:firstLine="480"/>
        <w:jc w:val="left"/>
        <w:rPr>
          <w:rFonts w:ascii="宋体" w:hAnsi="宋体" w:cs="宋体"/>
          <w:color w:val="auto"/>
          <w:kern w:val="0"/>
          <w:szCs w:val="28"/>
          <w:highlight w:val="none"/>
        </w:rPr>
      </w:pPr>
    </w:p>
    <w:p>
      <w:pPr>
        <w:widowControl/>
        <w:ind w:firstLine="480"/>
        <w:jc w:val="left"/>
        <w:rPr>
          <w:rFonts w:ascii="宋体" w:hAnsi="宋体" w:cs="宋体"/>
          <w:color w:val="auto"/>
          <w:kern w:val="0"/>
          <w:szCs w:val="28"/>
          <w:highlight w:val="none"/>
        </w:rPr>
      </w:pPr>
      <w:r>
        <w:rPr>
          <w:rFonts w:hint="eastAsia" w:ascii="宋体" w:hAnsi="宋体" w:cs="宋体"/>
          <w:color w:val="auto"/>
          <w:kern w:val="0"/>
          <w:szCs w:val="28"/>
          <w:highlight w:val="none"/>
        </w:rPr>
        <w:t>年      月     日</w:t>
      </w:r>
    </w:p>
    <w:p>
      <w:pPr>
        <w:spacing w:line="400" w:lineRule="exact"/>
        <w:ind w:firstLine="525" w:firstLineChars="250"/>
        <w:rPr>
          <w:rFonts w:ascii="宋体" w:hAnsi="宋体" w:cs="宋体"/>
          <w:b/>
          <w:color w:val="auto"/>
          <w:szCs w:val="21"/>
          <w:highlight w:val="none"/>
        </w:rPr>
      </w:pPr>
      <w:r>
        <w:rPr>
          <w:rFonts w:hint="eastAsia" w:ascii="宋体" w:hAnsi="宋体" w:cs="宋体"/>
          <w:b/>
          <w:color w:val="auto"/>
          <w:szCs w:val="21"/>
          <w:highlight w:val="none"/>
        </w:rPr>
        <w:t>附：委托代理人身份证正反面复印件以及供应商为委托代理人交纳的2023年以来任意3个月的社保证明复印件（委托代理时必须提供）。</w:t>
      </w:r>
    </w:p>
    <w:p>
      <w:pPr>
        <w:rPr>
          <w:rFonts w:ascii="宋体" w:hAnsi="宋体" w:cs="宋体"/>
          <w:color w:val="auto"/>
          <w:highlight w:val="none"/>
        </w:rPr>
      </w:pPr>
    </w:p>
    <w:p>
      <w:pPr>
        <w:pStyle w:val="40"/>
        <w:ind w:firstLine="480"/>
        <w:rPr>
          <w:color w:val="auto"/>
          <w:highlight w:val="none"/>
        </w:rPr>
      </w:pPr>
    </w:p>
    <w:p>
      <w:pPr>
        <w:pStyle w:val="40"/>
        <w:ind w:firstLine="480"/>
        <w:rPr>
          <w:color w:val="auto"/>
          <w:highlight w:val="none"/>
        </w:rPr>
      </w:pPr>
    </w:p>
    <w:p>
      <w:pPr>
        <w:pStyle w:val="40"/>
        <w:ind w:firstLine="480"/>
        <w:rPr>
          <w:color w:val="auto"/>
          <w:highlight w:val="none"/>
        </w:rPr>
      </w:pPr>
    </w:p>
    <w:p>
      <w:pPr>
        <w:pStyle w:val="40"/>
        <w:ind w:firstLine="480"/>
        <w:rPr>
          <w:color w:val="auto"/>
          <w:highlight w:val="none"/>
        </w:rPr>
      </w:pPr>
    </w:p>
    <w:p>
      <w:pPr>
        <w:pStyle w:val="40"/>
        <w:ind w:firstLine="480"/>
        <w:rPr>
          <w:color w:val="auto"/>
          <w:highlight w:val="none"/>
        </w:rPr>
      </w:pPr>
    </w:p>
    <w:p>
      <w:pPr>
        <w:pStyle w:val="40"/>
        <w:ind w:firstLine="480"/>
        <w:rPr>
          <w:color w:val="auto"/>
          <w:highlight w:val="none"/>
        </w:rPr>
      </w:pPr>
    </w:p>
    <w:p>
      <w:pPr>
        <w:pStyle w:val="40"/>
        <w:ind w:firstLine="480"/>
        <w:rPr>
          <w:color w:val="auto"/>
          <w:highlight w:val="none"/>
        </w:rPr>
      </w:pPr>
    </w:p>
    <w:p>
      <w:pPr>
        <w:jc w:val="center"/>
        <w:rPr>
          <w:rFonts w:ascii="宋体" w:hAnsi="宋体" w:cs="宋体"/>
          <w:b/>
          <w:color w:val="auto"/>
          <w:sz w:val="28"/>
          <w:szCs w:val="28"/>
          <w:highlight w:val="none"/>
        </w:rPr>
      </w:pPr>
      <w:r>
        <w:rPr>
          <w:rFonts w:hint="eastAsia" w:ascii="宋体" w:hAnsi="宋体" w:cs="宋体"/>
          <w:b/>
          <w:color w:val="auto"/>
          <w:sz w:val="28"/>
          <w:szCs w:val="28"/>
          <w:highlight w:val="none"/>
        </w:rPr>
        <w:t>授权委托书（格式二）</w:t>
      </w:r>
    </w:p>
    <w:p>
      <w:pPr>
        <w:snapToGrid w:val="0"/>
        <w:spacing w:line="400" w:lineRule="exact"/>
        <w:rPr>
          <w:rFonts w:ascii="宋体" w:hAnsi="宋体" w:cs="宋体"/>
          <w:color w:val="auto"/>
          <w:highlight w:val="none"/>
        </w:rPr>
      </w:pPr>
      <w:r>
        <w:rPr>
          <w:rFonts w:hint="eastAsia" w:ascii="宋体" w:hAnsi="宋体" w:cs="宋体"/>
          <w:b/>
          <w:color w:val="auto"/>
          <w:szCs w:val="21"/>
          <w:highlight w:val="none"/>
        </w:rPr>
        <w:t>致</w:t>
      </w:r>
      <w:r>
        <w:rPr>
          <w:rFonts w:hint="eastAsia" w:ascii="宋体" w:hAnsi="宋体" w:cs="宋体"/>
          <w:color w:val="auto"/>
          <w:szCs w:val="21"/>
          <w:highlight w:val="none"/>
        </w:rPr>
        <w:t>：</w:t>
      </w:r>
      <w:r>
        <w:rPr>
          <w:rFonts w:hint="eastAsia" w:ascii="宋体" w:hAnsi="宋体" w:cs="宋体"/>
          <w:color w:val="auto"/>
          <w:highlight w:val="none"/>
          <w:u w:val="single"/>
        </w:rPr>
        <w:t>广西安臻工程管理有限公司</w:t>
      </w:r>
    </w:p>
    <w:p>
      <w:pPr>
        <w:rPr>
          <w:rFonts w:ascii="宋体" w:hAnsi="宋体" w:cs="宋体"/>
          <w:color w:val="auto"/>
          <w:highlight w:val="none"/>
        </w:rPr>
      </w:pPr>
    </w:p>
    <w:p>
      <w:pPr>
        <w:spacing w:line="340" w:lineRule="exact"/>
        <w:ind w:firstLine="420"/>
        <w:rPr>
          <w:rFonts w:ascii="宋体" w:hAnsi="宋体" w:cs="宋体"/>
          <w:color w:val="auto"/>
          <w:szCs w:val="20"/>
          <w:highlight w:val="none"/>
        </w:rPr>
      </w:pPr>
      <w:r>
        <w:rPr>
          <w:rFonts w:hint="eastAsia" w:ascii="宋体" w:hAnsi="宋体" w:cs="宋体"/>
          <w:color w:val="auto"/>
          <w:kern w:val="0"/>
          <w:szCs w:val="20"/>
          <w:highlight w:val="none"/>
        </w:rPr>
        <w:t>我</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（姓名）系自然人，现授权委托</w:t>
      </w:r>
      <w:r>
        <w:rPr>
          <w:rFonts w:hint="eastAsia" w:ascii="宋体" w:hAnsi="宋体" w:cs="宋体"/>
          <w:color w:val="auto"/>
          <w:kern w:val="0"/>
          <w:szCs w:val="20"/>
          <w:highlight w:val="none"/>
          <w:u w:val="single"/>
        </w:rPr>
        <w:t xml:space="preserve">            </w:t>
      </w:r>
      <w:r>
        <w:rPr>
          <w:rFonts w:hint="eastAsia" w:ascii="宋体" w:hAnsi="宋体" w:cs="宋体"/>
          <w:color w:val="auto"/>
          <w:kern w:val="0"/>
          <w:szCs w:val="20"/>
          <w:highlight w:val="none"/>
        </w:rPr>
        <w:t>（姓 名）以本人名义参加</w:t>
      </w:r>
      <w:r>
        <w:rPr>
          <w:rFonts w:hint="eastAsia" w:ascii="宋体" w:hAnsi="宋体" w:cs="宋体"/>
          <w:color w:val="auto"/>
          <w:kern w:val="0"/>
          <w:szCs w:val="20"/>
          <w:highlight w:val="none"/>
          <w:u w:val="single"/>
        </w:rPr>
        <w:t xml:space="preserve">      </w:t>
      </w:r>
      <w:r>
        <w:rPr>
          <w:rFonts w:hint="eastAsia" w:ascii="宋体" w:hAnsi="宋体" w:cs="宋体"/>
          <w:color w:val="auto"/>
          <w:szCs w:val="20"/>
          <w:highlight w:val="none"/>
          <w:u w:val="single"/>
        </w:rPr>
        <w:t xml:space="preserve">（项目名称及项目编号）        </w:t>
      </w:r>
      <w:r>
        <w:rPr>
          <w:rFonts w:hint="eastAsia" w:ascii="宋体" w:hAnsi="宋体" w:cs="宋体"/>
          <w:color w:val="auto"/>
          <w:szCs w:val="20"/>
          <w:highlight w:val="none"/>
        </w:rPr>
        <w:t>项目的磋商活动，并代表本人全权办理针对上述项目的磋商、签约等具体事务和签署相关文件。</w:t>
      </w:r>
    </w:p>
    <w:p>
      <w:pPr>
        <w:spacing w:line="340" w:lineRule="exact"/>
        <w:ind w:firstLine="420"/>
        <w:rPr>
          <w:rFonts w:ascii="宋体" w:hAnsi="宋体" w:cs="宋体"/>
          <w:color w:val="auto"/>
          <w:szCs w:val="20"/>
          <w:highlight w:val="none"/>
        </w:rPr>
      </w:pPr>
      <w:r>
        <w:rPr>
          <w:rFonts w:hint="eastAsia" w:ascii="宋体" w:hAnsi="宋体" w:cs="宋体"/>
          <w:color w:val="auto"/>
          <w:szCs w:val="20"/>
          <w:highlight w:val="none"/>
        </w:rPr>
        <w:t>本人对被授权人的签字事项负全部责任。</w:t>
      </w:r>
    </w:p>
    <w:p>
      <w:pPr>
        <w:spacing w:line="340" w:lineRule="exact"/>
        <w:ind w:firstLine="420"/>
        <w:rPr>
          <w:rFonts w:ascii="宋体" w:hAnsi="宋体" w:cs="宋体"/>
          <w:color w:val="auto"/>
          <w:szCs w:val="20"/>
          <w:highlight w:val="none"/>
          <w:u w:val="single"/>
        </w:rPr>
      </w:pPr>
      <w:r>
        <w:rPr>
          <w:rFonts w:hint="eastAsia" w:ascii="宋体" w:hAnsi="宋体" w:cs="宋体"/>
          <w:color w:val="auto"/>
          <w:szCs w:val="20"/>
          <w:highlight w:val="none"/>
        </w:rPr>
        <w:t>授权委托代理期限：从</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月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 日起至</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年</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 xml:space="preserve">月 </w:t>
      </w:r>
      <w:r>
        <w:rPr>
          <w:rFonts w:hint="eastAsia" w:ascii="宋体" w:hAnsi="宋体" w:cs="宋体"/>
          <w:color w:val="auto"/>
          <w:szCs w:val="20"/>
          <w:highlight w:val="none"/>
          <w:u w:val="single"/>
        </w:rPr>
        <w:t xml:space="preserve">     </w:t>
      </w:r>
      <w:r>
        <w:rPr>
          <w:rFonts w:hint="eastAsia" w:ascii="宋体" w:hAnsi="宋体" w:cs="宋体"/>
          <w:color w:val="auto"/>
          <w:szCs w:val="20"/>
          <w:highlight w:val="none"/>
        </w:rPr>
        <w:t>日止。</w:t>
      </w:r>
    </w:p>
    <w:p>
      <w:pPr>
        <w:spacing w:line="340" w:lineRule="exact"/>
        <w:rPr>
          <w:rFonts w:ascii="宋体" w:hAnsi="宋体" w:cs="宋体"/>
          <w:color w:val="auto"/>
          <w:szCs w:val="20"/>
          <w:highlight w:val="none"/>
          <w:u w:val="single"/>
        </w:rPr>
      </w:pPr>
      <w:r>
        <w:rPr>
          <w:rFonts w:hint="eastAsia" w:ascii="宋体" w:hAnsi="宋体" w:cs="宋体"/>
          <w:color w:val="auto"/>
          <w:szCs w:val="20"/>
          <w:highlight w:val="none"/>
        </w:rPr>
        <w:t xml:space="preserve">                                                                                             </w:t>
      </w:r>
    </w:p>
    <w:p>
      <w:pPr>
        <w:spacing w:line="340" w:lineRule="exact"/>
        <w:ind w:firstLine="420"/>
        <w:rPr>
          <w:rFonts w:ascii="宋体" w:hAnsi="宋体" w:cs="宋体"/>
          <w:color w:val="auto"/>
          <w:kern w:val="0"/>
          <w:highlight w:val="none"/>
        </w:rPr>
      </w:pPr>
      <w:r>
        <w:rPr>
          <w:rFonts w:hint="eastAsia" w:ascii="宋体" w:hAnsi="宋体" w:cs="宋体"/>
          <w:color w:val="auto"/>
          <w:kern w:val="0"/>
          <w:highlight w:val="none"/>
        </w:rPr>
        <w:t xml:space="preserve">代理人无转委托权,特此委托。 </w:t>
      </w:r>
    </w:p>
    <w:p>
      <w:pPr>
        <w:rPr>
          <w:rFonts w:ascii="宋体" w:hAnsi="宋体" w:cs="宋体"/>
          <w:color w:val="auto"/>
          <w:highlight w:val="none"/>
        </w:rPr>
      </w:pPr>
    </w:p>
    <w:p>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我已在下面签字，以资证明。</w:t>
      </w:r>
    </w:p>
    <w:p>
      <w:pPr>
        <w:rPr>
          <w:rFonts w:ascii="宋体" w:hAnsi="宋体" w:cs="宋体"/>
          <w:color w:val="auto"/>
          <w:highlight w:val="none"/>
        </w:rPr>
      </w:pPr>
    </w:p>
    <w:p>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自然人签字</w:t>
      </w:r>
      <w:r>
        <w:rPr>
          <w:rFonts w:hint="eastAsia" w:hAnsi="宋体" w:cs="宋体"/>
          <w:bCs/>
          <w:color w:val="auto"/>
          <w:szCs w:val="21"/>
          <w:highlight w:val="none"/>
        </w:rPr>
        <w:t>（或电子签名）</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napToGrid w:val="0"/>
        <w:spacing w:line="340" w:lineRule="exact"/>
        <w:ind w:firstLine="420"/>
        <w:rPr>
          <w:rFonts w:ascii="宋体" w:hAnsi="宋体" w:cs="宋体"/>
          <w:color w:val="auto"/>
          <w:szCs w:val="21"/>
          <w:highlight w:val="none"/>
        </w:rPr>
      </w:pPr>
    </w:p>
    <w:p>
      <w:pPr>
        <w:snapToGrid w:val="0"/>
        <w:spacing w:line="340" w:lineRule="exact"/>
        <w:ind w:firstLine="420"/>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color w:val="auto"/>
          <w:highlight w:val="none"/>
        </w:rPr>
      </w:pPr>
    </w:p>
    <w:p>
      <w:pPr>
        <w:spacing w:line="400" w:lineRule="exact"/>
        <w:ind w:firstLine="525" w:firstLineChars="250"/>
        <w:rPr>
          <w:rFonts w:ascii="宋体" w:hAnsi="宋体" w:cs="宋体"/>
          <w:b/>
          <w:color w:val="auto"/>
          <w:szCs w:val="21"/>
          <w:highlight w:val="none"/>
        </w:rPr>
      </w:pPr>
      <w:r>
        <w:rPr>
          <w:rFonts w:hint="eastAsia" w:ascii="宋体" w:hAnsi="宋体" w:cs="宋体"/>
          <w:b/>
          <w:color w:val="auto"/>
          <w:szCs w:val="21"/>
          <w:highlight w:val="none"/>
        </w:rPr>
        <w:t>附：委托代理人身份证正反面复印件以及自然人本人及为委托代理人所交纳的2023年以来任意3个月的社保证明复印件（委托代理时必须提供）。</w:t>
      </w: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p>
    <w:p>
      <w:pPr>
        <w:widowControl/>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rPr>
          <w:rFonts w:ascii="宋体" w:hAnsi="宋体" w:cs="宋体"/>
          <w:b/>
          <w:color w:val="auto"/>
          <w:kern w:val="0"/>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4.供应商的法人或者其他组织营业执照等证明文件复印件（必须提供，自然人除外）</w:t>
      </w:r>
    </w:p>
    <w:p>
      <w:pPr>
        <w:tabs>
          <w:tab w:val="left" w:pos="1305"/>
        </w:tabs>
        <w:spacing w:line="380" w:lineRule="exact"/>
        <w:ind w:firstLine="420"/>
        <w:rPr>
          <w:rFonts w:ascii="宋体" w:hAnsi="宋体" w:cs="宋体"/>
          <w:b/>
          <w:color w:val="auto"/>
          <w:szCs w:val="21"/>
          <w:highlight w:val="none"/>
        </w:rPr>
      </w:pPr>
      <w:r>
        <w:rPr>
          <w:color w:val="auto"/>
          <w:szCs w:val="21"/>
          <w:highlight w:val="none"/>
        </w:rPr>
        <w:t>注：</w:t>
      </w:r>
      <w:r>
        <w:rPr>
          <w:rFonts w:hint="eastAsia" w:ascii="宋体" w:hAnsi="宋体" w:cs="宋体"/>
          <w:color w:val="auto"/>
          <w:szCs w:val="21"/>
          <w:highlight w:val="none"/>
        </w:rPr>
        <w:t>①</w:t>
      </w:r>
      <w:r>
        <w:rPr>
          <w:color w:val="auto"/>
          <w:szCs w:val="21"/>
          <w:highlight w:val="none"/>
        </w:rPr>
        <w:t>法人包括企业法人、机关法人、事业单位法人和社会团体法人；其他组织主要包括合伙企业、非企业专业服务机构、个体工商户、农村承包经营户。</w:t>
      </w:r>
      <w:r>
        <w:rPr>
          <w:rFonts w:hint="eastAsia" w:ascii="宋体" w:hAnsi="宋体" w:cs="宋体"/>
          <w:color w:val="auto"/>
          <w:szCs w:val="21"/>
          <w:highlight w:val="none"/>
        </w:rPr>
        <w:t>②</w:t>
      </w:r>
      <w:r>
        <w:rPr>
          <w:color w:val="auto"/>
          <w:szCs w:val="21"/>
          <w:highlight w:val="none"/>
        </w:rPr>
        <w:t>如</w:t>
      </w:r>
      <w:r>
        <w:rPr>
          <w:rFonts w:hint="eastAsia"/>
          <w:color w:val="auto"/>
          <w:szCs w:val="21"/>
          <w:highlight w:val="none"/>
        </w:rPr>
        <w:t>供应商</w:t>
      </w:r>
      <w:r>
        <w:rPr>
          <w:color w:val="auto"/>
          <w:szCs w:val="21"/>
          <w:highlight w:val="none"/>
        </w:rPr>
        <w:t>为独立法人的，应提供市场监督管理部门（或行政审批部门）登记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r>
        <w:rPr>
          <w:rFonts w:hint="eastAsia" w:ascii="宋体" w:hAnsi="宋体" w:cs="宋体"/>
          <w:color w:val="auto"/>
          <w:szCs w:val="21"/>
          <w:highlight w:val="none"/>
        </w:rPr>
        <w:t>③</w:t>
      </w:r>
      <w:r>
        <w:rPr>
          <w:color w:val="auto"/>
          <w:szCs w:val="21"/>
          <w:highlight w:val="none"/>
        </w:rPr>
        <w:t>供应商为分公司参与</w:t>
      </w:r>
      <w:r>
        <w:rPr>
          <w:rFonts w:hint="eastAsia"/>
          <w:color w:val="auto"/>
          <w:szCs w:val="21"/>
          <w:highlight w:val="none"/>
        </w:rPr>
        <w:t>磋商</w:t>
      </w:r>
      <w:r>
        <w:rPr>
          <w:color w:val="auto"/>
          <w:szCs w:val="21"/>
          <w:highlight w:val="none"/>
        </w:rPr>
        <w:t>的，必须取得总公司授权，并于</w:t>
      </w:r>
      <w:r>
        <w:rPr>
          <w:rFonts w:hint="eastAsia"/>
          <w:color w:val="auto"/>
          <w:szCs w:val="21"/>
          <w:highlight w:val="none"/>
        </w:rPr>
        <w:t>响应</w:t>
      </w:r>
      <w:r>
        <w:rPr>
          <w:color w:val="auto"/>
          <w:szCs w:val="21"/>
          <w:highlight w:val="none"/>
        </w:rPr>
        <w:t>文件中提供相应总公司法人授权书原件</w:t>
      </w:r>
      <w:r>
        <w:rPr>
          <w:rFonts w:hint="eastAsia"/>
          <w:color w:val="auto"/>
          <w:szCs w:val="21"/>
          <w:highlight w:val="none"/>
        </w:rPr>
        <w:t>扫描件</w:t>
      </w:r>
      <w:r>
        <w:rPr>
          <w:color w:val="auto"/>
          <w:szCs w:val="21"/>
          <w:highlight w:val="none"/>
        </w:rPr>
        <w:t>。</w:t>
      </w:r>
      <w:r>
        <w:rPr>
          <w:rFonts w:hint="eastAsia" w:ascii="宋体" w:hAnsi="宋体" w:cs="宋体"/>
          <w:b/>
          <w:color w:val="auto"/>
          <w:szCs w:val="21"/>
          <w:highlight w:val="none"/>
        </w:rPr>
        <w:t xml:space="preserve"> </w:t>
      </w:r>
    </w:p>
    <w:p>
      <w:pPr>
        <w:tabs>
          <w:tab w:val="left" w:pos="1305"/>
        </w:tabs>
        <w:spacing w:line="380" w:lineRule="exact"/>
        <w:ind w:firstLine="422"/>
        <w:rPr>
          <w:rFonts w:ascii="宋体" w:hAnsi="宋体" w:cs="宋体"/>
          <w:b/>
          <w:color w:val="auto"/>
          <w:szCs w:val="21"/>
          <w:highlight w:val="none"/>
        </w:rPr>
      </w:pPr>
    </w:p>
    <w:p>
      <w:pPr>
        <w:tabs>
          <w:tab w:val="left" w:pos="1305"/>
        </w:tabs>
        <w:spacing w:line="380" w:lineRule="exact"/>
        <w:rPr>
          <w:rFonts w:ascii="宋体" w:hAnsi="宋体" w:cs="宋体"/>
          <w:b/>
          <w:color w:val="auto"/>
          <w:sz w:val="28"/>
          <w:szCs w:val="28"/>
          <w:highlight w:val="none"/>
        </w:rPr>
      </w:pPr>
      <w:r>
        <w:rPr>
          <w:rFonts w:hint="eastAsia" w:ascii="宋体" w:hAnsi="宋体" w:cs="宋体"/>
          <w:b/>
          <w:color w:val="auto"/>
          <w:sz w:val="28"/>
          <w:szCs w:val="28"/>
          <w:highlight w:val="none"/>
        </w:rPr>
        <w:t>总公司法人授权书原件扫描件（分公司参与磋商时必须提供）</w:t>
      </w:r>
    </w:p>
    <w:p>
      <w:pPr>
        <w:ind w:firstLine="800" w:firstLineChars="250"/>
        <w:jc w:val="center"/>
        <w:rPr>
          <w:rFonts w:ascii="宋体" w:hAnsi="Courier New"/>
          <w:b/>
          <w:color w:val="auto"/>
          <w:sz w:val="32"/>
          <w:szCs w:val="20"/>
          <w:highlight w:val="none"/>
        </w:rPr>
      </w:pPr>
    </w:p>
    <w:p>
      <w:pPr>
        <w:ind w:firstLine="700" w:firstLineChars="250"/>
        <w:jc w:val="center"/>
        <w:rPr>
          <w:rFonts w:ascii="宋体" w:hAnsi="Courier New"/>
          <w:b/>
          <w:color w:val="auto"/>
          <w:sz w:val="28"/>
          <w:szCs w:val="28"/>
          <w:highlight w:val="none"/>
        </w:rPr>
      </w:pPr>
      <w:r>
        <w:rPr>
          <w:rFonts w:hint="eastAsia" w:ascii="宋体" w:hAnsi="Courier New"/>
          <w:b/>
          <w:color w:val="auto"/>
          <w:sz w:val="28"/>
          <w:szCs w:val="28"/>
          <w:highlight w:val="none"/>
        </w:rPr>
        <w:t>授权书（格式）</w:t>
      </w:r>
    </w:p>
    <w:p>
      <w:pPr>
        <w:spacing w:line="400" w:lineRule="exact"/>
        <w:rPr>
          <w:color w:val="auto"/>
          <w:highlight w:val="none"/>
        </w:rPr>
      </w:pPr>
      <w:r>
        <w:rPr>
          <w:rFonts w:hint="eastAsia" w:ascii="宋体" w:hAnsi="宋体"/>
          <w:color w:val="auto"/>
          <w:szCs w:val="21"/>
          <w:highlight w:val="none"/>
        </w:rPr>
        <w:t>致：</w:t>
      </w:r>
      <w:r>
        <w:rPr>
          <w:rFonts w:hint="eastAsia"/>
          <w:color w:val="auto"/>
          <w:highlight w:val="none"/>
          <w:u w:val="single"/>
        </w:rPr>
        <w:t>广西安臻工程管理有限公司</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我公司授权</w:t>
      </w:r>
      <w:r>
        <w:rPr>
          <w:rFonts w:hint="eastAsia" w:ascii="宋体" w:hAnsi="Courier New"/>
          <w:color w:val="auto"/>
          <w:szCs w:val="21"/>
          <w:highlight w:val="none"/>
          <w:u w:val="single"/>
        </w:rPr>
        <w:t xml:space="preserve">    （供应商名称，即分公司名称）    </w:t>
      </w:r>
      <w:r>
        <w:rPr>
          <w:rFonts w:hint="eastAsia" w:ascii="宋体" w:hAnsi="Courier New"/>
          <w:color w:val="auto"/>
          <w:szCs w:val="21"/>
          <w:highlight w:val="none"/>
        </w:rPr>
        <w:t>参加</w:t>
      </w:r>
      <w:r>
        <w:rPr>
          <w:rFonts w:hint="eastAsia" w:ascii="宋体" w:hAnsi="Courier New"/>
          <w:color w:val="auto"/>
          <w:szCs w:val="21"/>
          <w:highlight w:val="none"/>
          <w:u w:val="single"/>
        </w:rPr>
        <w:t xml:space="preserve">       项目名称（项目编号：     ）</w:t>
      </w:r>
      <w:r>
        <w:rPr>
          <w:rFonts w:hint="eastAsia" w:ascii="宋体" w:hAnsi="Courier New"/>
          <w:color w:val="auto"/>
          <w:szCs w:val="21"/>
          <w:highlight w:val="none"/>
        </w:rPr>
        <w:t>的磋商活动，其权限如下:</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一、提交保证金，接收退回的保证金。</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二、提交响应文件（含补充、修改文件)，或者撒回已提交的响应文件（含补充、修改文件)，或者接收退回的响应文件。</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三、依法参加磋商等活动，答复磋商小组提出的澄清等。</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四、提出事先由委托人确认的异议、投诉，并接收异议、投诉答复。</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五、接收采购人或采购代理机构发出的有关本项目相关的公告、文书等。</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五、交纳代理服务费，办理成交手续，参加采购合同谈判和签约。</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六、进行合同履约、参加验收、提供服务等。</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被授权单位无转委托权。</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本授权书自签发之日起生效，有效期180天。如被授权方成交，则本授权书的有效期自签发之日起生效至项目合同履行完毕结束。</w:t>
      </w:r>
      <w:r>
        <w:rPr>
          <w:rFonts w:ascii="宋体" w:hAnsi="Courier New"/>
          <w:color w:val="auto"/>
          <w:szCs w:val="20"/>
          <w:highlight w:val="none"/>
        </w:rPr>
        <w:t>项目执行过程中所发生的一切后果，由我公司承担相应的法律责任。</w:t>
      </w:r>
    </w:p>
    <w:p>
      <w:pPr>
        <w:spacing w:line="400" w:lineRule="exact"/>
        <w:ind w:firstLine="420"/>
        <w:rPr>
          <w:rFonts w:ascii="宋体" w:hAnsi="Courier New"/>
          <w:color w:val="auto"/>
          <w:szCs w:val="21"/>
          <w:highlight w:val="none"/>
        </w:rPr>
      </w:pPr>
      <w:r>
        <w:rPr>
          <w:rFonts w:hint="eastAsia" w:ascii="宋体" w:hAnsi="Courier New"/>
          <w:color w:val="auto"/>
          <w:szCs w:val="21"/>
          <w:highlight w:val="none"/>
        </w:rPr>
        <w:t>特此授权。</w:t>
      </w:r>
    </w:p>
    <w:p>
      <w:pPr>
        <w:widowControl/>
        <w:snapToGrid w:val="0"/>
        <w:spacing w:line="360" w:lineRule="exact"/>
        <w:ind w:firstLine="3780" w:firstLineChars="1800"/>
        <w:textAlignment w:val="baseline"/>
        <w:rPr>
          <w:rFonts w:ascii="宋体" w:hAnsi="Courier New"/>
          <w:color w:val="auto"/>
          <w:kern w:val="0"/>
          <w:sz w:val="20"/>
          <w:szCs w:val="20"/>
          <w:highlight w:val="none"/>
        </w:rPr>
      </w:pPr>
      <w:r>
        <w:rPr>
          <w:rFonts w:hint="eastAsia" w:ascii="宋体" w:hAnsi="Courier New"/>
          <w:color w:val="auto"/>
          <w:kern w:val="0"/>
          <w:szCs w:val="20"/>
          <w:highlight w:val="none"/>
        </w:rPr>
        <w:t>授权人</w:t>
      </w:r>
      <w:r>
        <w:rPr>
          <w:rFonts w:ascii="宋体" w:hAnsi="宋体"/>
          <w:color w:val="auto"/>
          <w:kern w:val="0"/>
          <w:sz w:val="20"/>
          <w:highlight w:val="none"/>
        </w:rPr>
        <w:t>（公章）：</w:t>
      </w:r>
      <w:r>
        <w:rPr>
          <w:rFonts w:hint="eastAsia" w:ascii="宋体" w:hAnsi="Courier New"/>
          <w:color w:val="auto"/>
          <w:kern w:val="0"/>
          <w:sz w:val="20"/>
          <w:szCs w:val="20"/>
          <w:highlight w:val="none"/>
        </w:rPr>
        <w:t>____________</w:t>
      </w:r>
      <w:r>
        <w:rPr>
          <w:rFonts w:ascii="宋体" w:hAnsi="宋体"/>
          <w:color w:val="auto"/>
          <w:kern w:val="0"/>
          <w:sz w:val="20"/>
          <w:highlight w:val="none"/>
          <w:u w:val="single"/>
        </w:rPr>
        <w:t xml:space="preserve">   </w:t>
      </w:r>
    </w:p>
    <w:p>
      <w:pPr>
        <w:widowControl/>
        <w:snapToGrid w:val="0"/>
        <w:spacing w:line="360" w:lineRule="exact"/>
        <w:ind w:firstLine="420"/>
        <w:textAlignment w:val="baseline"/>
        <w:rPr>
          <w:rFonts w:ascii="宋体" w:hAnsi="Courier New"/>
          <w:color w:val="auto"/>
          <w:kern w:val="0"/>
          <w:sz w:val="20"/>
          <w:szCs w:val="20"/>
          <w:highlight w:val="none"/>
        </w:rPr>
      </w:pPr>
    </w:p>
    <w:p>
      <w:pPr>
        <w:widowControl/>
        <w:snapToGrid w:val="0"/>
        <w:spacing w:line="360" w:lineRule="exact"/>
        <w:ind w:firstLine="420"/>
        <w:textAlignment w:val="baseline"/>
        <w:rPr>
          <w:rFonts w:ascii="宋体" w:hAnsi="Courier New"/>
          <w:color w:val="auto"/>
          <w:kern w:val="0"/>
          <w:sz w:val="20"/>
          <w:szCs w:val="20"/>
          <w:highlight w:val="none"/>
        </w:rPr>
      </w:pPr>
      <w:r>
        <w:rPr>
          <w:rFonts w:hint="eastAsia" w:ascii="宋体" w:hAnsi="Courier New"/>
          <w:color w:val="auto"/>
          <w:kern w:val="0"/>
          <w:sz w:val="20"/>
          <w:szCs w:val="20"/>
          <w:highlight w:val="none"/>
        </w:rPr>
        <w:t xml:space="preserve">                                           日期：______年____月____日</w:t>
      </w:r>
    </w:p>
    <w:p>
      <w:pPr>
        <w:pStyle w:val="26"/>
        <w:rPr>
          <w:color w:val="auto"/>
          <w:highlight w:val="none"/>
        </w:rPr>
      </w:pPr>
      <w:r>
        <w:rPr>
          <w:color w:val="auto"/>
          <w:highlight w:val="none"/>
        </w:rPr>
        <w:br w:type="page"/>
      </w:r>
    </w:p>
    <w:p>
      <w:pPr>
        <w:widowControl/>
        <w:snapToGrid w:val="0"/>
        <w:spacing w:line="360" w:lineRule="exact"/>
        <w:ind w:firstLine="420"/>
        <w:textAlignment w:val="baseline"/>
        <w:rPr>
          <w:rFonts w:ascii="宋体" w:hAnsi="Courier New"/>
          <w:color w:val="auto"/>
          <w:kern w:val="0"/>
          <w:sz w:val="20"/>
          <w:szCs w:val="20"/>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5.</w:t>
      </w:r>
      <w:r>
        <w:rPr>
          <w:rFonts w:ascii="宋体" w:hAnsi="宋体" w:cs="宋体"/>
          <w:b/>
          <w:color w:val="auto"/>
          <w:sz w:val="32"/>
          <w:szCs w:val="32"/>
          <w:highlight w:val="none"/>
        </w:rPr>
        <w:t xml:space="preserve"> </w:t>
      </w:r>
      <w:r>
        <w:rPr>
          <w:rFonts w:hint="eastAsia" w:ascii="宋体" w:hAnsi="宋体" w:cs="宋体"/>
          <w:b/>
          <w:color w:val="auto"/>
          <w:sz w:val="32"/>
          <w:szCs w:val="32"/>
          <w:highlight w:val="none"/>
        </w:rPr>
        <w:t>供应商有效的《食品生产许可证》或《食品经营许可证》复印件（必须提供）</w:t>
      </w: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6.供应商2022年以来任意一年度的的财务状况报告（或2023年以来银行出具的资信证明）复印件（必须提供）</w:t>
      </w:r>
    </w:p>
    <w:p>
      <w:pPr>
        <w:rPr>
          <w:rFonts w:ascii="宋体" w:hAnsi="宋体" w:cs="宋体"/>
          <w:b/>
          <w:color w:val="auto"/>
          <w:sz w:val="32"/>
          <w:szCs w:val="32"/>
          <w:highlight w:val="none"/>
        </w:rPr>
      </w:pPr>
    </w:p>
    <w:p>
      <w:pPr>
        <w:rPr>
          <w:rFonts w:ascii="宋体" w:hAnsi="宋体" w:cs="宋体"/>
          <w:b/>
          <w:color w:val="auto"/>
          <w:sz w:val="32"/>
          <w:szCs w:val="32"/>
          <w:highlight w:val="none"/>
        </w:rPr>
      </w:pPr>
      <w:r>
        <w:rPr>
          <w:rFonts w:hint="eastAsia" w:ascii="宋体" w:hAnsi="宋体" w:cs="宋体"/>
          <w:b/>
          <w:color w:val="auto"/>
          <w:sz w:val="32"/>
          <w:szCs w:val="32"/>
          <w:highlight w:val="none"/>
        </w:rPr>
        <w:t>7.供应商2023年以来任意3个月依法缴纳税收的相关材料复印件（必须提供）</w:t>
      </w:r>
    </w:p>
    <w:p>
      <w:pPr>
        <w:spacing w:line="340" w:lineRule="exact"/>
        <w:rPr>
          <w:rFonts w:ascii="宋体" w:hAnsi="宋体" w:cs="宋体"/>
          <w:b/>
          <w:color w:val="auto"/>
          <w:kern w:val="0"/>
          <w:sz w:val="32"/>
          <w:szCs w:val="32"/>
          <w:highlight w:val="none"/>
        </w:rPr>
      </w:pPr>
    </w:p>
    <w:p>
      <w:pPr>
        <w:spacing w:line="340" w:lineRule="exact"/>
        <w:rPr>
          <w:rFonts w:ascii="宋体" w:hAnsi="宋体" w:cs="宋体"/>
          <w:b/>
          <w:color w:val="auto"/>
          <w:kern w:val="0"/>
          <w:sz w:val="32"/>
          <w:szCs w:val="32"/>
          <w:highlight w:val="none"/>
        </w:rPr>
      </w:pPr>
    </w:p>
    <w:p>
      <w:pPr>
        <w:spacing w:line="340" w:lineRule="exac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8.供应商参加政府采购活动前3年内在经营活动中没有重大违法记录及有关信用信息的书面声明（必须提供）</w:t>
      </w:r>
    </w:p>
    <w:p>
      <w:pPr>
        <w:spacing w:line="400" w:lineRule="exact"/>
        <w:ind w:left="420" w:leftChars="200" w:firstLine="156" w:firstLineChars="49"/>
        <w:rPr>
          <w:rFonts w:ascii="宋体" w:hAnsi="宋体" w:cs="宋体"/>
          <w:b/>
          <w:color w:val="auto"/>
          <w:kern w:val="0"/>
          <w:sz w:val="32"/>
          <w:szCs w:val="32"/>
          <w:highlight w:val="none"/>
        </w:rPr>
      </w:pPr>
    </w:p>
    <w:p>
      <w:pPr>
        <w:spacing w:line="400" w:lineRule="exact"/>
        <w:ind w:left="420" w:leftChars="200" w:firstLine="156" w:firstLineChars="49"/>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w:t>
      </w:r>
    </w:p>
    <w:p>
      <w:pPr>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声   明（格式）</w:t>
      </w:r>
    </w:p>
    <w:p>
      <w:pPr>
        <w:snapToGrid w:val="0"/>
        <w:spacing w:line="400" w:lineRule="exact"/>
        <w:rPr>
          <w:rFonts w:ascii="宋体" w:hAnsi="宋体" w:cs="宋体"/>
          <w:color w:val="auto"/>
          <w:kern w:val="0"/>
          <w:highlight w:val="none"/>
        </w:rPr>
      </w:pPr>
      <w:r>
        <w:rPr>
          <w:rFonts w:hint="eastAsia" w:ascii="宋体" w:hAnsi="宋体" w:cs="宋体"/>
          <w:b/>
          <w:color w:val="auto"/>
          <w:kern w:val="0"/>
          <w:szCs w:val="21"/>
          <w:highlight w:val="none"/>
        </w:rPr>
        <w:t>致</w:t>
      </w:r>
      <w:r>
        <w:rPr>
          <w:rFonts w:hint="eastAsia" w:ascii="宋体" w:hAnsi="宋体" w:cs="宋体"/>
          <w:color w:val="auto"/>
          <w:kern w:val="0"/>
          <w:szCs w:val="21"/>
          <w:highlight w:val="none"/>
        </w:rPr>
        <w:t>：</w:t>
      </w:r>
      <w:r>
        <w:rPr>
          <w:rFonts w:hint="eastAsia" w:ascii="宋体" w:hAnsi="宋体" w:cs="宋体"/>
          <w:color w:val="auto"/>
          <w:kern w:val="0"/>
          <w:highlight w:val="none"/>
          <w:u w:val="single"/>
        </w:rPr>
        <w:t>广西安臻工程管理有限公司</w:t>
      </w:r>
    </w:p>
    <w:p>
      <w:pPr>
        <w:rPr>
          <w:rFonts w:ascii="宋体" w:hAnsi="宋体" w:cs="宋体"/>
          <w:color w:val="auto"/>
          <w:kern w:val="0"/>
          <w:highlight w:val="none"/>
        </w:rPr>
      </w:pP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400" w:lineRule="exact"/>
        <w:ind w:firstLine="420"/>
        <w:rPr>
          <w:rFonts w:ascii="宋体" w:hAnsi="宋体" w:cs="宋体"/>
          <w:color w:val="auto"/>
          <w:kern w:val="0"/>
          <w:szCs w:val="20"/>
          <w:highlight w:val="none"/>
        </w:rPr>
      </w:pP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spacing w:line="400" w:lineRule="exact"/>
        <w:ind w:left="420" w:leftChars="200" w:firstLine="3780" w:firstLineChars="1800"/>
        <w:rPr>
          <w:rFonts w:ascii="宋体" w:hAnsi="宋体" w:cs="宋体"/>
          <w:color w:val="auto"/>
          <w:szCs w:val="21"/>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340" w:lineRule="exac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9.供应商符合</w:t>
      </w:r>
      <w:r>
        <w:rPr>
          <w:rFonts w:hint="eastAsia" w:ascii="宋体" w:hAnsi="宋体" w:cs="宋体"/>
          <w:b/>
          <w:color w:val="auto"/>
          <w:kern w:val="0"/>
          <w:sz w:val="32"/>
          <w:szCs w:val="32"/>
          <w:highlight w:val="none"/>
          <w:lang w:val="en-US" w:eastAsia="zh-CN"/>
        </w:rPr>
        <w:t>小微</w:t>
      </w:r>
      <w:r>
        <w:rPr>
          <w:rFonts w:hint="eastAsia" w:ascii="宋体" w:hAnsi="宋体" w:cs="宋体"/>
          <w:b/>
          <w:color w:val="auto"/>
          <w:kern w:val="0"/>
          <w:sz w:val="32"/>
          <w:szCs w:val="32"/>
          <w:highlight w:val="none"/>
        </w:rPr>
        <w:t>企业规定的相应证明材料复印件（必须提供）；</w:t>
      </w:r>
    </w:p>
    <w:p>
      <w:pPr>
        <w:tabs>
          <w:tab w:val="left" w:pos="1305"/>
        </w:tabs>
        <w:spacing w:line="380" w:lineRule="exact"/>
        <w:ind w:firstLine="422"/>
        <w:rPr>
          <w:rFonts w:ascii="宋体" w:hAnsi="宋体" w:cs="宋体"/>
          <w:color w:val="auto"/>
          <w:kern w:val="0"/>
          <w:szCs w:val="21"/>
          <w:highlight w:val="none"/>
        </w:rPr>
      </w:pPr>
      <w:r>
        <w:rPr>
          <w:rFonts w:hint="eastAsia" w:ascii="宋体" w:hAnsi="宋体" w:cs="宋体"/>
          <w:b/>
          <w:color w:val="auto"/>
          <w:szCs w:val="21"/>
          <w:highlight w:val="none"/>
        </w:rPr>
        <w:t>注：本项目专门面向</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采购，供应商须满足《政府采购促进中小企业发展管理办法》(财库〔2020〕46号)第二条规定；根据财政部、司法部关于政府采购支持监狱企业发展有关问题的通知（财库[2014]68号）及《关于促进残疾人就业政府采购政策的通知》（财库〔2017〕141号）的规定，监狱企业、残疾人福利单位视同小型、微型企业。 供应可根据自身情况，相应提供以下证明材料：①供应商如为符合政策要求的</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企业且承接本项目全部服务的，提供《</w:t>
      </w:r>
      <w:r>
        <w:rPr>
          <w:rFonts w:hint="eastAsia" w:ascii="宋体" w:hAnsi="宋体" w:cs="宋体"/>
          <w:b/>
          <w:color w:val="auto"/>
          <w:szCs w:val="21"/>
          <w:highlight w:val="none"/>
          <w:lang w:val="en-US" w:eastAsia="zh-CN"/>
        </w:rPr>
        <w:t>小微</w:t>
      </w:r>
      <w:r>
        <w:rPr>
          <w:rFonts w:hint="eastAsia" w:ascii="宋体" w:hAnsi="宋体" w:cs="宋体"/>
          <w:b/>
          <w:color w:val="auto"/>
          <w:szCs w:val="21"/>
          <w:highlight w:val="none"/>
        </w:rPr>
        <w:t>企业声明函》（并对声明的真实性负责）。②供应商如属于监狱企业且承接本项目全部服务的，提供由省级以上监狱管理局、戒毒管理局(含新疆生产建设兵团)出具的属于监狱企业的证明文件。③供应商如属于符合条件的残疾人福利性单位且承接本项目全部服务的，提供《残疾人福利性单位声明函》（并对声明的真实性负责）。</w:t>
      </w:r>
    </w:p>
    <w:p>
      <w:pPr>
        <w:pStyle w:val="11"/>
        <w:rPr>
          <w:rFonts w:hAnsi="宋体"/>
          <w:color w:val="auto"/>
          <w:highlight w:val="none"/>
        </w:rPr>
      </w:pPr>
      <w:r>
        <w:rPr>
          <w:rFonts w:hint="eastAsia" w:hAnsi="宋体"/>
          <w:color w:val="auto"/>
          <w:highlight w:val="none"/>
        </w:rPr>
        <w:t xml:space="preserve"> </w:t>
      </w:r>
    </w:p>
    <w:p>
      <w:pPr>
        <w:pStyle w:val="11"/>
        <w:rPr>
          <w:color w:val="auto"/>
          <w:sz w:val="28"/>
          <w:szCs w:val="28"/>
          <w:highlight w:val="none"/>
        </w:rPr>
      </w:pPr>
      <w:r>
        <w:rPr>
          <w:rFonts w:hint="eastAsia" w:hAnsi="宋体"/>
          <w:b/>
          <w:color w:val="auto"/>
          <w:sz w:val="28"/>
          <w:szCs w:val="28"/>
          <w:highlight w:val="none"/>
        </w:rPr>
        <w:t>（1）</w:t>
      </w:r>
      <w:r>
        <w:rPr>
          <w:rFonts w:hint="eastAsia" w:hAnsi="宋体" w:cs="宋体"/>
          <w:b/>
          <w:color w:val="auto"/>
          <w:sz w:val="28"/>
          <w:szCs w:val="28"/>
          <w:highlight w:val="none"/>
        </w:rPr>
        <w:t>供应商</w:t>
      </w:r>
      <w:r>
        <w:rPr>
          <w:rFonts w:hint="eastAsia" w:hAnsi="宋体"/>
          <w:b/>
          <w:color w:val="auto"/>
          <w:sz w:val="28"/>
          <w:szCs w:val="28"/>
          <w:highlight w:val="none"/>
        </w:rPr>
        <w:t>如为符合政策要求的</w:t>
      </w:r>
      <w:r>
        <w:rPr>
          <w:rFonts w:hint="eastAsia" w:hAnsi="宋体"/>
          <w:b/>
          <w:color w:val="auto"/>
          <w:sz w:val="28"/>
          <w:szCs w:val="28"/>
          <w:highlight w:val="none"/>
          <w:lang w:val="en-US" w:eastAsia="zh-CN"/>
        </w:rPr>
        <w:t>小微</w:t>
      </w:r>
      <w:r>
        <w:rPr>
          <w:rFonts w:hint="eastAsia" w:hAnsi="宋体"/>
          <w:b/>
          <w:color w:val="auto"/>
          <w:sz w:val="28"/>
          <w:szCs w:val="28"/>
          <w:highlight w:val="none"/>
        </w:rPr>
        <w:t>企业且承接本项目全部服务的，提供《</w:t>
      </w:r>
      <w:r>
        <w:rPr>
          <w:rFonts w:hint="eastAsia" w:hAnsi="宋体"/>
          <w:b/>
          <w:color w:val="auto"/>
          <w:sz w:val="28"/>
          <w:szCs w:val="28"/>
          <w:highlight w:val="none"/>
          <w:lang w:val="en-US" w:eastAsia="zh-CN"/>
        </w:rPr>
        <w:t>小微</w:t>
      </w:r>
      <w:r>
        <w:rPr>
          <w:rFonts w:hint="eastAsia" w:hAnsi="宋体"/>
          <w:b/>
          <w:color w:val="auto"/>
          <w:sz w:val="28"/>
          <w:szCs w:val="28"/>
          <w:highlight w:val="none"/>
        </w:rPr>
        <w:t>企业声明函》（并对声明的真实性负责）</w:t>
      </w:r>
      <w:r>
        <w:rPr>
          <w:rFonts w:hint="eastAsia" w:hAnsi="宋体"/>
          <w:color w:val="auto"/>
          <w:sz w:val="28"/>
          <w:szCs w:val="28"/>
          <w:highlight w:val="none"/>
        </w:rPr>
        <w:br w:type="textWrapping"/>
      </w:r>
      <w:r>
        <w:rPr>
          <w:rFonts w:hint="eastAsia" w:hAnsi="宋体"/>
          <w:b/>
          <w:color w:val="auto"/>
          <w:sz w:val="32"/>
          <w:szCs w:val="32"/>
          <w:highlight w:val="none"/>
        </w:rPr>
        <w:t>附件：</w:t>
      </w:r>
    </w:p>
    <w:p>
      <w:pPr>
        <w:snapToGrid w:val="0"/>
        <w:spacing w:before="156" w:beforeLines="50" w:after="50" w:line="320" w:lineRule="exact"/>
        <w:ind w:firstLine="562"/>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lang w:val="en-US" w:eastAsia="zh-CN"/>
        </w:rPr>
        <w:t>小微</w:t>
      </w:r>
      <w:r>
        <w:rPr>
          <w:rFonts w:hint="eastAsia" w:ascii="宋体" w:hAnsi="宋体" w:cs="宋体"/>
          <w:b/>
          <w:color w:val="auto"/>
          <w:kern w:val="0"/>
          <w:sz w:val="28"/>
          <w:szCs w:val="28"/>
          <w:highlight w:val="none"/>
        </w:rPr>
        <w:t>企业声明函（格式）</w:t>
      </w:r>
    </w:p>
    <w:p>
      <w:pPr>
        <w:ind w:firstLine="480"/>
        <w:rPr>
          <w:rFonts w:ascii="宋体" w:hAnsi="宋体" w:cs="宋体"/>
          <w:color w:val="auto"/>
          <w:kern w:val="0"/>
          <w:highlight w:val="none"/>
        </w:rPr>
      </w:pPr>
    </w:p>
    <w:p>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本公司郑重声明，根据《政府采购促进中小企业发展管理办法》（财库﹝2020﹞46 号）的规定，本公司参加</w:t>
      </w:r>
      <w:r>
        <w:rPr>
          <w:rFonts w:hint="eastAsia" w:ascii="宋体" w:hAnsi="宋体" w:cs="宋体"/>
          <w:color w:val="auto"/>
          <w:kern w:val="0"/>
          <w:szCs w:val="21"/>
          <w:highlight w:val="none"/>
          <w:u w:val="single"/>
        </w:rPr>
        <w:t>（单位名称）</w:t>
      </w:r>
      <w:r>
        <w:rPr>
          <w:rFonts w:hint="eastAsia" w:ascii="宋体" w:hAnsi="宋体" w:cs="宋体"/>
          <w:color w:val="auto"/>
          <w:kern w:val="0"/>
          <w:szCs w:val="21"/>
          <w:highlight w:val="none"/>
        </w:rPr>
        <w:t>的</w:t>
      </w:r>
      <w:r>
        <w:rPr>
          <w:rFonts w:hint="eastAsia" w:ascii="宋体" w:hAnsi="宋体" w:cs="宋体"/>
          <w:color w:val="auto"/>
          <w:kern w:val="0"/>
          <w:szCs w:val="21"/>
          <w:highlight w:val="none"/>
          <w:u w:val="single"/>
        </w:rPr>
        <w:t>（项目名称）</w:t>
      </w:r>
      <w:r>
        <w:rPr>
          <w:rFonts w:hint="eastAsia" w:ascii="宋体" w:hAnsi="宋体" w:cs="宋体"/>
          <w:color w:val="auto"/>
          <w:kern w:val="0"/>
          <w:szCs w:val="21"/>
          <w:highlight w:val="none"/>
        </w:rPr>
        <w:t>采购活动，服务全部由符合政策要求的</w:t>
      </w:r>
      <w:r>
        <w:rPr>
          <w:rFonts w:hint="eastAsia" w:ascii="宋体" w:hAnsi="宋体" w:cs="宋体"/>
          <w:color w:val="auto"/>
          <w:kern w:val="0"/>
          <w:szCs w:val="21"/>
          <w:highlight w:val="none"/>
          <w:lang w:val="en-US" w:eastAsia="zh-CN"/>
        </w:rPr>
        <w:t>小微</w:t>
      </w:r>
      <w:r>
        <w:rPr>
          <w:rFonts w:hint="eastAsia" w:ascii="宋体" w:hAnsi="宋体" w:cs="宋体"/>
          <w:color w:val="auto"/>
          <w:kern w:val="0"/>
          <w:szCs w:val="21"/>
          <w:highlight w:val="none"/>
        </w:rPr>
        <w:t>企业承接。相关企业的具体情况如下：</w:t>
      </w:r>
    </w:p>
    <w:p>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u w:val="single"/>
        </w:rPr>
        <w:t>（标的名称）</w:t>
      </w:r>
      <w:r>
        <w:rPr>
          <w:rFonts w:hint="eastAsia" w:ascii="宋体" w:hAnsi="宋体" w:cs="宋体"/>
          <w:color w:val="auto"/>
          <w:kern w:val="0"/>
          <w:szCs w:val="21"/>
          <w:highlight w:val="none"/>
        </w:rPr>
        <w:t>，属于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行业；承接企业为</w:t>
      </w:r>
      <w:r>
        <w:rPr>
          <w:rFonts w:hint="eastAsia" w:ascii="宋体" w:hAnsi="宋体" w:cs="宋体"/>
          <w:color w:val="auto"/>
          <w:kern w:val="0"/>
          <w:szCs w:val="21"/>
          <w:highlight w:val="none"/>
          <w:u w:val="single"/>
        </w:rPr>
        <w:t>（企业名称）</w:t>
      </w:r>
      <w:r>
        <w:rPr>
          <w:rFonts w:hint="eastAsia" w:ascii="宋体" w:hAnsi="宋体" w:cs="宋体"/>
          <w:color w:val="auto"/>
          <w:kern w:val="0"/>
          <w:szCs w:val="21"/>
          <w:highlight w:val="none"/>
        </w:rPr>
        <w:t>，从业人员</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人，营业收入为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万元，资产总额为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万元，属于</w:t>
      </w:r>
      <w:r>
        <w:rPr>
          <w:rFonts w:hint="eastAsia" w:ascii="宋体" w:hAnsi="宋体" w:cs="宋体"/>
          <w:color w:val="auto"/>
          <w:kern w:val="0"/>
          <w:szCs w:val="21"/>
          <w:highlight w:val="none"/>
          <w:u w:val="single"/>
        </w:rPr>
        <w:t>（小型企业、微型企业）</w:t>
      </w:r>
      <w:r>
        <w:rPr>
          <w:rFonts w:hint="eastAsia" w:ascii="宋体" w:hAnsi="宋体" w:cs="宋体"/>
          <w:color w:val="auto"/>
          <w:kern w:val="0"/>
          <w:szCs w:val="21"/>
          <w:highlight w:val="none"/>
        </w:rPr>
        <w:t>；</w:t>
      </w:r>
    </w:p>
    <w:p>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以上企业，不属于大企业的分支机构，不存在控股股东为大企业的情形，也不存在与大企业的负责人为同一人的情形。</w:t>
      </w:r>
    </w:p>
    <w:p>
      <w:pPr>
        <w:spacing w:line="46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本企业对上述声明内容的真实性负责。如有虚假，将依法承担相应责任。</w:t>
      </w:r>
    </w:p>
    <w:p>
      <w:pPr>
        <w:tabs>
          <w:tab w:val="left" w:pos="4860"/>
        </w:tabs>
        <w:spacing w:line="588" w:lineRule="exact"/>
        <w:ind w:right="1560"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szCs w:val="21"/>
          <w:highlight w:val="none"/>
        </w:rPr>
        <w:t>电子签章</w:t>
      </w:r>
      <w:r>
        <w:rPr>
          <w:rFonts w:hint="eastAsia" w:ascii="宋体" w:hAnsi="宋体" w:cs="宋体"/>
          <w:color w:val="auto"/>
          <w:kern w:val="0"/>
          <w:szCs w:val="21"/>
          <w:highlight w:val="none"/>
        </w:rPr>
        <w:t xml:space="preserve">： </w:t>
      </w:r>
    </w:p>
    <w:p>
      <w:pPr>
        <w:snapToGrid w:val="0"/>
        <w:spacing w:before="156" w:beforeLines="50" w:after="50"/>
        <w:ind w:firstLine="420"/>
        <w:jc w:val="left"/>
        <w:rPr>
          <w:rFonts w:ascii="宋体" w:hAnsi="宋体" w:cs="宋体"/>
          <w:color w:val="auto"/>
          <w:kern w:val="0"/>
          <w:sz w:val="28"/>
          <w:szCs w:val="28"/>
          <w:highlight w:val="none"/>
        </w:rPr>
      </w:pPr>
      <w:r>
        <w:rPr>
          <w:rFonts w:hint="eastAsia" w:ascii="宋体" w:hAnsi="宋体" w:cs="宋体"/>
          <w:color w:val="auto"/>
          <w:kern w:val="0"/>
          <w:szCs w:val="21"/>
          <w:highlight w:val="none"/>
        </w:rPr>
        <w:t xml:space="preserve">                              日  期：</w:t>
      </w:r>
    </w:p>
    <w:p>
      <w:pPr>
        <w:pStyle w:val="11"/>
        <w:spacing w:line="400" w:lineRule="exact"/>
        <w:rPr>
          <w:rFonts w:hAnsi="宋体"/>
          <w:b/>
          <w:color w:val="auto"/>
          <w:sz w:val="32"/>
          <w:szCs w:val="32"/>
          <w:highlight w:val="none"/>
        </w:rPr>
      </w:pPr>
    </w:p>
    <w:p>
      <w:pPr>
        <w:pStyle w:val="11"/>
        <w:spacing w:line="400" w:lineRule="exact"/>
        <w:rPr>
          <w:rFonts w:hAnsi="宋体"/>
          <w:b/>
          <w:color w:val="auto"/>
          <w:sz w:val="28"/>
          <w:szCs w:val="28"/>
          <w:highlight w:val="none"/>
        </w:rPr>
      </w:pPr>
      <w:r>
        <w:rPr>
          <w:rFonts w:hint="eastAsia" w:hAnsi="宋体"/>
          <w:b/>
          <w:color w:val="auto"/>
          <w:sz w:val="28"/>
          <w:szCs w:val="28"/>
          <w:highlight w:val="none"/>
        </w:rPr>
        <w:t>（2）</w:t>
      </w:r>
      <w:r>
        <w:rPr>
          <w:rFonts w:hint="eastAsia" w:hAnsi="宋体" w:cs="宋体"/>
          <w:b/>
          <w:color w:val="auto"/>
          <w:sz w:val="28"/>
          <w:szCs w:val="28"/>
          <w:highlight w:val="none"/>
        </w:rPr>
        <w:t>供应商</w:t>
      </w:r>
      <w:r>
        <w:rPr>
          <w:rFonts w:hint="eastAsia" w:hAnsi="宋体"/>
          <w:b/>
          <w:color w:val="auto"/>
          <w:sz w:val="28"/>
          <w:szCs w:val="28"/>
          <w:highlight w:val="none"/>
        </w:rPr>
        <w:t>如属于监狱企业且承接本项目全部服务的，提供由省级以上监狱管理局、戒毒管理局(含新疆生产建设兵团)出具的属于监狱企业的证明文件。</w:t>
      </w:r>
    </w:p>
    <w:p>
      <w:pPr>
        <w:pStyle w:val="11"/>
        <w:spacing w:line="400" w:lineRule="exact"/>
        <w:rPr>
          <w:rFonts w:hAnsi="宋体"/>
          <w:b/>
          <w:color w:val="auto"/>
          <w:sz w:val="28"/>
          <w:szCs w:val="28"/>
          <w:highlight w:val="none"/>
        </w:rPr>
      </w:pPr>
      <w:r>
        <w:rPr>
          <w:rFonts w:hint="eastAsia" w:hAnsi="宋体"/>
          <w:b/>
          <w:color w:val="auto"/>
          <w:sz w:val="28"/>
          <w:szCs w:val="28"/>
          <w:highlight w:val="none"/>
        </w:rPr>
        <w:t xml:space="preserve"> （3）</w:t>
      </w:r>
      <w:r>
        <w:rPr>
          <w:rFonts w:hint="eastAsia" w:hAnsi="宋体" w:cs="宋体"/>
          <w:b/>
          <w:color w:val="auto"/>
          <w:sz w:val="28"/>
          <w:szCs w:val="28"/>
          <w:highlight w:val="none"/>
        </w:rPr>
        <w:t>供应商</w:t>
      </w:r>
      <w:r>
        <w:rPr>
          <w:rFonts w:hint="eastAsia" w:hAnsi="宋体"/>
          <w:b/>
          <w:color w:val="auto"/>
          <w:sz w:val="28"/>
          <w:szCs w:val="28"/>
          <w:highlight w:val="none"/>
        </w:rPr>
        <w:t>如属于符合条件的残疾人福利性单位且承接本项目全部服务的，提供《残疾人福利性单位声明函》（并对声明的真实性负责）；</w:t>
      </w:r>
    </w:p>
    <w:p>
      <w:pPr>
        <w:pStyle w:val="11"/>
        <w:ind w:firstLine="411" w:firstLineChars="147"/>
        <w:rPr>
          <w:rFonts w:hAnsi="宋体"/>
          <w:b/>
          <w:color w:val="auto"/>
          <w:sz w:val="28"/>
          <w:szCs w:val="28"/>
          <w:highlight w:val="none"/>
        </w:rPr>
      </w:pPr>
      <w:r>
        <w:rPr>
          <w:rFonts w:hint="eastAsia" w:hAnsi="宋体"/>
          <w:b/>
          <w:color w:val="auto"/>
          <w:sz w:val="28"/>
          <w:szCs w:val="28"/>
          <w:highlight w:val="none"/>
        </w:rPr>
        <w:t>附件：</w:t>
      </w:r>
    </w:p>
    <w:p>
      <w:pPr>
        <w:pStyle w:val="11"/>
        <w:jc w:val="center"/>
        <w:rPr>
          <w:rFonts w:hAnsi="宋体"/>
          <w:b/>
          <w:bCs/>
          <w:color w:val="auto"/>
          <w:sz w:val="28"/>
          <w:szCs w:val="28"/>
          <w:highlight w:val="none"/>
        </w:rPr>
      </w:pPr>
      <w:r>
        <w:rPr>
          <w:rFonts w:hint="eastAsia" w:hAnsi="宋体"/>
          <w:b/>
          <w:bCs/>
          <w:color w:val="auto"/>
          <w:sz w:val="28"/>
          <w:szCs w:val="28"/>
          <w:highlight w:val="none"/>
        </w:rPr>
        <w:t>残疾人福利性单位声明函（格式）</w:t>
      </w:r>
    </w:p>
    <w:p>
      <w:pPr>
        <w:spacing w:line="588" w:lineRule="exact"/>
        <w:ind w:firstLine="626"/>
        <w:rPr>
          <w:rFonts w:ascii="仿宋_GB2312" w:eastAsia="仿宋_GB2312"/>
          <w:b/>
          <w:color w:val="auto"/>
          <w:spacing w:val="6"/>
          <w:sz w:val="30"/>
          <w:szCs w:val="30"/>
          <w:highlight w:val="none"/>
        </w:rPr>
      </w:pPr>
    </w:p>
    <w:p>
      <w:pPr>
        <w:spacing w:line="588" w:lineRule="exact"/>
        <w:ind w:firstLine="444"/>
        <w:rPr>
          <w:rFonts w:ascii="宋体" w:hAnsi="宋体"/>
          <w:color w:val="auto"/>
          <w:spacing w:val="6"/>
          <w:szCs w:val="21"/>
          <w:highlight w:val="none"/>
        </w:rPr>
      </w:pPr>
      <w:r>
        <w:rPr>
          <w:rFonts w:hint="eastAsia" w:ascii="宋体" w:hAnsi="宋体"/>
          <w:color w:val="auto"/>
          <w:spacing w:val="6"/>
          <w:szCs w:val="21"/>
          <w:highlight w:val="none"/>
        </w:rPr>
        <w:t>本单位郑重声明，根据《财政部 民政部 中国残疾人联合会关于促进残疾人就业政府采购政策的通知》（财库</w:t>
      </w:r>
      <w:r>
        <w:rPr>
          <w:rFonts w:hint="eastAsia" w:ascii="宋体" w:hAnsi="宋体"/>
          <w:color w:val="auto"/>
          <w:szCs w:val="21"/>
          <w:highlight w:val="none"/>
        </w:rPr>
        <w:t>〔2017〕 141</w:t>
      </w:r>
      <w:r>
        <w:rPr>
          <w:rFonts w:hint="eastAsia" w:ascii="宋体" w:hAnsi="宋体"/>
          <w:color w:val="auto"/>
          <w:spacing w:val="6"/>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rPr>
          <w:rFonts w:ascii="宋体" w:hAnsi="宋体"/>
          <w:color w:val="auto"/>
          <w:spacing w:val="6"/>
          <w:szCs w:val="21"/>
          <w:highlight w:val="none"/>
        </w:rPr>
      </w:pPr>
      <w:r>
        <w:rPr>
          <w:rFonts w:hint="eastAsia" w:ascii="宋体" w:hAnsi="宋体"/>
          <w:color w:val="auto"/>
          <w:spacing w:val="6"/>
          <w:szCs w:val="21"/>
          <w:highlight w:val="none"/>
        </w:rPr>
        <w:t>本单位对上述声明的真实性负责。如有虚假，将依法承担相应责任。</w:t>
      </w:r>
    </w:p>
    <w:p>
      <w:pPr>
        <w:tabs>
          <w:tab w:val="left" w:pos="4860"/>
        </w:tabs>
        <w:spacing w:line="588" w:lineRule="exact"/>
        <w:ind w:right="1560" w:firstLine="444"/>
        <w:jc w:val="center"/>
        <w:rPr>
          <w:rFonts w:ascii="宋体" w:hAnsi="宋体"/>
          <w:color w:val="auto"/>
          <w:spacing w:val="6"/>
          <w:szCs w:val="21"/>
          <w:highlight w:val="none"/>
        </w:rPr>
      </w:pPr>
      <w:r>
        <w:rPr>
          <w:rFonts w:hint="eastAsia" w:ascii="仿宋_GB2312" w:eastAsia="仿宋_GB2312"/>
          <w:color w:val="auto"/>
          <w:spacing w:val="6"/>
          <w:szCs w:val="21"/>
          <w:highlight w:val="none"/>
        </w:rPr>
        <w:t xml:space="preserve">   </w:t>
      </w:r>
      <w:r>
        <w:rPr>
          <w:rFonts w:hint="eastAsia" w:ascii="宋体" w:hAnsi="宋体"/>
          <w:color w:val="auto"/>
          <w:spacing w:val="6"/>
          <w:szCs w:val="21"/>
          <w:highlight w:val="none"/>
        </w:rPr>
        <w:t xml:space="preserve">   单位电子签章：</w:t>
      </w:r>
    </w:p>
    <w:p>
      <w:pPr>
        <w:tabs>
          <w:tab w:val="left" w:pos="4860"/>
        </w:tabs>
        <w:spacing w:line="588" w:lineRule="exact"/>
        <w:ind w:right="1560" w:firstLine="444"/>
        <w:jc w:val="center"/>
        <w:rPr>
          <w:rFonts w:ascii="宋体" w:hAnsi="宋体"/>
          <w:color w:val="auto"/>
          <w:spacing w:val="6"/>
          <w:szCs w:val="21"/>
          <w:highlight w:val="none"/>
        </w:rPr>
      </w:pPr>
      <w:r>
        <w:rPr>
          <w:rFonts w:hint="eastAsia" w:ascii="宋体" w:hAnsi="宋体"/>
          <w:color w:val="auto"/>
          <w:spacing w:val="6"/>
          <w:szCs w:val="21"/>
          <w:highlight w:val="none"/>
        </w:rPr>
        <w:t xml:space="preserve">   日  期：</w:t>
      </w:r>
    </w:p>
    <w:p>
      <w:pPr>
        <w:spacing w:line="340" w:lineRule="exact"/>
        <w:ind w:firstLine="1890" w:firstLineChars="900"/>
        <w:rPr>
          <w:rFonts w:hAnsi="宋体"/>
          <w:color w:val="auto"/>
          <w:highlight w:val="none"/>
          <w:u w:val="single"/>
        </w:rPr>
      </w:pPr>
    </w:p>
    <w:p>
      <w:pPr>
        <w:spacing w:line="340" w:lineRule="exact"/>
        <w:ind w:firstLine="1890" w:firstLineChars="900"/>
        <w:rPr>
          <w:rFonts w:hAnsi="宋体"/>
          <w:color w:val="auto"/>
          <w:highlight w:val="none"/>
          <w:u w:val="single"/>
        </w:rPr>
      </w:pPr>
    </w:p>
    <w:p>
      <w:pPr>
        <w:spacing w:line="500" w:lineRule="exact"/>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注：</w:t>
      </w:r>
    </w:p>
    <w:p>
      <w:pPr>
        <w:spacing w:line="500" w:lineRule="exact"/>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（1）《</w:t>
      </w:r>
      <w:r>
        <w:rPr>
          <w:rFonts w:hint="eastAsia" w:ascii="宋体" w:hAnsi="宋体" w:cs="宋体"/>
          <w:b/>
          <w:color w:val="auto"/>
          <w:kern w:val="0"/>
          <w:szCs w:val="21"/>
          <w:highlight w:val="none"/>
          <w:lang w:val="en-US" w:eastAsia="zh-CN"/>
        </w:rPr>
        <w:t>小微</w:t>
      </w:r>
      <w:r>
        <w:rPr>
          <w:rFonts w:hint="eastAsia" w:ascii="宋体" w:hAnsi="宋体" w:cs="宋体"/>
          <w:b/>
          <w:color w:val="auto"/>
          <w:kern w:val="0"/>
          <w:szCs w:val="21"/>
          <w:highlight w:val="none"/>
        </w:rPr>
        <w:t>企业声明函》中从业人员、营业收入、资产总额填报上一年度数据，无上一年度数据的新成立企业可不填报。</w:t>
      </w:r>
    </w:p>
    <w:p>
      <w:pPr>
        <w:spacing w:line="500" w:lineRule="exact"/>
        <w:ind w:firstLine="422"/>
        <w:rPr>
          <w:rFonts w:ascii="宋体" w:hAnsi="宋体" w:cs="宋体"/>
          <w:b/>
          <w:color w:val="auto"/>
          <w:kern w:val="0"/>
          <w:szCs w:val="21"/>
          <w:highlight w:val="none"/>
        </w:rPr>
      </w:pPr>
      <w:r>
        <w:rPr>
          <w:rFonts w:hint="eastAsia" w:ascii="宋体" w:hAnsi="宋体" w:cs="宋体"/>
          <w:b/>
          <w:color w:val="auto"/>
          <w:kern w:val="0"/>
          <w:szCs w:val="21"/>
          <w:highlight w:val="none"/>
        </w:rPr>
        <w:t>（2）</w:t>
      </w:r>
      <w:r>
        <w:rPr>
          <w:rFonts w:hint="eastAsia" w:ascii="宋体" w:hAnsi="宋体" w:cs="宋体"/>
          <w:b/>
          <w:color w:val="auto"/>
          <w:kern w:val="0"/>
          <w:szCs w:val="21"/>
          <w:highlight w:val="none"/>
          <w:lang w:val="en-US" w:eastAsia="zh-CN"/>
        </w:rPr>
        <w:t>小微</w:t>
      </w:r>
      <w:r>
        <w:rPr>
          <w:rFonts w:hint="eastAsia" w:ascii="宋体" w:hAnsi="宋体" w:cs="宋体"/>
          <w:b/>
          <w:color w:val="auto"/>
          <w:kern w:val="0"/>
          <w:szCs w:val="21"/>
          <w:highlight w:val="none"/>
        </w:rPr>
        <w:t>企业在政府采购活动过程中，请根据自己的真实情况出具《</w:t>
      </w:r>
      <w:r>
        <w:rPr>
          <w:rFonts w:hint="eastAsia" w:ascii="宋体" w:hAnsi="宋体" w:cs="宋体"/>
          <w:b/>
          <w:color w:val="auto"/>
          <w:kern w:val="0"/>
          <w:szCs w:val="21"/>
          <w:highlight w:val="none"/>
          <w:lang w:val="en-US" w:eastAsia="zh-CN"/>
        </w:rPr>
        <w:t>小微</w:t>
      </w:r>
      <w:r>
        <w:rPr>
          <w:rFonts w:hint="eastAsia" w:ascii="宋体" w:hAnsi="宋体" w:cs="宋体"/>
          <w:b/>
          <w:color w:val="auto"/>
          <w:kern w:val="0"/>
          <w:szCs w:val="21"/>
          <w:highlight w:val="none"/>
        </w:rPr>
        <w:t>企业声明函》或由省级以上监狱管理局、戒毒管理局(含新疆生产建设兵团)出具的属于监狱企业的证明文件或《残疾人福利性单位声明函》。采购人或采购代理机构在公告中标结果时，同时公告以上相应材料，接受社会监督。</w:t>
      </w:r>
    </w:p>
    <w:p>
      <w:pPr>
        <w:spacing w:line="340" w:lineRule="exact"/>
        <w:rPr>
          <w:rFonts w:ascii="宋体" w:hAnsi="宋体" w:cs="宋体"/>
          <w:b/>
          <w:color w:val="auto"/>
          <w:kern w:val="0"/>
          <w:sz w:val="28"/>
          <w:szCs w:val="28"/>
          <w:highlight w:val="none"/>
        </w:rPr>
      </w:pPr>
    </w:p>
    <w:p>
      <w:pPr>
        <w:spacing w:line="340" w:lineRule="exact"/>
        <w:rPr>
          <w:rFonts w:ascii="宋体" w:hAnsi="宋体" w:cs="宋体"/>
          <w:b/>
          <w:color w:val="auto"/>
          <w:kern w:val="0"/>
          <w:sz w:val="28"/>
          <w:szCs w:val="28"/>
          <w:highlight w:val="none"/>
        </w:rPr>
      </w:pPr>
    </w:p>
    <w:p>
      <w:pPr>
        <w:spacing w:line="340" w:lineRule="exact"/>
        <w:rPr>
          <w:rFonts w:ascii="宋体" w:hAnsi="宋体" w:cs="宋体"/>
          <w:b/>
          <w:color w:val="auto"/>
          <w:kern w:val="0"/>
          <w:sz w:val="28"/>
          <w:szCs w:val="28"/>
          <w:highlight w:val="none"/>
        </w:rPr>
      </w:pPr>
    </w:p>
    <w:p>
      <w:pPr>
        <w:spacing w:line="340" w:lineRule="exact"/>
        <w:rPr>
          <w:rFonts w:ascii="宋体" w:hAnsi="宋体" w:cs="宋体"/>
          <w:b/>
          <w:color w:val="auto"/>
          <w:kern w:val="0"/>
          <w:sz w:val="28"/>
          <w:szCs w:val="28"/>
          <w:highlight w:val="none"/>
        </w:rPr>
      </w:pPr>
    </w:p>
    <w:p>
      <w:pPr>
        <w:spacing w:line="340" w:lineRule="exact"/>
        <w:rPr>
          <w:rFonts w:ascii="宋体" w:hAnsi="宋体" w:cs="宋体"/>
          <w:b/>
          <w:color w:val="auto"/>
          <w:kern w:val="0"/>
          <w:sz w:val="28"/>
          <w:szCs w:val="28"/>
          <w:highlight w:val="none"/>
        </w:rPr>
      </w:pPr>
    </w:p>
    <w:p>
      <w:pPr>
        <w:widowControl/>
        <w:jc w:val="left"/>
        <w:rPr>
          <w:rFonts w:ascii="宋体" w:hAnsi="宋体" w:cs="宋体"/>
          <w:b/>
          <w:color w:val="auto"/>
          <w:kern w:val="0"/>
          <w:sz w:val="28"/>
          <w:szCs w:val="28"/>
          <w:highlight w:val="none"/>
        </w:rPr>
      </w:pPr>
      <w:r>
        <w:rPr>
          <w:rFonts w:ascii="宋体" w:hAnsi="宋体" w:cs="宋体"/>
          <w:b/>
          <w:color w:val="auto"/>
          <w:kern w:val="0"/>
          <w:sz w:val="28"/>
          <w:szCs w:val="28"/>
          <w:highlight w:val="none"/>
        </w:rPr>
        <w:br w:type="page"/>
      </w:r>
    </w:p>
    <w:p>
      <w:pPr>
        <w:spacing w:line="340" w:lineRule="exact"/>
        <w:rPr>
          <w:rFonts w:ascii="宋体" w:hAnsi="宋体" w:cs="宋体"/>
          <w:b/>
          <w:color w:val="auto"/>
          <w:kern w:val="0"/>
          <w:sz w:val="28"/>
          <w:szCs w:val="28"/>
          <w:highlight w:val="none"/>
        </w:rPr>
      </w:pPr>
    </w:p>
    <w:p>
      <w:pPr>
        <w:spacing w:line="340" w:lineRule="exac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10.供应商参加本项目无围标串标行为的承诺函（必须提供）</w:t>
      </w:r>
    </w:p>
    <w:p>
      <w:pPr>
        <w:spacing w:line="400" w:lineRule="exact"/>
        <w:rPr>
          <w:rFonts w:ascii="宋体" w:hAnsi="宋体" w:cs="宋体"/>
          <w:b/>
          <w:color w:val="auto"/>
          <w:kern w:val="0"/>
          <w:sz w:val="32"/>
          <w:szCs w:val="32"/>
          <w:highlight w:val="none"/>
        </w:rPr>
      </w:pPr>
    </w:p>
    <w:p>
      <w:pPr>
        <w:spacing w:line="400" w:lineRule="exact"/>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附件：</w:t>
      </w:r>
    </w:p>
    <w:p>
      <w:pPr>
        <w:spacing w:line="400" w:lineRule="exact"/>
        <w:jc w:val="center"/>
        <w:rPr>
          <w:rFonts w:ascii="宋体" w:hAnsi="宋体" w:cs="宋体"/>
          <w:b/>
          <w:color w:val="auto"/>
          <w:kern w:val="0"/>
          <w:sz w:val="28"/>
          <w:szCs w:val="28"/>
          <w:highlight w:val="none"/>
        </w:rPr>
      </w:pPr>
    </w:p>
    <w:p>
      <w:pPr>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供应商参加本项目无围标串标行为的承诺函（格式）</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一、我（公司）承诺无下列相互串通的情形：</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1.不同供应商的响应文件由同一单位或者个人编制；</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2.不同供应商委托同一单位或者个人办理磋商事宜；</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3.不同的供应商的响应文件载明的项目管理员为同一个人；</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4.不同供应商的响应文件异常一致或磋商报价呈规律性差异；</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5.不同供应商的响应文件相互混装；</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二、我（公司）承诺无下列恶意串通的情形：</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1.供应商直接或者间接从采购人或者采购代理机构处获得其他供应商的相关信息并修改其响应文件或者响应文件；</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2.供应商按照采购人或者采购代理机构的授意撤换、修改响应文件或者响应文件；</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3.供应商之间协商报价、技术方案等响应文件或者响应文件的实质性内容；</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4.属于同一集团、协会、商会等组织成员的供应商按照该组织要求协同参加政府采购活动；</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5.供应商之间事先约定一致抬高或者压低磋商报价,或者在采购项目中事先约定轮流以高价位或者低价位成交，或者事先约定由某一特定供应商成交，然后再参加采购；</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6.供应商之间商定部分供应商放弃参加政府采购活动或者放弃成交；</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7.供应商与采购人或者采购代理机构之间、供应商相互之间，为谋求特定供应商成交或者排斥其他供应商的其他串通行为。</w:t>
      </w:r>
    </w:p>
    <w:p>
      <w:pPr>
        <w:spacing w:line="400" w:lineRule="exact"/>
        <w:ind w:firstLine="420"/>
        <w:rPr>
          <w:rFonts w:ascii="宋体" w:hAnsi="宋体" w:cs="宋体"/>
          <w:color w:val="auto"/>
          <w:kern w:val="0"/>
          <w:szCs w:val="20"/>
          <w:highlight w:val="none"/>
        </w:rPr>
      </w:pPr>
      <w:r>
        <w:rPr>
          <w:rFonts w:hint="eastAsia" w:ascii="宋体" w:hAnsi="宋体" w:cs="宋体"/>
          <w:color w:val="auto"/>
          <w:kern w:val="0"/>
          <w:szCs w:val="20"/>
          <w:highlight w:val="none"/>
        </w:rPr>
        <w:t>以上情形一经核查属实，我方愿意承担一切后果，并不再寻求任何旨在减轻或免除法律责任的辩解。</w:t>
      </w:r>
    </w:p>
    <w:p>
      <w:pPr>
        <w:rPr>
          <w:rFonts w:ascii="宋体" w:hAnsi="宋体" w:cs="宋体"/>
          <w:color w:val="auto"/>
          <w:highlight w:val="none"/>
        </w:rPr>
      </w:pPr>
    </w:p>
    <w:p>
      <w:pPr>
        <w:rPr>
          <w:rFonts w:ascii="宋体" w:hAnsi="宋体" w:cs="宋体"/>
          <w:color w:val="auto"/>
          <w:highlight w:val="none"/>
        </w:rPr>
      </w:pP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spacing w:line="340" w:lineRule="exact"/>
        <w:rPr>
          <w:rFonts w:ascii="宋体" w:hAnsi="宋体" w:cs="宋体"/>
          <w:b/>
          <w:color w:val="auto"/>
          <w:szCs w:val="21"/>
          <w:highlight w:val="none"/>
        </w:rPr>
      </w:pPr>
    </w:p>
    <w:p>
      <w:pPr>
        <w:spacing w:line="340" w:lineRule="exact"/>
        <w:rPr>
          <w:rFonts w:ascii="宋体" w:hAnsi="宋体" w:cs="宋体"/>
          <w:b/>
          <w:color w:val="auto"/>
          <w:szCs w:val="21"/>
          <w:highlight w:val="none"/>
        </w:rPr>
      </w:pPr>
    </w:p>
    <w:p>
      <w:pPr>
        <w:spacing w:line="340" w:lineRule="exact"/>
        <w:rPr>
          <w:rFonts w:ascii="宋体" w:hAnsi="宋体" w:cs="宋体"/>
          <w:b/>
          <w:color w:val="auto"/>
          <w:szCs w:val="21"/>
          <w:highlight w:val="none"/>
        </w:rPr>
      </w:pPr>
    </w:p>
    <w:p>
      <w:pPr>
        <w:spacing w:line="400" w:lineRule="exact"/>
        <w:rPr>
          <w:rFonts w:ascii="宋体" w:hAnsi="宋体" w:cs="宋体"/>
          <w:color w:val="auto"/>
          <w:kern w:val="0"/>
          <w:szCs w:val="21"/>
          <w:highlight w:val="none"/>
        </w:rPr>
      </w:pPr>
    </w:p>
    <w:p>
      <w:pPr>
        <w:spacing w:line="400" w:lineRule="exact"/>
        <w:rPr>
          <w:rFonts w:ascii="宋体" w:hAnsi="宋体" w:cs="宋体"/>
          <w:color w:val="auto"/>
          <w:kern w:val="0"/>
          <w:szCs w:val="21"/>
          <w:highlight w:val="none"/>
        </w:rPr>
      </w:pPr>
    </w:p>
    <w:p>
      <w:pPr>
        <w:widowControl/>
        <w:jc w:val="left"/>
        <w:rPr>
          <w:color w:val="auto"/>
          <w:highlight w:val="none"/>
        </w:rPr>
      </w:pPr>
      <w:r>
        <w:rPr>
          <w:color w:val="auto"/>
          <w:highlight w:val="none"/>
        </w:rPr>
        <w:br w:type="page"/>
      </w:r>
    </w:p>
    <w:p>
      <w:pPr>
        <w:rPr>
          <w:color w:val="auto"/>
          <w:highlight w:val="none"/>
        </w:rPr>
      </w:pPr>
    </w:p>
    <w:p>
      <w:pPr>
        <w:rPr>
          <w:rFonts w:ascii="宋体" w:hAnsi="宋体"/>
          <w:b/>
          <w:color w:val="auto"/>
          <w:kern w:val="0"/>
          <w:sz w:val="32"/>
          <w:szCs w:val="32"/>
          <w:highlight w:val="none"/>
        </w:rPr>
      </w:pPr>
      <w:r>
        <w:rPr>
          <w:rFonts w:hint="eastAsia" w:ascii="宋体" w:hAnsi="宋体"/>
          <w:b/>
          <w:color w:val="auto"/>
          <w:kern w:val="0"/>
          <w:sz w:val="32"/>
          <w:szCs w:val="32"/>
          <w:highlight w:val="none"/>
        </w:rPr>
        <w:t>（二）符合性响应证明材料目录</w:t>
      </w:r>
    </w:p>
    <w:p>
      <w:pPr>
        <w:tabs>
          <w:tab w:val="left" w:pos="1305"/>
        </w:tabs>
        <w:spacing w:line="440" w:lineRule="exact"/>
        <w:ind w:firstLine="420"/>
        <w:rPr>
          <w:rFonts w:ascii="宋体" w:hAnsi="宋体"/>
          <w:color w:val="auto"/>
          <w:kern w:val="0"/>
          <w:szCs w:val="21"/>
          <w:highlight w:val="none"/>
        </w:rPr>
      </w:pPr>
    </w:p>
    <w:p>
      <w:pPr>
        <w:tabs>
          <w:tab w:val="left" w:pos="1305"/>
        </w:tabs>
        <w:spacing w:line="520" w:lineRule="exact"/>
        <w:ind w:firstLine="840" w:firstLineChars="300"/>
        <w:rPr>
          <w:rFonts w:ascii="宋体" w:hAnsi="宋体" w:cs="宋体"/>
          <w:b/>
          <w:color w:val="auto"/>
          <w:kern w:val="0"/>
          <w:sz w:val="28"/>
          <w:szCs w:val="28"/>
          <w:highlight w:val="none"/>
        </w:rPr>
      </w:pPr>
      <w:r>
        <w:rPr>
          <w:rFonts w:hint="eastAsia" w:ascii="宋体" w:hAnsi="宋体" w:cs="宋体"/>
          <w:color w:val="auto"/>
          <w:kern w:val="0"/>
          <w:sz w:val="28"/>
          <w:szCs w:val="28"/>
          <w:highlight w:val="none"/>
        </w:rPr>
        <w:t>1.磋商报价表</w:t>
      </w:r>
      <w:r>
        <w:rPr>
          <w:rFonts w:hint="eastAsia" w:ascii="宋体" w:hAnsi="宋体" w:cs="宋体"/>
          <w:b/>
          <w:color w:val="auto"/>
          <w:kern w:val="0"/>
          <w:sz w:val="28"/>
          <w:szCs w:val="28"/>
          <w:highlight w:val="none"/>
        </w:rPr>
        <w:t>（必须提供）</w:t>
      </w:r>
    </w:p>
    <w:p>
      <w:pPr>
        <w:tabs>
          <w:tab w:val="left" w:pos="1305"/>
        </w:tabs>
        <w:spacing w:line="520" w:lineRule="exact"/>
        <w:ind w:firstLine="840" w:firstLineChars="300"/>
        <w:rPr>
          <w:rFonts w:ascii="宋体" w:hAnsi="宋体" w:cs="宋体"/>
          <w:color w:val="auto"/>
          <w:kern w:val="0"/>
          <w:sz w:val="28"/>
          <w:szCs w:val="28"/>
          <w:highlight w:val="none"/>
        </w:rPr>
      </w:pPr>
      <w:r>
        <w:rPr>
          <w:rFonts w:hint="eastAsia" w:ascii="宋体" w:hAnsi="宋体" w:cs="宋体"/>
          <w:color w:val="auto"/>
          <w:kern w:val="0"/>
          <w:sz w:val="28"/>
          <w:szCs w:val="28"/>
          <w:highlight w:val="none"/>
        </w:rPr>
        <w:t>2.服务内容及要求响应表</w:t>
      </w:r>
      <w:r>
        <w:rPr>
          <w:rFonts w:hint="eastAsia" w:ascii="宋体" w:hAnsi="宋体" w:cs="宋体"/>
          <w:b/>
          <w:color w:val="auto"/>
          <w:kern w:val="0"/>
          <w:sz w:val="28"/>
          <w:szCs w:val="28"/>
          <w:highlight w:val="none"/>
        </w:rPr>
        <w:t>（必须提供）</w:t>
      </w:r>
    </w:p>
    <w:p>
      <w:pPr>
        <w:tabs>
          <w:tab w:val="left" w:pos="1305"/>
        </w:tabs>
        <w:spacing w:line="520" w:lineRule="exact"/>
        <w:ind w:firstLine="840" w:firstLineChars="300"/>
        <w:rPr>
          <w:rFonts w:ascii="宋体" w:hAnsi="宋体" w:cs="宋体"/>
          <w:color w:val="auto"/>
          <w:kern w:val="0"/>
          <w:sz w:val="28"/>
          <w:szCs w:val="28"/>
          <w:highlight w:val="none"/>
        </w:rPr>
      </w:pPr>
      <w:r>
        <w:rPr>
          <w:rFonts w:hint="eastAsia" w:ascii="宋体" w:hAnsi="宋体" w:cs="宋体"/>
          <w:color w:val="auto"/>
          <w:kern w:val="0"/>
          <w:sz w:val="28"/>
          <w:szCs w:val="28"/>
          <w:highlight w:val="none"/>
        </w:rPr>
        <w:t>3.商务响应表</w:t>
      </w:r>
      <w:r>
        <w:rPr>
          <w:rFonts w:hint="eastAsia" w:ascii="宋体" w:hAnsi="宋体" w:cs="宋体"/>
          <w:b/>
          <w:color w:val="auto"/>
          <w:kern w:val="0"/>
          <w:sz w:val="28"/>
          <w:szCs w:val="28"/>
          <w:highlight w:val="none"/>
        </w:rPr>
        <w:t>（必须提供）</w:t>
      </w: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spacing w:line="320" w:lineRule="exact"/>
        <w:rPr>
          <w:rFonts w:ascii="宋体" w:hAnsi="宋体"/>
          <w:b/>
          <w:color w:val="auto"/>
          <w:kern w:val="0"/>
          <w:sz w:val="28"/>
          <w:szCs w:val="28"/>
          <w:highlight w:val="none"/>
        </w:rPr>
      </w:pPr>
    </w:p>
    <w:p>
      <w:pPr>
        <w:widowControl/>
        <w:jc w:val="left"/>
        <w:rPr>
          <w:rFonts w:ascii="宋体" w:hAnsi="宋体"/>
          <w:b/>
          <w:color w:val="auto"/>
          <w:kern w:val="0"/>
          <w:sz w:val="28"/>
          <w:szCs w:val="28"/>
          <w:highlight w:val="none"/>
        </w:rPr>
      </w:pPr>
      <w:r>
        <w:rPr>
          <w:rFonts w:ascii="宋体" w:hAnsi="宋体"/>
          <w:b/>
          <w:color w:val="auto"/>
          <w:kern w:val="0"/>
          <w:sz w:val="28"/>
          <w:szCs w:val="28"/>
          <w:highlight w:val="none"/>
        </w:rPr>
        <w:br w:type="page"/>
      </w:r>
    </w:p>
    <w:p>
      <w:pPr>
        <w:spacing w:line="320" w:lineRule="exact"/>
        <w:rPr>
          <w:rFonts w:ascii="宋体" w:hAnsi="宋体"/>
          <w:b/>
          <w:color w:val="auto"/>
          <w:kern w:val="0"/>
          <w:sz w:val="28"/>
          <w:szCs w:val="28"/>
          <w:highlight w:val="none"/>
        </w:rPr>
      </w:pPr>
    </w:p>
    <w:p>
      <w:pPr>
        <w:spacing w:line="360" w:lineRule="exac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1.磋商报价表（必须提供）</w:t>
      </w:r>
    </w:p>
    <w:p>
      <w:pPr>
        <w:spacing w:line="360" w:lineRule="exact"/>
        <w:jc w:val="lef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附件：                                     </w:t>
      </w:r>
    </w:p>
    <w:p>
      <w:pPr>
        <w:spacing w:line="500" w:lineRule="exact"/>
        <w:ind w:left="420"/>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磋商报价表（格式）</w:t>
      </w:r>
    </w:p>
    <w:tbl>
      <w:tblPr>
        <w:tblStyle w:val="21"/>
        <w:tblW w:w="9073"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09"/>
        <w:gridCol w:w="709"/>
        <w:gridCol w:w="57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95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采购标的名称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auto"/>
                <w:kern w:val="0"/>
                <w:highlight w:val="none"/>
              </w:rPr>
            </w:pPr>
            <w:r>
              <w:rPr>
                <w:rFonts w:hint="eastAsia" w:ascii="宋体" w:hAnsi="宋体" w:cs="宋体"/>
                <w:color w:val="auto"/>
                <w:kern w:val="0"/>
                <w:highlight w:val="none"/>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auto"/>
                <w:kern w:val="0"/>
                <w:highlight w:val="none"/>
              </w:rPr>
            </w:pPr>
            <w:r>
              <w:rPr>
                <w:rFonts w:hint="eastAsia" w:ascii="宋体" w:hAnsi="宋体" w:cs="宋体"/>
                <w:color w:val="auto"/>
                <w:kern w:val="0"/>
                <w:highlight w:val="none"/>
              </w:rPr>
              <w:t>单位</w:t>
            </w:r>
          </w:p>
        </w:tc>
        <w:tc>
          <w:tcPr>
            <w:tcW w:w="5704"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cs="宋体"/>
                <w:color w:val="auto"/>
                <w:kern w:val="0"/>
                <w:highlight w:val="none"/>
              </w:rPr>
            </w:pPr>
            <w:r>
              <w:rPr>
                <w:rFonts w:hint="eastAsia" w:ascii="宋体" w:hAnsi="宋体" w:cs="宋体"/>
                <w:color w:val="auto"/>
                <w:kern w:val="0"/>
                <w:highlight w:val="none"/>
              </w:rPr>
              <w:t>各类物资磋商综合折扣率（%）报价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1951" w:type="dxa"/>
            <w:tcBorders>
              <w:top w:val="single" w:color="auto" w:sz="4" w:space="0"/>
              <w:left w:val="single" w:color="auto" w:sz="4" w:space="0"/>
              <w:right w:val="single" w:color="auto" w:sz="4" w:space="0"/>
            </w:tcBorders>
            <w:vAlign w:val="center"/>
          </w:tcPr>
          <w:p>
            <w:pPr>
              <w:spacing w:line="300" w:lineRule="exact"/>
              <w:jc w:val="center"/>
              <w:rPr>
                <w:rFonts w:ascii="宋体" w:hAnsi="宋体" w:cs="宋体"/>
                <w:color w:val="auto"/>
                <w:kern w:val="0"/>
                <w:szCs w:val="21"/>
                <w:highlight w:val="none"/>
              </w:rPr>
            </w:pPr>
            <w:r>
              <w:rPr>
                <w:rFonts w:hint="eastAsia" w:ascii="宋体" w:hAnsi="宋体" w:cs="宋体"/>
                <w:color w:val="auto"/>
                <w:highlight w:val="none"/>
              </w:rPr>
              <w:t>桂林市公安局秀峰分局食堂食材定点采购项目</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09"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cs="宋体"/>
                <w:color w:val="auto"/>
                <w:szCs w:val="21"/>
                <w:highlight w:val="none"/>
              </w:rPr>
            </w:pPr>
            <w:r>
              <w:rPr>
                <w:rFonts w:hint="eastAsia" w:ascii="宋体" w:hAnsi="宋体" w:cs="宋体"/>
                <w:color w:val="auto"/>
                <w:szCs w:val="21"/>
                <w:highlight w:val="none"/>
              </w:rPr>
              <w:t>项</w:t>
            </w:r>
          </w:p>
        </w:tc>
        <w:tc>
          <w:tcPr>
            <w:tcW w:w="5704" w:type="dxa"/>
            <w:tcBorders>
              <w:top w:val="nil"/>
              <w:left w:val="nil"/>
              <w:bottom w:val="single" w:color="auto" w:sz="4" w:space="0"/>
              <w:right w:val="single" w:color="auto" w:sz="4" w:space="0"/>
            </w:tcBorders>
            <w:vAlign w:val="center"/>
          </w:tcPr>
          <w:p>
            <w:pPr>
              <w:spacing w:line="330" w:lineRule="exact"/>
              <w:rPr>
                <w:rFonts w:ascii="宋体" w:hAnsi="宋体"/>
                <w:color w:val="auto"/>
                <w:szCs w:val="21"/>
                <w:highlight w:val="none"/>
              </w:rPr>
            </w:pPr>
            <w:r>
              <w:rPr>
                <w:rFonts w:hint="eastAsia" w:hAnsi="宋体" w:cs="宋体"/>
                <w:color w:val="auto"/>
                <w:highlight w:val="none"/>
              </w:rPr>
              <w:t>①</w:t>
            </w:r>
            <w:r>
              <w:rPr>
                <w:rFonts w:hint="eastAsia" w:ascii="宋体" w:hAnsi="宋体" w:cs="宋体"/>
                <w:color w:val="auto"/>
                <w:szCs w:val="21"/>
                <w:highlight w:val="none"/>
              </w:rPr>
              <w:t>肉、鸡鸭类、冻货、禽蛋类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olor w:val="auto"/>
                <w:szCs w:val="21"/>
                <w:highlight w:val="none"/>
              </w:rPr>
              <w:t>%；</w:t>
            </w:r>
          </w:p>
          <w:p>
            <w:pPr>
              <w:spacing w:line="330" w:lineRule="exact"/>
              <w:rPr>
                <w:rFonts w:ascii="宋体" w:hAnsi="宋体" w:cs="宋体"/>
                <w:color w:val="auto"/>
                <w:highlight w:val="none"/>
              </w:rPr>
            </w:pPr>
            <w:r>
              <w:rPr>
                <w:rFonts w:hint="eastAsia" w:ascii="宋体" w:hAnsi="宋体"/>
                <w:color w:val="auto"/>
                <w:szCs w:val="21"/>
                <w:highlight w:val="none"/>
              </w:rPr>
              <w:t>②</w:t>
            </w:r>
            <w:r>
              <w:rPr>
                <w:rFonts w:hint="eastAsia" w:ascii="宋体" w:hAnsi="宋体" w:cs="宋体"/>
                <w:color w:val="auto"/>
                <w:szCs w:val="21"/>
                <w:highlight w:val="none"/>
              </w:rPr>
              <w:t>蔬菜类</w:t>
            </w:r>
            <w:r>
              <w:rPr>
                <w:rFonts w:hint="eastAsia"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p>
            <w:pPr>
              <w:spacing w:line="330" w:lineRule="exact"/>
              <w:rPr>
                <w:rFonts w:ascii="宋体" w:hAnsi="宋体" w:cs="宋体"/>
                <w:color w:val="auto"/>
                <w:kern w:val="0"/>
                <w:highlight w:val="none"/>
              </w:rPr>
            </w:pPr>
            <w:r>
              <w:rPr>
                <w:rFonts w:hint="eastAsia" w:ascii="宋体" w:hAnsi="宋体" w:cs="宋体"/>
                <w:color w:val="auto"/>
                <w:highlight w:val="none"/>
              </w:rPr>
              <w:t>③</w:t>
            </w:r>
            <w:r>
              <w:rPr>
                <w:rFonts w:hint="eastAsia" w:ascii="宋体" w:hAnsi="宋体" w:cs="宋体"/>
                <w:color w:val="auto"/>
                <w:szCs w:val="21"/>
                <w:highlight w:val="none"/>
              </w:rPr>
              <w:t>调味品干杂香料、食用油类、副食品类</w:t>
            </w:r>
            <w:r>
              <w:rPr>
                <w:rFonts w:hint="eastAsia" w:ascii="宋体" w:hAnsi="宋体" w:cs="宋体"/>
                <w:color w:val="auto"/>
                <w:highlight w:val="none"/>
              </w:rPr>
              <w:t>综合折扣率：</w:t>
            </w:r>
            <w:r>
              <w:rPr>
                <w:rFonts w:hAnsi="宋体" w:cs="宋体"/>
                <w:color w:val="auto"/>
                <w:highlight w:val="none"/>
                <w:u w:val="single"/>
              </w:rPr>
              <w:t xml:space="preserve">    </w:t>
            </w:r>
            <w:r>
              <w:rPr>
                <w:rFonts w:hint="eastAsia" w:ascii="宋体" w:hAnsi="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0" w:hRule="atLeast"/>
        </w:trPr>
        <w:tc>
          <w:tcPr>
            <w:tcW w:w="9073"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auto"/>
                <w:szCs w:val="21"/>
                <w:highlight w:val="none"/>
              </w:rPr>
            </w:pPr>
            <w:r>
              <w:rPr>
                <w:rFonts w:hint="eastAsia" w:ascii="宋体" w:hAnsi="宋体" w:cs="宋体"/>
                <w:color w:val="auto"/>
                <w:szCs w:val="21"/>
                <w:highlight w:val="none"/>
              </w:rPr>
              <w:t>说明：</w:t>
            </w:r>
          </w:p>
          <w:p>
            <w:pPr>
              <w:spacing w:line="300" w:lineRule="exact"/>
              <w:rPr>
                <w:rFonts w:ascii="宋体" w:hAnsi="宋体"/>
                <w:color w:val="auto"/>
                <w:szCs w:val="21"/>
                <w:highlight w:val="none"/>
              </w:rPr>
            </w:pPr>
            <w:r>
              <w:rPr>
                <w:rFonts w:hint="eastAsia" w:ascii="宋体" w:hAnsi="宋体" w:cs="Calibri"/>
                <w:color w:val="auto"/>
                <w:szCs w:val="21"/>
                <w:highlight w:val="none"/>
              </w:rPr>
              <w:t>1.</w:t>
            </w:r>
            <w:r>
              <w:rPr>
                <w:rFonts w:hint="eastAsia" w:ascii="宋体" w:hAnsi="宋体"/>
                <w:color w:val="auto"/>
                <w:szCs w:val="21"/>
                <w:highlight w:val="none"/>
              </w:rPr>
              <w:t>供应商必须就“采购需求”中要求配送的各类物资作完整唯一综合折扣率（%）报价。在服务期限内，成交供应商的成交综合折扣率（%）不得以市场价格波动等情况进行调整，成交供应商应承担由此带来的相应风险。</w:t>
            </w:r>
          </w:p>
          <w:p>
            <w:pPr>
              <w:tabs>
                <w:tab w:val="left" w:pos="1305"/>
              </w:tabs>
              <w:spacing w:line="300" w:lineRule="exact"/>
              <w:rPr>
                <w:rFonts w:ascii="宋体" w:hAnsi="宋体" w:cs="宋体"/>
                <w:color w:val="auto"/>
                <w:kern w:val="0"/>
                <w:szCs w:val="21"/>
                <w:highlight w:val="none"/>
              </w:rPr>
            </w:pPr>
            <w:r>
              <w:rPr>
                <w:rFonts w:hint="eastAsia" w:ascii="宋体" w:hAnsi="宋体" w:cs="宋体"/>
                <w:color w:val="auto"/>
                <w:highlight w:val="none"/>
              </w:rPr>
              <w:t>2.</w:t>
            </w:r>
            <w:r>
              <w:rPr>
                <w:rFonts w:hint="eastAsia" w:ascii="宋体" w:hAnsi="宋体" w:cs="宋体"/>
                <w:color w:val="auto"/>
                <w:kern w:val="0"/>
                <w:szCs w:val="21"/>
                <w:highlight w:val="none"/>
              </w:rPr>
              <w:t>各类物资综合折扣率（%）控制价如下：</w:t>
            </w:r>
          </w:p>
          <w:p>
            <w:pPr>
              <w:spacing w:line="300" w:lineRule="exact"/>
              <w:ind w:firstLine="420"/>
              <w:rPr>
                <w:rFonts w:hAnsi="宋体" w:cs="宋体"/>
                <w:color w:val="auto"/>
                <w:highlight w:val="none"/>
              </w:rPr>
            </w:pPr>
            <w:r>
              <w:rPr>
                <w:rFonts w:hint="eastAsia" w:hAnsi="宋体" w:cs="宋体"/>
                <w:color w:val="auto"/>
                <w:highlight w:val="none"/>
              </w:rPr>
              <w:t>①肉、鸡鸭类、冻货、禽蛋类综合折扣率控制价：90%</w:t>
            </w:r>
          </w:p>
          <w:p>
            <w:pPr>
              <w:spacing w:line="300" w:lineRule="exact"/>
              <w:ind w:firstLine="420"/>
              <w:rPr>
                <w:rFonts w:hAnsi="宋体" w:cs="宋体"/>
                <w:color w:val="auto"/>
                <w:highlight w:val="none"/>
              </w:rPr>
            </w:pPr>
            <w:r>
              <w:rPr>
                <w:rFonts w:hint="eastAsia" w:hAnsi="宋体" w:cs="宋体"/>
                <w:color w:val="auto"/>
                <w:highlight w:val="none"/>
              </w:rPr>
              <w:t>②蔬菜类综合折扣率控制价：88%</w:t>
            </w:r>
          </w:p>
          <w:p>
            <w:pPr>
              <w:tabs>
                <w:tab w:val="left" w:pos="1305"/>
              </w:tabs>
              <w:spacing w:line="300" w:lineRule="exact"/>
              <w:ind w:firstLine="420"/>
              <w:rPr>
                <w:rFonts w:hAnsi="宋体" w:cs="宋体"/>
                <w:color w:val="auto"/>
                <w:highlight w:val="none"/>
              </w:rPr>
            </w:pPr>
            <w:r>
              <w:rPr>
                <w:rFonts w:hint="eastAsia" w:hAnsi="宋体" w:cs="宋体"/>
                <w:color w:val="auto"/>
                <w:highlight w:val="none"/>
              </w:rPr>
              <w:t>③调味品干杂香料、食用油类、</w:t>
            </w:r>
            <w:r>
              <w:rPr>
                <w:rFonts w:hint="eastAsia" w:ascii="宋体" w:hAnsi="宋体" w:cs="宋体"/>
                <w:color w:val="auto"/>
                <w:szCs w:val="21"/>
                <w:highlight w:val="none"/>
              </w:rPr>
              <w:t>副食品类</w:t>
            </w:r>
            <w:r>
              <w:rPr>
                <w:rFonts w:hint="eastAsia" w:hAnsi="宋体" w:cs="宋体"/>
                <w:color w:val="auto"/>
                <w:highlight w:val="none"/>
              </w:rPr>
              <w:t>综合折扣率控制价：88%；</w:t>
            </w:r>
          </w:p>
          <w:p>
            <w:pPr>
              <w:tabs>
                <w:tab w:val="left" w:pos="1305"/>
              </w:tabs>
              <w:spacing w:line="300" w:lineRule="exact"/>
              <w:ind w:firstLine="420"/>
              <w:rPr>
                <w:rFonts w:ascii="宋体" w:hAnsi="宋体" w:cs="宋体"/>
                <w:color w:val="auto"/>
                <w:kern w:val="0"/>
                <w:szCs w:val="21"/>
                <w:highlight w:val="none"/>
              </w:rPr>
            </w:pPr>
            <w:r>
              <w:rPr>
                <w:rFonts w:hint="eastAsia" w:hAnsi="宋体" w:cs="宋体"/>
                <w:color w:val="auto"/>
                <w:highlight w:val="none"/>
              </w:rPr>
              <w:t>供应商的各类物资磋商综合折扣率（</w:t>
            </w:r>
            <w:r>
              <w:rPr>
                <w:rFonts w:hAnsi="宋体" w:cs="宋体"/>
                <w:color w:val="auto"/>
                <w:highlight w:val="none"/>
              </w:rPr>
              <w:t>%</w:t>
            </w:r>
            <w:r>
              <w:rPr>
                <w:rFonts w:hint="eastAsia" w:hAnsi="宋体" w:cs="宋体"/>
                <w:color w:val="auto"/>
                <w:highlight w:val="none"/>
              </w:rPr>
              <w:t>）报价不得高于上述相应各类物资综合折扣率（</w:t>
            </w:r>
            <w:r>
              <w:rPr>
                <w:rFonts w:hAnsi="宋体" w:cs="宋体"/>
                <w:color w:val="auto"/>
                <w:highlight w:val="none"/>
              </w:rPr>
              <w:t>%</w:t>
            </w:r>
            <w:r>
              <w:rPr>
                <w:rFonts w:hint="eastAsia" w:hAnsi="宋体" w:cs="宋体"/>
                <w:color w:val="auto"/>
                <w:highlight w:val="none"/>
              </w:rPr>
              <w:t>）控制价，</w:t>
            </w:r>
            <w:r>
              <w:rPr>
                <w:rFonts w:hint="eastAsia" w:ascii="宋体" w:hAnsi="宋体"/>
                <w:color w:val="auto"/>
                <w:szCs w:val="21"/>
                <w:highlight w:val="none"/>
              </w:rPr>
              <w:t>否则响应文件按无效处理。</w:t>
            </w:r>
          </w:p>
          <w:p>
            <w:pPr>
              <w:spacing w:line="300" w:lineRule="exact"/>
              <w:rPr>
                <w:rFonts w:ascii="宋体" w:hAnsi="宋体"/>
                <w:color w:val="auto"/>
                <w:szCs w:val="21"/>
                <w:highlight w:val="none"/>
              </w:rPr>
            </w:pPr>
            <w:r>
              <w:rPr>
                <w:rFonts w:hint="eastAsia" w:ascii="宋体" w:hAnsi="宋体"/>
                <w:color w:val="auto"/>
                <w:szCs w:val="21"/>
                <w:highlight w:val="none"/>
              </w:rPr>
              <w:t>3.综合折扣率（%）报价应包含采购范围内的物资定点供应价款、所承诺的配送相关服务（含提供的物资、包装、运输、装卸、送货到位、检验等）、服务质量保障、保险、税金、利润、所承诺的优惠措施及所发生的各种服务的费用及其他所有费用，供应商应综合考虑进磋商报价中。</w:t>
            </w:r>
          </w:p>
          <w:p>
            <w:pPr>
              <w:spacing w:line="300" w:lineRule="exact"/>
              <w:rPr>
                <w:rFonts w:ascii="宋体" w:hAnsi="宋体"/>
                <w:color w:val="auto"/>
                <w:szCs w:val="21"/>
                <w:highlight w:val="none"/>
              </w:rPr>
            </w:pPr>
            <w:r>
              <w:rPr>
                <w:rFonts w:hint="eastAsia" w:ascii="宋体" w:hAnsi="宋体"/>
                <w:color w:val="auto"/>
                <w:szCs w:val="21"/>
                <w:highlight w:val="none"/>
              </w:rPr>
              <w:t>4.供应基础价格：物资供应基础价格优先参考广西桂林市发展和改革委员会网站中公布的近期《十二家市场农副产品价格采集表》、《桂林市市区部分居民基本生活消费品市场价格表》相关内容，广西桂林市发展和改革委员会网站中没有发布的物资价格由成交供应商根据市场调查，形成市场价格目录表提供给采购人，采购人根据其提供的市场价格目录表进行市场核价，双方按核查后的市场价格作为供应基础价格。本项目市场调查地点为农贸市场（如：桂林市汇东批发市场、桂林市北门冷冻厂、七星菜市窑农贸等)。成交供应商在服务期限内认为物资供应价格受市场价格的变动，需要申请变动调整物资供应价格的，必须将详细调整内容申请上报采购人，采购人同意后方可调整。</w:t>
            </w:r>
          </w:p>
          <w:p>
            <w:pPr>
              <w:snapToGrid w:val="0"/>
              <w:spacing w:line="300" w:lineRule="exact"/>
              <w:rPr>
                <w:rFonts w:ascii="宋体" w:hAnsi="宋体" w:cs="宋体"/>
                <w:color w:val="auto"/>
                <w:szCs w:val="21"/>
                <w:highlight w:val="none"/>
              </w:rPr>
            </w:pPr>
            <w:r>
              <w:rPr>
                <w:rFonts w:hint="eastAsia" w:ascii="宋体" w:hAnsi="宋体"/>
                <w:color w:val="auto"/>
                <w:szCs w:val="21"/>
                <w:highlight w:val="none"/>
              </w:rPr>
              <w:t>5.方式：本项目服务期限内，相应类别的物资供应价款实际结算=相应类别的物资供应基础价格×数量×相应类别物资成交综合折扣率（%）。</w:t>
            </w:r>
          </w:p>
        </w:tc>
      </w:tr>
    </w:tbl>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bCs/>
          <w:color w:val="auto"/>
          <w:kern w:val="0"/>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tabs>
          <w:tab w:val="left" w:pos="1305"/>
        </w:tabs>
        <w:spacing w:line="390" w:lineRule="exact"/>
        <w:rPr>
          <w:rFonts w:ascii="宋体" w:hAnsi="宋体" w:cs="宋体"/>
          <w:b/>
          <w:color w:val="auto"/>
          <w:szCs w:val="21"/>
          <w:highlight w:val="none"/>
        </w:rPr>
      </w:pPr>
      <w:r>
        <w:rPr>
          <w:rFonts w:hint="eastAsia" w:ascii="宋体" w:hAnsi="宋体" w:cs="宋体"/>
          <w:b/>
          <w:color w:val="auto"/>
          <w:kern w:val="0"/>
          <w:szCs w:val="21"/>
          <w:highlight w:val="none"/>
        </w:rPr>
        <w:t>注：</w:t>
      </w:r>
      <w:r>
        <w:rPr>
          <w:rFonts w:hint="eastAsia" w:ascii="宋体" w:hAnsi="宋体" w:cs="宋体"/>
          <w:b/>
          <w:color w:val="auto"/>
          <w:szCs w:val="21"/>
          <w:highlight w:val="none"/>
        </w:rPr>
        <w:t>供应商应如实填写磋商报价表的各项内容，否则，响应无效。</w:t>
      </w:r>
    </w:p>
    <w:p>
      <w:pPr>
        <w:widowControl/>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pPr>
        <w:spacing w:line="400" w:lineRule="exact"/>
        <w:rPr>
          <w:rFonts w:ascii="宋体" w:hAnsi="宋体" w:cs="宋体"/>
          <w:b/>
          <w:color w:val="auto"/>
          <w:sz w:val="32"/>
          <w:szCs w:val="32"/>
          <w:highlight w:val="none"/>
        </w:rPr>
      </w:pPr>
      <w:r>
        <w:rPr>
          <w:rFonts w:hint="eastAsia" w:ascii="宋体" w:hAnsi="宋体" w:cs="宋体"/>
          <w:b/>
          <w:bCs/>
          <w:color w:val="auto"/>
          <w:sz w:val="32"/>
          <w:szCs w:val="32"/>
          <w:highlight w:val="none"/>
        </w:rPr>
        <w:t>2.服务内容及要求响应表（必须提供）</w:t>
      </w:r>
    </w:p>
    <w:p>
      <w:pPr>
        <w:spacing w:line="400" w:lineRule="exact"/>
        <w:rPr>
          <w:rFonts w:ascii="宋体" w:hAnsi="宋体" w:cs="宋体"/>
          <w:b/>
          <w:color w:val="auto"/>
          <w:sz w:val="28"/>
          <w:szCs w:val="28"/>
          <w:highlight w:val="none"/>
        </w:rPr>
      </w:pPr>
      <w:r>
        <w:rPr>
          <w:rFonts w:hint="eastAsia" w:ascii="宋体" w:hAnsi="宋体" w:cs="宋体"/>
          <w:b/>
          <w:color w:val="auto"/>
          <w:sz w:val="28"/>
          <w:szCs w:val="28"/>
          <w:highlight w:val="none"/>
        </w:rPr>
        <w:t>附件：</w:t>
      </w:r>
    </w:p>
    <w:p>
      <w:pPr>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服务内容及要求响应表（格式）</w:t>
      </w:r>
    </w:p>
    <w:p>
      <w:pPr>
        <w:rPr>
          <w:color w:val="auto"/>
          <w:highlight w:val="none"/>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2977"/>
        <w:gridCol w:w="326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采购标的</w:t>
            </w:r>
          </w:p>
        </w:tc>
        <w:tc>
          <w:tcPr>
            <w:tcW w:w="2977"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竞争性磋商文件的“服务内容及要求”</w:t>
            </w:r>
          </w:p>
        </w:tc>
        <w:tc>
          <w:tcPr>
            <w:tcW w:w="3260"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对照“服务内容及要求”，供应商的详细响应承诺</w:t>
            </w:r>
          </w:p>
        </w:tc>
        <w:tc>
          <w:tcPr>
            <w:tcW w:w="901" w:type="dxa"/>
            <w:vAlign w:val="center"/>
          </w:tcPr>
          <w:p>
            <w:pPr>
              <w:snapToGrid w:val="0"/>
              <w:spacing w:line="400" w:lineRule="exact"/>
              <w:jc w:val="center"/>
              <w:rPr>
                <w:rFonts w:ascii="宋体" w:hAnsi="宋体" w:cs="宋体"/>
                <w:b/>
                <w:color w:val="auto"/>
                <w:szCs w:val="21"/>
                <w:highlight w:val="none"/>
              </w:rPr>
            </w:pPr>
            <w:r>
              <w:rPr>
                <w:rFonts w:hint="eastAsia" w:ascii="宋体" w:hAnsi="宋体" w:cs="宋体"/>
                <w:b/>
                <w:color w:val="auto"/>
                <w:szCs w:val="21"/>
                <w:highlight w:val="none"/>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snapToGrid w:val="0"/>
              <w:spacing w:line="400" w:lineRule="exact"/>
              <w:jc w:val="center"/>
              <w:rPr>
                <w:rFonts w:ascii="宋体" w:hAnsi="宋体" w:cs="宋体"/>
                <w:b/>
                <w:color w:val="auto"/>
                <w:highlight w:val="none"/>
              </w:rPr>
            </w:pPr>
            <w:r>
              <w:rPr>
                <w:rFonts w:hint="eastAsia" w:ascii="宋体" w:hAnsi="宋体" w:cs="宋体"/>
                <w:color w:val="auto"/>
                <w:highlight w:val="none"/>
              </w:rPr>
              <w:t>桂林市公安局秀峰分局食堂食材定点采购项目</w:t>
            </w:r>
          </w:p>
        </w:tc>
        <w:tc>
          <w:tcPr>
            <w:tcW w:w="2977" w:type="dxa"/>
          </w:tcPr>
          <w:p>
            <w:pPr>
              <w:snapToGrid w:val="0"/>
              <w:spacing w:line="400" w:lineRule="exact"/>
              <w:rPr>
                <w:rFonts w:ascii="宋体" w:hAnsi="宋体" w:cs="宋体"/>
                <w:b/>
                <w:color w:val="auto"/>
                <w:highlight w:val="none"/>
              </w:rPr>
            </w:pPr>
          </w:p>
        </w:tc>
        <w:tc>
          <w:tcPr>
            <w:tcW w:w="3260" w:type="dxa"/>
          </w:tcPr>
          <w:p>
            <w:pPr>
              <w:snapToGrid w:val="0"/>
              <w:spacing w:line="400" w:lineRule="exact"/>
              <w:rPr>
                <w:rFonts w:ascii="宋体" w:hAnsi="宋体" w:cs="宋体"/>
                <w:b/>
                <w:color w:val="auto"/>
                <w:highlight w:val="none"/>
              </w:rPr>
            </w:pPr>
          </w:p>
        </w:tc>
        <w:tc>
          <w:tcPr>
            <w:tcW w:w="901" w:type="dxa"/>
          </w:tcPr>
          <w:p>
            <w:pPr>
              <w:snapToGrid w:val="0"/>
              <w:spacing w:line="400" w:lineRule="exact"/>
              <w:rPr>
                <w:rFonts w:ascii="宋体" w:hAnsi="宋体" w:cs="宋体"/>
                <w:b/>
                <w:color w:val="auto"/>
                <w:highlight w:val="none"/>
              </w:rPr>
            </w:pPr>
          </w:p>
        </w:tc>
      </w:tr>
    </w:tbl>
    <w:p>
      <w:pPr>
        <w:snapToGrid w:val="0"/>
        <w:spacing w:line="400" w:lineRule="exact"/>
        <w:ind w:firstLine="4200" w:firstLineChars="2000"/>
        <w:rPr>
          <w:rFonts w:ascii="宋体" w:hAnsi="宋体" w:cs="宋体"/>
          <w:b/>
          <w:color w:val="auto"/>
          <w:highlight w:val="none"/>
        </w:rPr>
      </w:pPr>
    </w:p>
    <w:p>
      <w:pPr>
        <w:snapToGrid w:val="0"/>
        <w:spacing w:line="400" w:lineRule="exact"/>
        <w:ind w:firstLine="4200" w:firstLineChars="2000"/>
        <w:rPr>
          <w:rFonts w:ascii="宋体" w:hAnsi="宋体" w:cs="宋体"/>
          <w:color w:val="auto"/>
          <w:szCs w:val="21"/>
          <w:highlight w:val="none"/>
        </w:rPr>
      </w:pP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ind w:firstLine="4200" w:firstLineChars="2000"/>
        <w:rPr>
          <w:rFonts w:ascii="宋体" w:hAnsi="宋体"/>
          <w:color w:val="auto"/>
          <w:szCs w:val="20"/>
          <w:highlight w:val="none"/>
          <w:u w:val="singl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ind w:firstLine="4200" w:firstLineChars="2000"/>
        <w:rPr>
          <w:rFonts w:ascii="宋体" w:hAnsi="宋体" w:cs="宋体"/>
          <w:b/>
          <w:color w:val="auto"/>
          <w:szCs w:val="21"/>
          <w:highlight w:val="none"/>
        </w:rPr>
      </w:pPr>
    </w:p>
    <w:p>
      <w:pPr>
        <w:spacing w:line="400" w:lineRule="exact"/>
        <w:rPr>
          <w:rFonts w:ascii="宋体" w:hAnsi="宋体" w:cs="宋体"/>
          <w:b/>
          <w:bCs/>
          <w:color w:val="auto"/>
          <w:sz w:val="32"/>
          <w:szCs w:val="32"/>
          <w:highlight w:val="none"/>
        </w:rPr>
      </w:pPr>
      <w:r>
        <w:rPr>
          <w:rFonts w:hint="eastAsia" w:ascii="宋体" w:hAnsi="宋体" w:cs="宋体"/>
          <w:b/>
          <w:bCs/>
          <w:color w:val="auto"/>
          <w:sz w:val="32"/>
          <w:szCs w:val="32"/>
          <w:highlight w:val="none"/>
        </w:rPr>
        <w:t>3.商务响应表（必须提供）</w:t>
      </w:r>
    </w:p>
    <w:p>
      <w:pPr>
        <w:spacing w:line="400" w:lineRule="exact"/>
        <w:rPr>
          <w:rFonts w:ascii="宋体" w:hAnsi="宋体" w:cs="宋体"/>
          <w:b/>
          <w:color w:val="auto"/>
          <w:sz w:val="30"/>
          <w:szCs w:val="30"/>
          <w:highlight w:val="none"/>
        </w:rPr>
      </w:pPr>
      <w:r>
        <w:rPr>
          <w:rFonts w:hint="eastAsia" w:ascii="宋体" w:hAnsi="宋体" w:cs="宋体"/>
          <w:b/>
          <w:color w:val="auto"/>
          <w:sz w:val="30"/>
          <w:szCs w:val="30"/>
          <w:highlight w:val="none"/>
        </w:rPr>
        <w:t>附件：</w:t>
      </w:r>
    </w:p>
    <w:p>
      <w:pPr>
        <w:spacing w:line="400" w:lineRule="exact"/>
        <w:ind w:firstLine="2226" w:firstLineChars="795"/>
        <w:rPr>
          <w:rFonts w:ascii="宋体" w:hAnsi="宋体" w:cs="宋体"/>
          <w:b/>
          <w:bCs/>
          <w:color w:val="auto"/>
          <w:sz w:val="28"/>
          <w:szCs w:val="28"/>
          <w:highlight w:val="none"/>
        </w:rPr>
      </w:pPr>
      <w:r>
        <w:rPr>
          <w:rFonts w:hint="eastAsia" w:ascii="宋体" w:hAnsi="宋体" w:cs="宋体"/>
          <w:b/>
          <w:bCs/>
          <w:color w:val="auto"/>
          <w:sz w:val="28"/>
          <w:szCs w:val="28"/>
          <w:highlight w:val="none"/>
        </w:rPr>
        <w:t>商务响应表（格式）</w:t>
      </w:r>
    </w:p>
    <w:tbl>
      <w:tblPr>
        <w:tblStyle w:val="21"/>
        <w:tblW w:w="81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29"/>
        <w:gridCol w:w="2410"/>
        <w:gridCol w:w="2175"/>
        <w:gridCol w:w="17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项目</w:t>
            </w:r>
          </w:p>
        </w:tc>
        <w:tc>
          <w:tcPr>
            <w:tcW w:w="24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竞争性磋商文件要求</w:t>
            </w:r>
          </w:p>
        </w:tc>
        <w:tc>
          <w:tcPr>
            <w:tcW w:w="217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供应商的承诺或说明</w:t>
            </w:r>
          </w:p>
        </w:tc>
        <w:tc>
          <w:tcPr>
            <w:tcW w:w="1736"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宋体"/>
                <w:b/>
                <w:color w:val="auto"/>
                <w:szCs w:val="21"/>
                <w:highlight w:val="none"/>
              </w:rPr>
            </w:pPr>
            <w:r>
              <w:rPr>
                <w:rFonts w:hint="eastAsia" w:ascii="宋体" w:hAnsi="宋体" w:cs="宋体"/>
                <w:b/>
                <w:color w:val="auto"/>
                <w:szCs w:val="21"/>
                <w:highlight w:val="none"/>
              </w:rPr>
              <w:t>是否响应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5"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adjustRightInd w:val="0"/>
              <w:snapToGrid w:val="0"/>
              <w:spacing w:line="360" w:lineRule="exact"/>
              <w:jc w:val="center"/>
              <w:rPr>
                <w:rFonts w:ascii="宋体" w:hAnsi="宋体"/>
                <w:b/>
                <w:color w:val="auto"/>
                <w:spacing w:val="-2"/>
                <w:szCs w:val="21"/>
                <w:highlight w:val="none"/>
              </w:rPr>
            </w:pPr>
            <w:r>
              <w:rPr>
                <w:rFonts w:hint="eastAsia" w:ascii="宋体" w:hAnsi="宋体" w:cs="新宋体"/>
                <w:b/>
                <w:color w:val="auto"/>
                <w:kern w:val="0"/>
                <w:szCs w:val="21"/>
                <w:highlight w:val="none"/>
              </w:rPr>
              <w:t>（一）服务时间、服务地点</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left"/>
              <w:rPr>
                <w:rFonts w:ascii="宋体" w:hAnsi="宋体"/>
                <w:b/>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295" w:after="295" w:line="300" w:lineRule="exact"/>
              <w:jc w:val="center"/>
              <w:outlineLvl w:val="0"/>
              <w:rPr>
                <w:rFonts w:cs="宋体"/>
                <w:b/>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tcPr>
          <w:p>
            <w:pPr>
              <w:spacing w:line="300" w:lineRule="exact"/>
              <w:ind w:firstLine="422"/>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highlight w:val="none"/>
              </w:rPr>
            </w:pPr>
            <w:r>
              <w:rPr>
                <w:rFonts w:hint="eastAsia" w:ascii="宋体" w:hAnsi="宋体" w:cs="宋体"/>
                <w:b/>
                <w:bCs/>
                <w:color w:val="auto"/>
                <w:kern w:val="0"/>
                <w:szCs w:val="21"/>
                <w:highlight w:val="none"/>
              </w:rPr>
              <w:t>（二）</w:t>
            </w:r>
            <w:r>
              <w:rPr>
                <w:rFonts w:hint="eastAsia" w:ascii="宋体" w:hAnsi="宋体" w:cs="新宋体"/>
                <w:b/>
                <w:color w:val="auto"/>
                <w:kern w:val="0"/>
                <w:szCs w:val="21"/>
                <w:highlight w:val="none"/>
              </w:rPr>
              <w:t>付款方式</w:t>
            </w:r>
            <w:r>
              <w:rPr>
                <w:rFonts w:hint="eastAsia" w:ascii="宋体" w:hAnsi="宋体" w:cs="宋体"/>
                <w:color w:val="auto"/>
                <w:kern w:val="0"/>
                <w:highlight w:val="none"/>
              </w:rPr>
              <w:t xml:space="preserve"> </w:t>
            </w:r>
          </w:p>
          <w:p>
            <w:pPr>
              <w:tabs>
                <w:tab w:val="left" w:pos="180"/>
                <w:tab w:val="left" w:pos="1620"/>
              </w:tabs>
              <w:adjustRightInd w:val="0"/>
              <w:snapToGrid w:val="0"/>
              <w:spacing w:line="360" w:lineRule="exact"/>
              <w:jc w:val="center"/>
              <w:rPr>
                <w:rFonts w:ascii="宋体" w:hAnsi="宋体" w:cs="新宋体"/>
                <w:b/>
                <w:color w:val="auto"/>
                <w:kern w:val="0"/>
                <w:szCs w:val="21"/>
                <w:highlight w:val="none"/>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left"/>
              <w:rPr>
                <w:b/>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295" w:after="295" w:line="300" w:lineRule="exact"/>
              <w:jc w:val="center"/>
              <w:outlineLvl w:val="0"/>
              <w:rPr>
                <w:rFonts w:cs="宋体"/>
                <w:b/>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tcPr>
          <w:p>
            <w:pPr>
              <w:spacing w:line="300" w:lineRule="exact"/>
              <w:ind w:firstLine="422"/>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adjustRightInd w:val="0"/>
              <w:snapToGrid w:val="0"/>
              <w:spacing w:line="360" w:lineRule="exact"/>
              <w:jc w:val="center"/>
              <w:rPr>
                <w:rFonts w:ascii="宋体" w:hAnsi="宋体" w:cs="新宋体"/>
                <w:b/>
                <w:color w:val="auto"/>
                <w:kern w:val="0"/>
                <w:szCs w:val="21"/>
                <w:highlight w:val="none"/>
              </w:rPr>
            </w:pPr>
            <w:r>
              <w:rPr>
                <w:rFonts w:hint="eastAsia" w:ascii="宋体" w:hAnsi="宋体" w:cs="新宋体"/>
                <w:b/>
                <w:color w:val="auto"/>
                <w:kern w:val="0"/>
                <w:szCs w:val="21"/>
                <w:highlight w:val="none"/>
              </w:rPr>
              <w:t>（三）磋商报价</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left"/>
              <w:rPr>
                <w:b/>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295" w:after="295" w:line="300" w:lineRule="exact"/>
              <w:jc w:val="center"/>
              <w:outlineLvl w:val="0"/>
              <w:rPr>
                <w:rFonts w:cs="宋体"/>
                <w:b/>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tcPr>
          <w:p>
            <w:pPr>
              <w:spacing w:line="300" w:lineRule="exact"/>
              <w:ind w:firstLine="422"/>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adjustRightInd w:val="0"/>
              <w:snapToGrid w:val="0"/>
              <w:spacing w:line="360" w:lineRule="exact"/>
              <w:jc w:val="center"/>
              <w:rPr>
                <w:rFonts w:ascii="宋体" w:hAnsi="宋体" w:cs="新宋体"/>
                <w:b/>
                <w:color w:val="auto"/>
                <w:kern w:val="0"/>
                <w:szCs w:val="21"/>
                <w:highlight w:val="none"/>
              </w:rPr>
            </w:pPr>
            <w:r>
              <w:rPr>
                <w:rFonts w:hint="eastAsia" w:ascii="宋体" w:hAnsi="宋体" w:cs="新宋体"/>
                <w:b/>
                <w:color w:val="auto"/>
                <w:kern w:val="0"/>
                <w:szCs w:val="21"/>
                <w:highlight w:val="none"/>
              </w:rPr>
              <w:t>（四）验收标准</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left"/>
              <w:rPr>
                <w:b/>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295" w:after="295" w:line="300" w:lineRule="exact"/>
              <w:jc w:val="center"/>
              <w:outlineLvl w:val="0"/>
              <w:rPr>
                <w:rFonts w:cs="宋体"/>
                <w:b/>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tcPr>
          <w:p>
            <w:pPr>
              <w:spacing w:line="300" w:lineRule="exact"/>
              <w:ind w:firstLine="422"/>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1829" w:type="dxa"/>
            <w:tcBorders>
              <w:top w:val="single" w:color="auto" w:sz="4" w:space="0"/>
              <w:left w:val="single" w:color="auto" w:sz="4" w:space="0"/>
              <w:bottom w:val="single" w:color="auto" w:sz="4" w:space="0"/>
              <w:right w:val="single" w:color="auto" w:sz="4" w:space="0"/>
            </w:tcBorders>
            <w:vAlign w:val="center"/>
          </w:tcPr>
          <w:p>
            <w:pPr>
              <w:tabs>
                <w:tab w:val="left" w:pos="180"/>
                <w:tab w:val="left" w:pos="1620"/>
              </w:tabs>
              <w:adjustRightInd w:val="0"/>
              <w:snapToGrid w:val="0"/>
              <w:spacing w:line="360" w:lineRule="exact"/>
              <w:jc w:val="center"/>
              <w:rPr>
                <w:rFonts w:ascii="宋体" w:hAnsi="宋体" w:cs="新宋体"/>
                <w:b/>
                <w:color w:val="auto"/>
                <w:kern w:val="0"/>
                <w:szCs w:val="21"/>
                <w:highlight w:val="none"/>
              </w:rPr>
            </w:pPr>
            <w:r>
              <w:rPr>
                <w:rFonts w:ascii="宋体" w:hAnsi="宋体" w:cs="新宋体"/>
                <w:b/>
                <w:color w:val="auto"/>
                <w:kern w:val="0"/>
                <w:szCs w:val="21"/>
                <w:highlight w:val="none"/>
              </w:rPr>
              <w:t>………</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40" w:lineRule="exact"/>
              <w:ind w:firstLine="422"/>
              <w:jc w:val="left"/>
              <w:rPr>
                <w:b/>
                <w:color w:val="auto"/>
                <w:szCs w:val="21"/>
                <w:highlight w:val="none"/>
              </w:rPr>
            </w:pPr>
          </w:p>
        </w:tc>
        <w:tc>
          <w:tcPr>
            <w:tcW w:w="2175" w:type="dxa"/>
            <w:tcBorders>
              <w:top w:val="single" w:color="auto" w:sz="4" w:space="0"/>
              <w:left w:val="single" w:color="auto" w:sz="4" w:space="0"/>
              <w:bottom w:val="single" w:color="auto" w:sz="4" w:space="0"/>
              <w:right w:val="single" w:color="auto" w:sz="4" w:space="0"/>
            </w:tcBorders>
            <w:vAlign w:val="center"/>
          </w:tcPr>
          <w:p>
            <w:pPr>
              <w:pStyle w:val="11"/>
              <w:snapToGrid w:val="0"/>
              <w:spacing w:before="295" w:after="295" w:line="300" w:lineRule="exact"/>
              <w:jc w:val="center"/>
              <w:outlineLvl w:val="0"/>
              <w:rPr>
                <w:rFonts w:cs="宋体"/>
                <w:b/>
                <w:color w:val="auto"/>
                <w:szCs w:val="21"/>
                <w:highlight w:val="none"/>
              </w:rPr>
            </w:pPr>
          </w:p>
        </w:tc>
        <w:tc>
          <w:tcPr>
            <w:tcW w:w="1736" w:type="dxa"/>
            <w:tcBorders>
              <w:top w:val="single" w:color="auto" w:sz="4" w:space="0"/>
              <w:left w:val="single" w:color="auto" w:sz="4" w:space="0"/>
              <w:bottom w:val="single" w:color="auto" w:sz="4" w:space="0"/>
              <w:right w:val="single" w:color="auto" w:sz="4" w:space="0"/>
            </w:tcBorders>
          </w:tcPr>
          <w:p>
            <w:pPr>
              <w:spacing w:line="300" w:lineRule="exact"/>
              <w:ind w:firstLine="422"/>
              <w:rPr>
                <w:rFonts w:ascii="宋体" w:hAnsi="宋体"/>
                <w:b/>
                <w:color w:val="auto"/>
                <w:szCs w:val="21"/>
                <w:highlight w:val="none"/>
              </w:rPr>
            </w:pPr>
          </w:p>
        </w:tc>
      </w:tr>
    </w:tbl>
    <w:p>
      <w:pPr>
        <w:snapToGrid w:val="0"/>
        <w:spacing w:line="400" w:lineRule="exact"/>
        <w:rPr>
          <w:rFonts w:ascii="宋体" w:hAnsi="宋体" w:cs="宋体"/>
          <w:color w:val="auto"/>
          <w:szCs w:val="21"/>
          <w:highlight w:val="none"/>
        </w:rPr>
      </w:pPr>
    </w:p>
    <w:p>
      <w:pPr>
        <w:snapToGrid w:val="0"/>
        <w:spacing w:line="400" w:lineRule="exact"/>
        <w:rPr>
          <w:rFonts w:ascii="宋体" w:hAnsi="宋体" w:cs="宋体"/>
          <w:color w:val="auto"/>
          <w:szCs w:val="21"/>
          <w:highlight w:val="none"/>
        </w:rPr>
      </w:pP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ind w:firstLine="4200" w:firstLineChars="2000"/>
        <w:rPr>
          <w:rFonts w:ascii="宋体" w:hAnsi="宋体" w:cs="宋体"/>
          <w:b/>
          <w:color w:val="auto"/>
          <w:szCs w:val="21"/>
          <w:highlight w:val="none"/>
        </w:rPr>
      </w:pPr>
    </w:p>
    <w:p>
      <w:pPr>
        <w:ind w:firstLine="4200" w:firstLineChars="2000"/>
        <w:rPr>
          <w:rFonts w:ascii="宋体" w:hAnsi="宋体"/>
          <w:color w:val="auto"/>
          <w:szCs w:val="20"/>
          <w:highlight w:val="none"/>
          <w:u w:val="single"/>
        </w:rPr>
      </w:pPr>
    </w:p>
    <w:p>
      <w:pPr>
        <w:ind w:firstLine="4200" w:firstLineChars="2000"/>
        <w:rPr>
          <w:rFonts w:ascii="宋体" w:hAnsi="宋体"/>
          <w:color w:val="auto"/>
          <w:szCs w:val="20"/>
          <w:highlight w:val="none"/>
          <w:u w:val="single"/>
        </w:rPr>
      </w:pPr>
    </w:p>
    <w:p>
      <w:pPr>
        <w:ind w:left="2940"/>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spacing w:line="400" w:lineRule="exact"/>
        <w:jc w:val="center"/>
        <w:rPr>
          <w:rFonts w:ascii="宋体" w:hAnsi="宋体"/>
          <w:b/>
          <w:color w:val="auto"/>
          <w:kern w:val="0"/>
          <w:sz w:val="32"/>
          <w:szCs w:val="32"/>
          <w:highlight w:val="none"/>
        </w:rPr>
      </w:pPr>
    </w:p>
    <w:p>
      <w:pPr>
        <w:spacing w:line="400" w:lineRule="exact"/>
        <w:jc w:val="center"/>
        <w:rPr>
          <w:rFonts w:ascii="宋体" w:hAnsi="宋体"/>
          <w:b/>
          <w:color w:val="auto"/>
          <w:kern w:val="0"/>
          <w:sz w:val="32"/>
          <w:szCs w:val="32"/>
          <w:highlight w:val="none"/>
        </w:rPr>
      </w:pPr>
      <w:r>
        <w:rPr>
          <w:rFonts w:hint="eastAsia" w:ascii="宋体" w:hAnsi="宋体"/>
          <w:b/>
          <w:color w:val="auto"/>
          <w:kern w:val="0"/>
          <w:sz w:val="32"/>
          <w:szCs w:val="32"/>
          <w:highlight w:val="none"/>
        </w:rPr>
        <w:t>（三）其他有效证明材料目录</w:t>
      </w:r>
    </w:p>
    <w:p>
      <w:pPr>
        <w:tabs>
          <w:tab w:val="left" w:pos="1305"/>
        </w:tabs>
        <w:spacing w:line="420" w:lineRule="exact"/>
        <w:ind w:firstLine="420"/>
        <w:rPr>
          <w:rFonts w:ascii="宋体" w:hAnsi="宋体" w:cs="宋体"/>
          <w:color w:val="auto"/>
          <w:kern w:val="0"/>
          <w:szCs w:val="21"/>
          <w:highlight w:val="none"/>
        </w:rPr>
      </w:pPr>
    </w:p>
    <w:p>
      <w:pPr>
        <w:tabs>
          <w:tab w:val="left" w:pos="1305"/>
        </w:tabs>
        <w:spacing w:line="4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1.供应商的项目实施方案（如有，请提供）</w:t>
      </w:r>
    </w:p>
    <w:p>
      <w:pPr>
        <w:tabs>
          <w:tab w:val="left" w:pos="1305"/>
        </w:tabs>
        <w:spacing w:line="380" w:lineRule="exact"/>
        <w:ind w:firstLine="420"/>
        <w:rPr>
          <w:rFonts w:ascii="宋体" w:hAnsi="宋体"/>
          <w:color w:val="auto"/>
          <w:szCs w:val="21"/>
          <w:highlight w:val="none"/>
        </w:rPr>
      </w:pPr>
      <w:r>
        <w:rPr>
          <w:rFonts w:hint="eastAsia" w:ascii="宋体" w:hAnsi="宋体"/>
          <w:color w:val="auto"/>
          <w:szCs w:val="21"/>
          <w:highlight w:val="none"/>
        </w:rPr>
        <w:t>2.供应商的认证认可、奖项及业绩等履约能力相关证明材料</w:t>
      </w:r>
      <w:r>
        <w:rPr>
          <w:rFonts w:hint="eastAsia" w:hAnsi="宋体"/>
          <w:color w:val="auto"/>
          <w:highlight w:val="none"/>
        </w:rPr>
        <w:t>（如有，请提供）</w:t>
      </w:r>
    </w:p>
    <w:p>
      <w:pPr>
        <w:tabs>
          <w:tab w:val="left" w:pos="1305"/>
        </w:tabs>
        <w:spacing w:line="420" w:lineRule="exact"/>
        <w:ind w:firstLine="420"/>
        <w:rPr>
          <w:rFonts w:ascii="宋体" w:hAnsi="宋体" w:cs="宋体"/>
          <w:color w:val="auto"/>
          <w:kern w:val="0"/>
          <w:szCs w:val="21"/>
          <w:highlight w:val="none"/>
        </w:rPr>
      </w:pPr>
      <w:r>
        <w:rPr>
          <w:rFonts w:hint="eastAsia" w:ascii="宋体" w:hAnsi="宋体" w:cs="宋体"/>
          <w:color w:val="auto"/>
          <w:kern w:val="0"/>
          <w:szCs w:val="21"/>
          <w:highlight w:val="none"/>
        </w:rPr>
        <w:t>3.供应商可结合本项目的评审办法视自身情况自行提交其他相关证明材料（如有，请提供）</w:t>
      </w:r>
    </w:p>
    <w:p>
      <w:pPr>
        <w:rPr>
          <w:rFonts w:ascii="宋体" w:hAnsi="宋体" w:cs="宋体"/>
          <w:b/>
          <w:color w:val="auto"/>
          <w:kern w:val="0"/>
          <w:sz w:val="32"/>
          <w:szCs w:val="20"/>
          <w:highlight w:val="none"/>
        </w:rPr>
      </w:pPr>
      <w:r>
        <w:rPr>
          <w:rFonts w:hint="eastAsia" w:ascii="宋体" w:hAnsi="宋体"/>
          <w:color w:val="auto"/>
          <w:kern w:val="0"/>
          <w:sz w:val="32"/>
          <w:szCs w:val="20"/>
          <w:highlight w:val="none"/>
        </w:rPr>
        <w:br w:type="page"/>
      </w:r>
      <w:r>
        <w:rPr>
          <w:rFonts w:hint="eastAsia" w:ascii="宋体" w:hAnsi="宋体" w:cs="宋体"/>
          <w:b/>
          <w:color w:val="auto"/>
          <w:kern w:val="0"/>
          <w:sz w:val="32"/>
          <w:szCs w:val="20"/>
          <w:highlight w:val="none"/>
        </w:rPr>
        <w:t>1.供应商的项目实施方案（如有，请提供）</w:t>
      </w:r>
    </w:p>
    <w:p>
      <w:pPr>
        <w:spacing w:line="400" w:lineRule="exact"/>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附件：</w:t>
      </w:r>
    </w:p>
    <w:p>
      <w:pPr>
        <w:ind w:firstLine="470" w:firstLineChars="147"/>
        <w:jc w:val="center"/>
        <w:rPr>
          <w:rFonts w:ascii="宋体" w:hAnsi="宋体" w:cs="宋体"/>
          <w:b/>
          <w:bCs/>
          <w:color w:val="auto"/>
          <w:kern w:val="0"/>
          <w:sz w:val="32"/>
          <w:szCs w:val="20"/>
          <w:highlight w:val="none"/>
        </w:rPr>
      </w:pPr>
      <w:r>
        <w:rPr>
          <w:rFonts w:hint="eastAsia" w:ascii="宋体" w:hAnsi="宋体" w:cs="宋体"/>
          <w:b/>
          <w:bCs/>
          <w:color w:val="auto"/>
          <w:kern w:val="0"/>
          <w:sz w:val="32"/>
          <w:szCs w:val="20"/>
          <w:highlight w:val="none"/>
        </w:rPr>
        <w:t>项目实施方案（格式）</w:t>
      </w:r>
    </w:p>
    <w:p>
      <w:pPr>
        <w:spacing w:line="400" w:lineRule="exact"/>
        <w:ind w:left="720"/>
        <w:rPr>
          <w:rFonts w:ascii="宋体" w:hAnsi="Courier New"/>
          <w:b/>
          <w:color w:val="auto"/>
          <w:kern w:val="0"/>
          <w:highlight w:val="none"/>
        </w:rPr>
      </w:pPr>
    </w:p>
    <w:p>
      <w:pPr>
        <w:tabs>
          <w:tab w:val="left" w:pos="1305"/>
        </w:tabs>
        <w:spacing w:line="380" w:lineRule="exact"/>
        <w:ind w:firstLine="420"/>
        <w:rPr>
          <w:rFonts w:ascii="宋体" w:hAnsi="宋体"/>
          <w:color w:val="auto"/>
          <w:szCs w:val="21"/>
          <w:highlight w:val="none"/>
        </w:rPr>
      </w:pPr>
      <w:r>
        <w:rPr>
          <w:rFonts w:hint="eastAsia" w:ascii="宋体" w:hAnsi="宋体"/>
          <w:color w:val="auto"/>
          <w:szCs w:val="21"/>
          <w:highlight w:val="none"/>
        </w:rPr>
        <w:t>一、项目管理方案【包括但不限于①内部管理制度；②工作准则；③岗位设置；④员工行为规范等】</w:t>
      </w:r>
    </w:p>
    <w:p>
      <w:pPr>
        <w:tabs>
          <w:tab w:val="left" w:pos="1305"/>
        </w:tabs>
        <w:spacing w:line="380" w:lineRule="exact"/>
        <w:ind w:firstLine="420"/>
        <w:rPr>
          <w:rFonts w:ascii="宋体" w:hAnsi="宋体"/>
          <w:color w:val="auto"/>
          <w:szCs w:val="21"/>
          <w:highlight w:val="none"/>
        </w:rPr>
      </w:pPr>
      <w:r>
        <w:rPr>
          <w:rFonts w:hint="eastAsia" w:ascii="宋体" w:hAnsi="宋体"/>
          <w:color w:val="auto"/>
          <w:szCs w:val="21"/>
          <w:highlight w:val="none"/>
        </w:rPr>
        <w:t>二、服务方案【包括但不限于①物资安全保障；②货源组织；③质量保障；④配送时限等】</w:t>
      </w:r>
    </w:p>
    <w:p>
      <w:pPr>
        <w:tabs>
          <w:tab w:val="left" w:pos="1305"/>
        </w:tabs>
        <w:spacing w:line="380" w:lineRule="exact"/>
        <w:ind w:firstLine="420"/>
        <w:rPr>
          <w:rFonts w:ascii="宋体" w:hAnsi="宋体"/>
          <w:color w:val="auto"/>
          <w:szCs w:val="21"/>
          <w:highlight w:val="none"/>
        </w:rPr>
      </w:pPr>
      <w:r>
        <w:rPr>
          <w:rFonts w:hint="eastAsia" w:ascii="宋体" w:hAnsi="宋体"/>
          <w:color w:val="auto"/>
          <w:szCs w:val="21"/>
          <w:highlight w:val="none"/>
        </w:rPr>
        <w:t>三、配送方案【包括但不限于①保证配送效率的方案；②配送工具；③服务机构网点设置；④项目管理班子的人员配备、配送人员的培训措施等】</w:t>
      </w:r>
    </w:p>
    <w:p>
      <w:pPr>
        <w:tabs>
          <w:tab w:val="left" w:pos="1305"/>
        </w:tabs>
        <w:spacing w:line="380" w:lineRule="exact"/>
        <w:ind w:firstLine="420"/>
        <w:rPr>
          <w:rFonts w:ascii="宋体" w:hAnsi="宋体"/>
          <w:color w:val="auto"/>
          <w:szCs w:val="21"/>
          <w:highlight w:val="none"/>
        </w:rPr>
      </w:pPr>
      <w:r>
        <w:rPr>
          <w:rFonts w:hint="eastAsia" w:ascii="宋体" w:hAnsi="宋体"/>
          <w:color w:val="auto"/>
          <w:szCs w:val="21"/>
          <w:highlight w:val="none"/>
        </w:rPr>
        <w:t>四、紧急预案【包括但不限于①</w:t>
      </w:r>
      <w:r>
        <w:rPr>
          <w:rFonts w:hint="eastAsia" w:hAnsi="宋体" w:cs="宋体"/>
          <w:color w:val="auto"/>
          <w:highlight w:val="none"/>
        </w:rPr>
        <w:t>紧急退换货处理方案</w:t>
      </w:r>
      <w:r>
        <w:rPr>
          <w:rFonts w:hint="eastAsia" w:ascii="宋体" w:hAnsi="宋体"/>
          <w:color w:val="auto"/>
          <w:szCs w:val="21"/>
          <w:highlight w:val="none"/>
        </w:rPr>
        <w:t>；②</w:t>
      </w:r>
      <w:r>
        <w:rPr>
          <w:rFonts w:hint="eastAsia" w:hAnsi="宋体" w:cs="宋体"/>
          <w:color w:val="auto"/>
          <w:highlight w:val="none"/>
        </w:rPr>
        <w:t>出现中毒情况的处理办法</w:t>
      </w:r>
      <w:r>
        <w:rPr>
          <w:rFonts w:hint="eastAsia" w:ascii="宋体" w:hAnsi="宋体"/>
          <w:color w:val="auto"/>
          <w:szCs w:val="21"/>
          <w:highlight w:val="none"/>
        </w:rPr>
        <w:t>；③</w:t>
      </w:r>
      <w:r>
        <w:rPr>
          <w:rFonts w:hint="eastAsia" w:hAnsi="宋体" w:cs="宋体"/>
          <w:color w:val="auto"/>
          <w:highlight w:val="none"/>
        </w:rPr>
        <w:t>送货不达情况的处理办法</w:t>
      </w:r>
      <w:r>
        <w:rPr>
          <w:rFonts w:hint="eastAsia" w:ascii="宋体" w:hAnsi="宋体"/>
          <w:color w:val="auto"/>
          <w:szCs w:val="21"/>
          <w:highlight w:val="none"/>
        </w:rPr>
        <w:t>等】</w:t>
      </w:r>
    </w:p>
    <w:p>
      <w:pPr>
        <w:adjustRightInd w:val="0"/>
        <w:spacing w:line="380" w:lineRule="exact"/>
        <w:ind w:firstLine="560"/>
        <w:rPr>
          <w:rFonts w:ascii="宋体" w:hAnsi="宋体"/>
          <w:color w:val="auto"/>
          <w:kern w:val="0"/>
          <w:sz w:val="28"/>
          <w:szCs w:val="28"/>
          <w:highlight w:val="none"/>
        </w:rPr>
      </w:pPr>
      <w:r>
        <w:rPr>
          <w:rFonts w:hint="eastAsia" w:ascii="宋体" w:hAnsi="宋体"/>
          <w:color w:val="auto"/>
          <w:kern w:val="0"/>
          <w:sz w:val="28"/>
          <w:szCs w:val="28"/>
          <w:highlight w:val="none"/>
        </w:rPr>
        <w:t>……</w:t>
      </w:r>
    </w:p>
    <w:p>
      <w:pPr>
        <w:adjustRightInd w:val="0"/>
        <w:spacing w:line="380" w:lineRule="exact"/>
        <w:ind w:firstLine="420"/>
        <w:rPr>
          <w:rFonts w:ascii="宋体" w:hAnsi="宋体" w:cs="宋体"/>
          <w:color w:val="auto"/>
          <w:kern w:val="0"/>
          <w:szCs w:val="21"/>
          <w:highlight w:val="none"/>
        </w:rPr>
      </w:pPr>
    </w:p>
    <w:p>
      <w:pPr>
        <w:adjustRightInd w:val="0"/>
        <w:spacing w:line="380" w:lineRule="exact"/>
        <w:ind w:firstLine="420"/>
        <w:rPr>
          <w:rFonts w:ascii="宋体" w:hAnsi="宋体" w:cs="宋体"/>
          <w:color w:val="auto"/>
          <w:kern w:val="0"/>
          <w:szCs w:val="21"/>
          <w:highlight w:val="none"/>
        </w:rPr>
      </w:pPr>
    </w:p>
    <w:p>
      <w:pPr>
        <w:adjustRightInd w:val="0"/>
        <w:spacing w:line="380" w:lineRule="exact"/>
        <w:ind w:firstLine="420"/>
        <w:rPr>
          <w:rFonts w:ascii="宋体" w:hAnsi="宋体" w:cs="宋体"/>
          <w:color w:val="auto"/>
          <w:kern w:val="0"/>
          <w:szCs w:val="21"/>
          <w:highlight w:val="none"/>
        </w:rPr>
      </w:pPr>
    </w:p>
    <w:p>
      <w:pPr>
        <w:snapToGrid w:val="0"/>
        <w:spacing w:line="400" w:lineRule="exact"/>
        <w:ind w:firstLine="3570" w:firstLineChars="1700"/>
        <w:outlineLvl w:val="4"/>
        <w:rPr>
          <w:rFonts w:ascii="宋体" w:hAnsi="宋体"/>
          <w:color w:val="auto"/>
          <w:kern w:val="0"/>
          <w:szCs w:val="21"/>
          <w:highlight w:val="none"/>
        </w:rPr>
      </w:pPr>
    </w:p>
    <w:p>
      <w:pPr>
        <w:snapToGrid w:val="0"/>
        <w:spacing w:line="400" w:lineRule="exact"/>
        <w:rPr>
          <w:rFonts w:ascii="宋体" w:hAnsi="宋体" w:cs="宋体"/>
          <w:color w:val="auto"/>
          <w:szCs w:val="21"/>
          <w:highlight w:val="none"/>
          <w:u w:val="single"/>
        </w:rPr>
      </w:pPr>
      <w:r>
        <w:rPr>
          <w:rFonts w:hint="eastAsia" w:ascii="宋体" w:hAnsi="宋体" w:cs="宋体"/>
          <w:color w:val="auto"/>
          <w:szCs w:val="21"/>
          <w:highlight w:val="none"/>
        </w:rPr>
        <w:t>供应商</w:t>
      </w:r>
      <w:r>
        <w:rPr>
          <w:rFonts w:hint="eastAsia" w:ascii="宋体" w:hAnsi="宋体" w:cs="宋体"/>
          <w:b/>
          <w:color w:val="auto"/>
          <w:szCs w:val="21"/>
          <w:highlight w:val="none"/>
        </w:rPr>
        <w:t>（公章或电子签章）</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pPr>
        <w:spacing w:line="340" w:lineRule="exact"/>
        <w:rPr>
          <w:rFonts w:ascii="宋体" w:hAnsi="宋体" w:cs="宋体"/>
          <w:color w:val="auto"/>
          <w:highlight w:val="none"/>
        </w:rPr>
      </w:pPr>
      <w:r>
        <w:rPr>
          <w:rFonts w:hint="eastAsia" w:ascii="宋体" w:hAnsi="宋体" w:cs="宋体"/>
          <w:color w:val="auto"/>
          <w:highlight w:val="none"/>
        </w:rPr>
        <w:t>法定代表人或委托代理人签字</w:t>
      </w:r>
      <w:r>
        <w:rPr>
          <w:rFonts w:hint="eastAsia" w:ascii="宋体" w:hAnsi="宋体" w:cs="宋体"/>
          <w:b/>
          <w:color w:val="auto"/>
          <w:szCs w:val="21"/>
          <w:highlight w:val="none"/>
        </w:rPr>
        <w:t>（或电子签名）</w:t>
      </w:r>
      <w:r>
        <w:rPr>
          <w:rFonts w:hint="eastAsia" w:ascii="宋体" w:hAnsi="宋体" w:cs="宋体"/>
          <w:color w:val="auto"/>
          <w:highlight w:val="none"/>
        </w:rPr>
        <w:t>：</w:t>
      </w:r>
      <w:r>
        <w:rPr>
          <w:rFonts w:hint="eastAsia" w:ascii="宋体" w:hAnsi="宋体" w:cs="宋体"/>
          <w:color w:val="auto"/>
          <w:szCs w:val="21"/>
          <w:highlight w:val="none"/>
          <w:u w:val="single"/>
        </w:rPr>
        <w:t xml:space="preserve">                        </w:t>
      </w:r>
    </w:p>
    <w:p>
      <w:pPr>
        <w:spacing w:line="400" w:lineRule="exact"/>
        <w:rPr>
          <w:rFonts w:ascii="宋体" w:hAnsi="宋体" w:cs="宋体"/>
          <w:color w:val="auto"/>
          <w:szCs w:val="21"/>
          <w:highlight w:val="none"/>
        </w:rPr>
      </w:pPr>
      <w:r>
        <w:rPr>
          <w:rFonts w:hint="eastAsia" w:ascii="宋体" w:hAnsi="宋体" w:cs="宋体"/>
          <w:color w:val="auto"/>
          <w:szCs w:val="20"/>
          <w:highlight w:val="none"/>
        </w:rPr>
        <w:t>日          期：</w:t>
      </w:r>
      <w:r>
        <w:rPr>
          <w:rFonts w:hint="eastAsia" w:ascii="宋体" w:hAnsi="宋体" w:cs="宋体"/>
          <w:color w:val="auto"/>
          <w:szCs w:val="20"/>
          <w:highlight w:val="none"/>
          <w:u w:val="single"/>
        </w:rPr>
        <w:t xml:space="preserve">                         </w:t>
      </w:r>
    </w:p>
    <w:p>
      <w:pPr>
        <w:ind w:firstLine="3570" w:firstLineChars="1700"/>
        <w:rPr>
          <w:rFonts w:ascii="宋体" w:hAnsi="宋体" w:cs="宋体"/>
          <w:color w:val="auto"/>
          <w:szCs w:val="20"/>
          <w:highlight w:val="none"/>
          <w:u w:val="single"/>
        </w:rPr>
      </w:pPr>
    </w:p>
    <w:p>
      <w:pPr>
        <w:ind w:firstLine="3570" w:firstLineChars="1700"/>
        <w:rPr>
          <w:rFonts w:ascii="宋体" w:hAnsi="宋体" w:cs="宋体"/>
          <w:color w:val="auto"/>
          <w:szCs w:val="20"/>
          <w:highlight w:val="none"/>
          <w:u w:val="single"/>
        </w:rPr>
      </w:pPr>
    </w:p>
    <w:p>
      <w:pPr>
        <w:spacing w:after="120"/>
        <w:rPr>
          <w:color w:val="auto"/>
          <w:highlight w:val="none"/>
        </w:rPr>
      </w:pPr>
    </w:p>
    <w:p>
      <w:pPr>
        <w:pStyle w:val="40"/>
        <w:ind w:firstLine="643"/>
        <w:rPr>
          <w:rFonts w:ascii="宋体" w:hAnsi="宋体" w:cs="宋体"/>
          <w:b/>
          <w:bCs/>
          <w:color w:val="auto"/>
          <w:kern w:val="0"/>
          <w:sz w:val="32"/>
          <w:szCs w:val="32"/>
          <w:highlight w:val="none"/>
        </w:rPr>
      </w:pPr>
    </w:p>
    <w:p>
      <w:pPr>
        <w:spacing w:after="120"/>
        <w:rPr>
          <w:color w:val="auto"/>
          <w:highlight w:val="none"/>
        </w:rPr>
      </w:pPr>
    </w:p>
    <w:p>
      <w:pPr>
        <w:tabs>
          <w:tab w:val="left" w:pos="1305"/>
        </w:tabs>
        <w:spacing w:line="420" w:lineRule="exact"/>
        <w:rPr>
          <w:rFonts w:ascii="宋体" w:hAnsi="宋体" w:cs="宋体"/>
          <w:b/>
          <w:color w:val="auto"/>
          <w:kern w:val="0"/>
          <w:sz w:val="32"/>
          <w:szCs w:val="20"/>
          <w:highlight w:val="none"/>
        </w:rPr>
      </w:pPr>
      <w:r>
        <w:rPr>
          <w:rFonts w:hint="eastAsia" w:ascii="宋体" w:hAnsi="宋体" w:cs="宋体"/>
          <w:b/>
          <w:color w:val="auto"/>
          <w:kern w:val="0"/>
          <w:sz w:val="32"/>
          <w:szCs w:val="20"/>
          <w:highlight w:val="none"/>
        </w:rPr>
        <w:t>2.供应商的认证认可、奖项及业绩等履约能力相关证明材料（如有，请提供）</w:t>
      </w:r>
    </w:p>
    <w:p>
      <w:pPr>
        <w:rPr>
          <w:color w:val="auto"/>
          <w:highlight w:val="none"/>
        </w:rPr>
      </w:pPr>
    </w:p>
    <w:p>
      <w:pPr>
        <w:spacing w:line="320" w:lineRule="exact"/>
        <w:rPr>
          <w:rFonts w:ascii="宋体" w:hAnsi="宋体" w:cs="宋体"/>
          <w:b/>
          <w:bCs/>
          <w:color w:val="auto"/>
          <w:kern w:val="0"/>
          <w:sz w:val="32"/>
          <w:szCs w:val="32"/>
          <w:highlight w:val="none"/>
        </w:rPr>
      </w:pPr>
    </w:p>
    <w:p>
      <w:pPr>
        <w:spacing w:line="320" w:lineRule="exact"/>
        <w:rPr>
          <w:rFonts w:ascii="宋体" w:hAnsi="宋体" w:cs="宋体"/>
          <w:b/>
          <w:bCs/>
          <w:color w:val="auto"/>
          <w:kern w:val="0"/>
          <w:sz w:val="32"/>
          <w:szCs w:val="32"/>
          <w:highlight w:val="none"/>
        </w:rPr>
      </w:pPr>
    </w:p>
    <w:p>
      <w:pPr>
        <w:spacing w:line="320" w:lineRule="exact"/>
        <w:rPr>
          <w:rFonts w:ascii="宋体" w:hAnsi="宋体" w:cs="宋体"/>
          <w:b/>
          <w:bCs/>
          <w:color w:val="auto"/>
          <w:kern w:val="0"/>
          <w:sz w:val="32"/>
          <w:szCs w:val="32"/>
          <w:highlight w:val="none"/>
        </w:rPr>
      </w:pPr>
    </w:p>
    <w:p>
      <w:pPr>
        <w:spacing w:line="320" w:lineRule="exact"/>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3.供应商可结合本项目的评审办法视自身情况自行提交其他相关证明材料（如有，请提供）</w:t>
      </w:r>
    </w:p>
    <w:p>
      <w:pPr>
        <w:spacing w:line="320" w:lineRule="exact"/>
        <w:rPr>
          <w:rFonts w:ascii="宋体" w:hAnsi="宋体" w:cs="宋体"/>
          <w:b/>
          <w:bCs/>
          <w:color w:val="auto"/>
          <w:kern w:val="0"/>
          <w:sz w:val="32"/>
          <w:szCs w:val="32"/>
          <w:highlight w:val="none"/>
        </w:rPr>
      </w:pPr>
    </w:p>
    <w:p>
      <w:pPr>
        <w:spacing w:line="320" w:lineRule="exact"/>
        <w:rPr>
          <w:rFonts w:ascii="宋体" w:hAnsi="宋体" w:cs="宋体"/>
          <w:b/>
          <w:bCs/>
          <w:color w:val="auto"/>
          <w:kern w:val="0"/>
          <w:sz w:val="32"/>
          <w:szCs w:val="32"/>
          <w:highlight w:val="none"/>
        </w:rPr>
      </w:pPr>
    </w:p>
    <w:p>
      <w:pPr>
        <w:pStyle w:val="5"/>
        <w:jc w:val="center"/>
        <w:rPr>
          <w:rFonts w:ascii="宋体" w:hAnsi="宋体" w:cs="宋体"/>
          <w:color w:val="auto"/>
          <w:highlight w:val="none"/>
        </w:rPr>
      </w:pPr>
    </w:p>
    <w:sectPr>
      <w:headerReference r:id="rId6" w:type="default"/>
      <w:footerReference r:id="rId7" w:type="default"/>
      <w:pgSz w:w="11906" w:h="16838"/>
      <w:pgMar w:top="1440" w:right="935" w:bottom="1440" w:left="777" w:header="851" w:footer="992" w:gutter="0"/>
      <w:pgNumType w:fmt="numberInDash"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
    <w:altName w:val="Times New Roman"/>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pPr>
    <w:r>
      <w:pict>
        <v:shape id="_x0000_s2051" o:spid="_x0000_s2051"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p>
  <w:p>
    <w:pPr>
      <w:pStyle w:val="13"/>
    </w:pPr>
    <w:r>
      <w:rPr>
        <w:rFonts w:hint="eastAsia"/>
      </w:rPr>
      <w:t>广西安臻工程管理有限公司                                                                   竞争性磋商</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pPr>
    <w: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p>
  <w:p>
    <w:pPr>
      <w:pStyle w:val="13"/>
    </w:pPr>
    <w:r>
      <w:rPr>
        <w:rFonts w:hint="eastAsia"/>
      </w:rPr>
      <w:t>广西安臻工程管理有限公司                                                                     竞争性磋商</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0"/>
      </w:pBdr>
      <w:tabs>
        <w:tab w:val="clear" w:pos="4153"/>
      </w:tabs>
      <w:jc w:val="center"/>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w:r>
  </w:p>
  <w:p>
    <w:pPr>
      <w:pStyle w:val="13"/>
    </w:pPr>
    <w:r>
      <w:rPr>
        <w:rFonts w:hint="eastAsia"/>
      </w:rPr>
      <w:t>广西安臻工程管理有限公司                                                                   竞争性磋商</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宋体" w:hAnsi="宋体" w:cs="宋体"/>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left"/>
    </w:pPr>
    <w:r>
      <w:rPr>
        <w:rFonts w:hint="eastAsia" w:ascii="宋体" w:hAnsi="宋体" w:cs="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D5501"/>
    <w:multiLevelType w:val="singleLevel"/>
    <w:tmpl w:val="8C9D5501"/>
    <w:lvl w:ilvl="0" w:tentative="0">
      <w:start w:val="2"/>
      <w:numFmt w:val="chineseCounting"/>
      <w:suff w:val="nothing"/>
      <w:lvlText w:val="%1、"/>
      <w:lvlJc w:val="left"/>
      <w:rPr>
        <w:rFonts w:hint="eastAsia"/>
      </w:rPr>
    </w:lvl>
  </w:abstractNum>
  <w:abstractNum w:abstractNumId="1">
    <w:nsid w:val="BB4CF58C"/>
    <w:multiLevelType w:val="singleLevel"/>
    <w:tmpl w:val="BB4CF58C"/>
    <w:lvl w:ilvl="0" w:tentative="0">
      <w:start w:val="2"/>
      <w:numFmt w:val="decimal"/>
      <w:suff w:val="nothing"/>
      <w:lvlText w:val="（%1）"/>
      <w:lvlJc w:val="left"/>
    </w:lvl>
  </w:abstractNum>
  <w:abstractNum w:abstractNumId="2">
    <w:nsid w:val="00000005"/>
    <w:multiLevelType w:val="multilevel"/>
    <w:tmpl w:val="00000005"/>
    <w:lvl w:ilvl="0" w:tentative="0">
      <w:start w:val="1"/>
      <w:numFmt w:val="decimal"/>
      <w:lvlText w:val="%1"/>
      <w:lvlJc w:val="left"/>
      <w:pPr>
        <w:tabs>
          <w:tab w:val="left" w:pos="525"/>
        </w:tabs>
        <w:ind w:left="525" w:hanging="420"/>
      </w:pPr>
      <w:rPr>
        <w:rFonts w:hint="eastAsia"/>
      </w:rPr>
    </w:lvl>
    <w:lvl w:ilvl="1" w:tentative="0">
      <w:start w:val="1"/>
      <w:numFmt w:val="lowerLetter"/>
      <w:lvlRestart w:val="0"/>
      <w:lvlText w:val="%2)"/>
      <w:lvlJc w:val="left"/>
      <w:pPr>
        <w:tabs>
          <w:tab w:val="left" w:pos="945"/>
        </w:tabs>
        <w:ind w:left="945" w:hanging="420"/>
      </w:pPr>
    </w:lvl>
    <w:lvl w:ilvl="2" w:tentative="0">
      <w:start w:val="1"/>
      <w:numFmt w:val="lowerRoman"/>
      <w:lvlRestart w:val="0"/>
      <w:lvlText w:val="%3."/>
      <w:lvlJc w:val="right"/>
      <w:pPr>
        <w:tabs>
          <w:tab w:val="left" w:pos="1365"/>
        </w:tabs>
        <w:ind w:left="1365" w:hanging="420"/>
      </w:pPr>
    </w:lvl>
    <w:lvl w:ilvl="3" w:tentative="0">
      <w:start w:val="1"/>
      <w:numFmt w:val="decimal"/>
      <w:lvlRestart w:val="0"/>
      <w:lvlText w:val="%4."/>
      <w:lvlJc w:val="left"/>
      <w:pPr>
        <w:tabs>
          <w:tab w:val="left" w:pos="1785"/>
        </w:tabs>
        <w:ind w:left="1785" w:hanging="420"/>
      </w:pPr>
    </w:lvl>
    <w:lvl w:ilvl="4" w:tentative="0">
      <w:start w:val="1"/>
      <w:numFmt w:val="lowerLetter"/>
      <w:lvlRestart w:val="0"/>
      <w:lvlText w:val="%5)"/>
      <w:lvlJc w:val="left"/>
      <w:pPr>
        <w:tabs>
          <w:tab w:val="left" w:pos="2205"/>
        </w:tabs>
        <w:ind w:left="2205" w:hanging="420"/>
      </w:pPr>
    </w:lvl>
    <w:lvl w:ilvl="5" w:tentative="0">
      <w:start w:val="1"/>
      <w:numFmt w:val="lowerRoman"/>
      <w:lvlRestart w:val="0"/>
      <w:lvlText w:val="%6."/>
      <w:lvlJc w:val="right"/>
      <w:pPr>
        <w:tabs>
          <w:tab w:val="left" w:pos="2625"/>
        </w:tabs>
        <w:ind w:left="2625" w:hanging="420"/>
      </w:pPr>
    </w:lvl>
    <w:lvl w:ilvl="6" w:tentative="0">
      <w:start w:val="1"/>
      <w:numFmt w:val="decimal"/>
      <w:lvlRestart w:val="0"/>
      <w:lvlText w:val="%7."/>
      <w:lvlJc w:val="left"/>
      <w:pPr>
        <w:tabs>
          <w:tab w:val="left" w:pos="3045"/>
        </w:tabs>
        <w:ind w:left="3045" w:hanging="420"/>
      </w:pPr>
    </w:lvl>
    <w:lvl w:ilvl="7" w:tentative="0">
      <w:start w:val="1"/>
      <w:numFmt w:val="lowerLetter"/>
      <w:lvlRestart w:val="0"/>
      <w:lvlText w:val="%8)"/>
      <w:lvlJc w:val="left"/>
      <w:pPr>
        <w:tabs>
          <w:tab w:val="left" w:pos="3465"/>
        </w:tabs>
        <w:ind w:left="3465" w:hanging="420"/>
      </w:pPr>
    </w:lvl>
    <w:lvl w:ilvl="8" w:tentative="0">
      <w:start w:val="1"/>
      <w:numFmt w:val="lowerRoman"/>
      <w:lvlRestart w:val="0"/>
      <w:lvlText w:val="%9."/>
      <w:lvlJc w:val="right"/>
      <w:pPr>
        <w:tabs>
          <w:tab w:val="left" w:pos="3885"/>
        </w:tabs>
        <w:ind w:left="3885" w:hanging="420"/>
      </w:pPr>
    </w:lvl>
  </w:abstractNum>
  <w:abstractNum w:abstractNumId="3">
    <w:nsid w:val="1FC16C3F"/>
    <w:multiLevelType w:val="multilevel"/>
    <w:tmpl w:val="1FC16C3F"/>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abstractNum w:abstractNumId="4">
    <w:nsid w:val="1FD97BE0"/>
    <w:multiLevelType w:val="singleLevel"/>
    <w:tmpl w:val="1FD97BE0"/>
    <w:lvl w:ilvl="0" w:tentative="0">
      <w:start w:val="1"/>
      <w:numFmt w:val="chineseCounting"/>
      <w:suff w:val="nothing"/>
      <w:lvlText w:val="（%1）"/>
      <w:lvlJc w:val="left"/>
      <w:rPr>
        <w:rFonts w:hint="eastAsia"/>
      </w:rPr>
    </w:lvl>
  </w:abstractNum>
  <w:abstractNum w:abstractNumId="5">
    <w:nsid w:val="2EBEB4BA"/>
    <w:multiLevelType w:val="singleLevel"/>
    <w:tmpl w:val="2EBEB4BA"/>
    <w:lvl w:ilvl="0" w:tentative="0">
      <w:start w:val="26"/>
      <w:numFmt w:val="decimal"/>
      <w:suff w:val="space"/>
      <w:lvlText w:val="%1."/>
      <w:lvlJc w:val="left"/>
    </w:lvl>
  </w:abstractNum>
  <w:abstractNum w:abstractNumId="6">
    <w:nsid w:val="6AD43707"/>
    <w:multiLevelType w:val="singleLevel"/>
    <w:tmpl w:val="6AD43707"/>
    <w:lvl w:ilvl="0" w:tentative="0">
      <w:start w:val="5"/>
      <w:numFmt w:val="decimal"/>
      <w:suff w:val="space"/>
      <w:lvlText w:val="%1."/>
      <w:lvlJc w:val="left"/>
    </w:lvl>
  </w:abstractNum>
  <w:num w:numId="1">
    <w:abstractNumId w:val="3"/>
  </w:num>
  <w:num w:numId="2">
    <w:abstractNumId w:val="6"/>
  </w:num>
  <w:num w:numId="3">
    <w:abstractNumId w:val="1"/>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g0NmI2ZjEwYTZhOWY4ZmE4NzFmN2ZjNzRmZTA2MDgifQ=="/>
  </w:docVars>
  <w:rsids>
    <w:rsidRoot w:val="003F48A7"/>
    <w:rsid w:val="00046F39"/>
    <w:rsid w:val="000A7643"/>
    <w:rsid w:val="000E5348"/>
    <w:rsid w:val="000E6CED"/>
    <w:rsid w:val="0013018D"/>
    <w:rsid w:val="001702A3"/>
    <w:rsid w:val="001F0497"/>
    <w:rsid w:val="00245E49"/>
    <w:rsid w:val="00292840"/>
    <w:rsid w:val="002A29CE"/>
    <w:rsid w:val="002F3364"/>
    <w:rsid w:val="002F6A8B"/>
    <w:rsid w:val="002F7AA1"/>
    <w:rsid w:val="00371531"/>
    <w:rsid w:val="003A1EB9"/>
    <w:rsid w:val="003B30F1"/>
    <w:rsid w:val="003B336E"/>
    <w:rsid w:val="003C240B"/>
    <w:rsid w:val="003F48A7"/>
    <w:rsid w:val="00412CBA"/>
    <w:rsid w:val="00431DAD"/>
    <w:rsid w:val="00451E30"/>
    <w:rsid w:val="004538CF"/>
    <w:rsid w:val="00453EBB"/>
    <w:rsid w:val="00466024"/>
    <w:rsid w:val="004E098B"/>
    <w:rsid w:val="00503FC5"/>
    <w:rsid w:val="00506675"/>
    <w:rsid w:val="005120BE"/>
    <w:rsid w:val="005326E0"/>
    <w:rsid w:val="005365C5"/>
    <w:rsid w:val="00536E2D"/>
    <w:rsid w:val="00563FEB"/>
    <w:rsid w:val="00641048"/>
    <w:rsid w:val="00690B8C"/>
    <w:rsid w:val="00693A09"/>
    <w:rsid w:val="006D490D"/>
    <w:rsid w:val="006F0A36"/>
    <w:rsid w:val="007660B1"/>
    <w:rsid w:val="007E7767"/>
    <w:rsid w:val="007F1002"/>
    <w:rsid w:val="00845021"/>
    <w:rsid w:val="0091275D"/>
    <w:rsid w:val="00951F76"/>
    <w:rsid w:val="00954587"/>
    <w:rsid w:val="00984D1D"/>
    <w:rsid w:val="00A10CD7"/>
    <w:rsid w:val="00A467A6"/>
    <w:rsid w:val="00A737B5"/>
    <w:rsid w:val="00B10954"/>
    <w:rsid w:val="00B70AE2"/>
    <w:rsid w:val="00BD343A"/>
    <w:rsid w:val="00BE2D42"/>
    <w:rsid w:val="00BE539C"/>
    <w:rsid w:val="00C0042E"/>
    <w:rsid w:val="00C01264"/>
    <w:rsid w:val="00C333F1"/>
    <w:rsid w:val="00CA0711"/>
    <w:rsid w:val="00CC6365"/>
    <w:rsid w:val="00CD3890"/>
    <w:rsid w:val="00CF6C82"/>
    <w:rsid w:val="00D454CF"/>
    <w:rsid w:val="00D55139"/>
    <w:rsid w:val="00D61899"/>
    <w:rsid w:val="00D761B6"/>
    <w:rsid w:val="00D82912"/>
    <w:rsid w:val="00D93E85"/>
    <w:rsid w:val="00DC4F2D"/>
    <w:rsid w:val="00DE09A1"/>
    <w:rsid w:val="00DF4A82"/>
    <w:rsid w:val="00E32CF9"/>
    <w:rsid w:val="00E340BD"/>
    <w:rsid w:val="00E63E98"/>
    <w:rsid w:val="00EA63B0"/>
    <w:rsid w:val="00EE604A"/>
    <w:rsid w:val="00F24F21"/>
    <w:rsid w:val="00F34182"/>
    <w:rsid w:val="00F56105"/>
    <w:rsid w:val="00F60F72"/>
    <w:rsid w:val="00F9514D"/>
    <w:rsid w:val="00FA13E2"/>
    <w:rsid w:val="00FA485E"/>
    <w:rsid w:val="00FB1CA0"/>
    <w:rsid w:val="00FB2AD9"/>
    <w:rsid w:val="00FB450F"/>
    <w:rsid w:val="00FD1FF4"/>
    <w:rsid w:val="0100033D"/>
    <w:rsid w:val="02B95509"/>
    <w:rsid w:val="031406F5"/>
    <w:rsid w:val="036C7E00"/>
    <w:rsid w:val="05075F25"/>
    <w:rsid w:val="051031AE"/>
    <w:rsid w:val="05E82D27"/>
    <w:rsid w:val="060C5A1F"/>
    <w:rsid w:val="065000D1"/>
    <w:rsid w:val="065B15E4"/>
    <w:rsid w:val="06AE1DE6"/>
    <w:rsid w:val="076C2901"/>
    <w:rsid w:val="079052BE"/>
    <w:rsid w:val="083F7130"/>
    <w:rsid w:val="0A252635"/>
    <w:rsid w:val="0AA70314"/>
    <w:rsid w:val="0B523DCB"/>
    <w:rsid w:val="0B6A2EE0"/>
    <w:rsid w:val="0BBE44EE"/>
    <w:rsid w:val="0BF75EA4"/>
    <w:rsid w:val="0C825799"/>
    <w:rsid w:val="0C9C22B2"/>
    <w:rsid w:val="0D984A9B"/>
    <w:rsid w:val="0EBA28D2"/>
    <w:rsid w:val="0F152394"/>
    <w:rsid w:val="0F2549CB"/>
    <w:rsid w:val="0F6B6C1D"/>
    <w:rsid w:val="110660A6"/>
    <w:rsid w:val="125C726E"/>
    <w:rsid w:val="13916645"/>
    <w:rsid w:val="1506135C"/>
    <w:rsid w:val="184F13F4"/>
    <w:rsid w:val="19516B4A"/>
    <w:rsid w:val="1A41745E"/>
    <w:rsid w:val="1A606D71"/>
    <w:rsid w:val="1ABB044E"/>
    <w:rsid w:val="1ABD5E6D"/>
    <w:rsid w:val="1C08226C"/>
    <w:rsid w:val="1C624D13"/>
    <w:rsid w:val="1CC84F0A"/>
    <w:rsid w:val="1D1207F7"/>
    <w:rsid w:val="1FE74446"/>
    <w:rsid w:val="211F672C"/>
    <w:rsid w:val="225455FE"/>
    <w:rsid w:val="22AE7495"/>
    <w:rsid w:val="25212425"/>
    <w:rsid w:val="26FB3479"/>
    <w:rsid w:val="28534CC7"/>
    <w:rsid w:val="28C8445F"/>
    <w:rsid w:val="2A1F764C"/>
    <w:rsid w:val="2B336409"/>
    <w:rsid w:val="2B352B08"/>
    <w:rsid w:val="2B50775C"/>
    <w:rsid w:val="2C730BFF"/>
    <w:rsid w:val="2F1958D0"/>
    <w:rsid w:val="2FB344DB"/>
    <w:rsid w:val="31BF7BF7"/>
    <w:rsid w:val="33196C24"/>
    <w:rsid w:val="337A3E72"/>
    <w:rsid w:val="35033E7C"/>
    <w:rsid w:val="369E0EF6"/>
    <w:rsid w:val="375E31F0"/>
    <w:rsid w:val="37624D3E"/>
    <w:rsid w:val="37F250A8"/>
    <w:rsid w:val="389153B5"/>
    <w:rsid w:val="38BB18EB"/>
    <w:rsid w:val="3A7633A3"/>
    <w:rsid w:val="3B721655"/>
    <w:rsid w:val="3BE41159"/>
    <w:rsid w:val="3E6E4482"/>
    <w:rsid w:val="41166258"/>
    <w:rsid w:val="427A0DB5"/>
    <w:rsid w:val="429F0D52"/>
    <w:rsid w:val="43727F57"/>
    <w:rsid w:val="47226FD9"/>
    <w:rsid w:val="4822043E"/>
    <w:rsid w:val="483F0499"/>
    <w:rsid w:val="48557468"/>
    <w:rsid w:val="492B03C7"/>
    <w:rsid w:val="4A615E38"/>
    <w:rsid w:val="4B6052BB"/>
    <w:rsid w:val="4D085C18"/>
    <w:rsid w:val="4DF07841"/>
    <w:rsid w:val="4E3F5A59"/>
    <w:rsid w:val="4E5C54C6"/>
    <w:rsid w:val="4E784900"/>
    <w:rsid w:val="500B71A4"/>
    <w:rsid w:val="50A2103A"/>
    <w:rsid w:val="50DD43F7"/>
    <w:rsid w:val="51456CD1"/>
    <w:rsid w:val="51AB4CC8"/>
    <w:rsid w:val="53DE45D6"/>
    <w:rsid w:val="54356616"/>
    <w:rsid w:val="54EA1A57"/>
    <w:rsid w:val="552A1E7A"/>
    <w:rsid w:val="558A20A7"/>
    <w:rsid w:val="55DB7536"/>
    <w:rsid w:val="5753775E"/>
    <w:rsid w:val="575E5568"/>
    <w:rsid w:val="58201313"/>
    <w:rsid w:val="58DB5A41"/>
    <w:rsid w:val="598F630D"/>
    <w:rsid w:val="5A643739"/>
    <w:rsid w:val="5BA37FCD"/>
    <w:rsid w:val="5D056076"/>
    <w:rsid w:val="5E847F27"/>
    <w:rsid w:val="5E985640"/>
    <w:rsid w:val="5EB23D46"/>
    <w:rsid w:val="61680316"/>
    <w:rsid w:val="629E6C38"/>
    <w:rsid w:val="63CA40E4"/>
    <w:rsid w:val="657123B4"/>
    <w:rsid w:val="65AE1BAE"/>
    <w:rsid w:val="67386876"/>
    <w:rsid w:val="67EB1AD0"/>
    <w:rsid w:val="681B125A"/>
    <w:rsid w:val="690A0C77"/>
    <w:rsid w:val="69960D5D"/>
    <w:rsid w:val="6BB3513A"/>
    <w:rsid w:val="6C9C7F3A"/>
    <w:rsid w:val="6CE35466"/>
    <w:rsid w:val="6E7206C2"/>
    <w:rsid w:val="6E9F12D8"/>
    <w:rsid w:val="7026759E"/>
    <w:rsid w:val="70D56AB2"/>
    <w:rsid w:val="71924FC1"/>
    <w:rsid w:val="719B6B25"/>
    <w:rsid w:val="72876051"/>
    <w:rsid w:val="72AE7DEA"/>
    <w:rsid w:val="73994D87"/>
    <w:rsid w:val="73F05BE5"/>
    <w:rsid w:val="75E26C5D"/>
    <w:rsid w:val="75E5251D"/>
    <w:rsid w:val="75FF0362"/>
    <w:rsid w:val="7645008C"/>
    <w:rsid w:val="77D31AA6"/>
    <w:rsid w:val="77DD0911"/>
    <w:rsid w:val="7C3E7E36"/>
    <w:rsid w:val="7EF7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qFormat="1" w:uiPriority="99"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4">
    <w:name w:val="heading 3"/>
    <w:basedOn w:val="1"/>
    <w:next w:val="1"/>
    <w:link w:val="28"/>
    <w:autoRedefine/>
    <w:qFormat/>
    <w:uiPriority w:val="0"/>
    <w:pPr>
      <w:keepNext/>
      <w:keepLines/>
      <w:outlineLvl w:val="2"/>
    </w:pPr>
    <w:rPr>
      <w:rFonts w:ascii="Calibri" w:hAnsi="Calibri"/>
      <w:b/>
      <w:sz w:val="32"/>
    </w:rPr>
  </w:style>
  <w:style w:type="paragraph" w:styleId="5">
    <w:name w:val="heading 4"/>
    <w:basedOn w:val="1"/>
    <w:next w:val="1"/>
    <w:qFormat/>
    <w:uiPriority w:val="0"/>
    <w:pPr>
      <w:keepNext/>
      <w:spacing w:before="240" w:after="60"/>
      <w:outlineLvl w:val="3"/>
    </w:pPr>
    <w:rPr>
      <w:b/>
      <w:bCs/>
      <w:sz w:val="28"/>
      <w:szCs w:val="28"/>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0"/>
    <w:pPr>
      <w:ind w:left="2940"/>
    </w:pPr>
  </w:style>
  <w:style w:type="paragraph" w:styleId="7">
    <w:name w:val="annotation text"/>
    <w:basedOn w:val="1"/>
    <w:link w:val="34"/>
    <w:qFormat/>
    <w:uiPriority w:val="0"/>
    <w:pPr>
      <w:jc w:val="left"/>
    </w:pPr>
  </w:style>
  <w:style w:type="paragraph" w:styleId="8">
    <w:name w:val="Body Text"/>
    <w:basedOn w:val="1"/>
    <w:next w:val="1"/>
    <w:autoRedefine/>
    <w:qFormat/>
    <w:uiPriority w:val="0"/>
  </w:style>
  <w:style w:type="paragraph" w:styleId="9">
    <w:name w:val="Body Text Indent"/>
    <w:basedOn w:val="1"/>
    <w:autoRedefine/>
    <w:qFormat/>
    <w:uiPriority w:val="0"/>
    <w:pPr>
      <w:spacing w:after="120"/>
      <w:ind w:left="420" w:leftChars="200"/>
    </w:pPr>
  </w:style>
  <w:style w:type="paragraph" w:styleId="10">
    <w:name w:val="toc 3"/>
    <w:basedOn w:val="1"/>
    <w:next w:val="1"/>
    <w:autoRedefine/>
    <w:unhideWhenUsed/>
    <w:qFormat/>
    <w:uiPriority w:val="39"/>
    <w:pPr>
      <w:ind w:left="840" w:leftChars="400"/>
    </w:pPr>
  </w:style>
  <w:style w:type="paragraph" w:styleId="11">
    <w:name w:val="Plain Text"/>
    <w:basedOn w:val="1"/>
    <w:next w:val="6"/>
    <w:link w:val="32"/>
    <w:autoRedefine/>
    <w:qFormat/>
    <w:uiPriority w:val="0"/>
    <w:rPr>
      <w:rFonts w:ascii="宋体" w:hAnsi="Courier New"/>
      <w:szCs w:val="20"/>
    </w:rPr>
  </w:style>
  <w:style w:type="paragraph" w:styleId="12">
    <w:name w:val="Balloon Text"/>
    <w:basedOn w:val="1"/>
    <w:link w:val="36"/>
    <w:autoRedefine/>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2"/>
    <w:basedOn w:val="1"/>
    <w:next w:val="1"/>
    <w:unhideWhenUsed/>
    <w:qFormat/>
    <w:uiPriority w:val="39"/>
    <w:pPr>
      <w:ind w:left="420" w:leftChars="200"/>
    </w:pPr>
  </w:style>
  <w:style w:type="paragraph" w:styleId="17">
    <w:name w:val="List 4"/>
    <w:basedOn w:val="1"/>
    <w:unhideWhenUsed/>
    <w:qFormat/>
    <w:uiPriority w:val="99"/>
    <w:pPr>
      <w:ind w:left="100" w:leftChars="600" w:hanging="200" w:hangingChars="200"/>
      <w:contextualSpacing/>
    </w:pPr>
  </w:style>
  <w:style w:type="paragraph" w:styleId="1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7"/>
    <w:next w:val="7"/>
    <w:link w:val="35"/>
    <w:autoRedefine/>
    <w:qFormat/>
    <w:uiPriority w:val="0"/>
    <w:rPr>
      <w:b/>
      <w:bCs/>
    </w:rPr>
  </w:style>
  <w:style w:type="paragraph" w:styleId="20">
    <w:name w:val="Body Text First Indent 2"/>
    <w:basedOn w:val="9"/>
    <w:autoRedefine/>
    <w:unhideWhenUsed/>
    <w:qFormat/>
    <w:uiPriority w:val="99"/>
    <w:pPr>
      <w:ind w:firstLine="420" w:firstLineChars="200"/>
    </w:pPr>
  </w:style>
  <w:style w:type="table" w:styleId="22">
    <w:name w:val="Table Grid"/>
    <w:basedOn w:val="2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Hyperlink"/>
    <w:basedOn w:val="23"/>
    <w:uiPriority w:val="99"/>
    <w:rPr>
      <w:color w:val="0000FF" w:themeColor="hyperlink"/>
      <w:u w:val="single"/>
    </w:rPr>
  </w:style>
  <w:style w:type="character" w:styleId="25">
    <w:name w:val="annotation reference"/>
    <w:basedOn w:val="23"/>
    <w:uiPriority w:val="0"/>
    <w:rPr>
      <w:sz w:val="21"/>
      <w:szCs w:val="21"/>
    </w:rPr>
  </w:style>
  <w:style w:type="paragraph" w:customStyle="1" w:styleId="26">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列出段落1"/>
    <w:basedOn w:val="1"/>
    <w:qFormat/>
    <w:uiPriority w:val="99"/>
    <w:pPr>
      <w:ind w:firstLine="420" w:firstLineChars="200"/>
    </w:pPr>
  </w:style>
  <w:style w:type="character" w:customStyle="1" w:styleId="28">
    <w:name w:val="标题 3 字符"/>
    <w:link w:val="4"/>
    <w:autoRedefine/>
    <w:qFormat/>
    <w:uiPriority w:val="0"/>
    <w:rPr>
      <w:rFonts w:ascii="Calibri" w:hAnsi="Calibri" w:eastAsia="宋体"/>
      <w:b/>
      <w:sz w:val="32"/>
    </w:rPr>
  </w:style>
  <w:style w:type="paragraph" w:customStyle="1" w:styleId="29">
    <w:name w:val="Char1 Char Char Char Char Char Char"/>
    <w:basedOn w:val="1"/>
    <w:autoRedefine/>
    <w:qFormat/>
    <w:uiPriority w:val="0"/>
    <w:rPr>
      <w:rFonts w:ascii="Tahoma" w:hAnsi="Tahoma"/>
      <w:sz w:val="24"/>
      <w:szCs w:val="20"/>
    </w:rPr>
  </w:style>
  <w:style w:type="character" w:customStyle="1" w:styleId="30">
    <w:name w:val="unnamed4"/>
    <w:basedOn w:val="23"/>
    <w:qFormat/>
    <w:uiPriority w:val="0"/>
  </w:style>
  <w:style w:type="character" w:customStyle="1" w:styleId="31">
    <w:name w:val="unnamed2"/>
    <w:basedOn w:val="23"/>
    <w:autoRedefine/>
    <w:qFormat/>
    <w:uiPriority w:val="0"/>
  </w:style>
  <w:style w:type="character" w:customStyle="1" w:styleId="32">
    <w:name w:val="纯文本 字符"/>
    <w:basedOn w:val="23"/>
    <w:link w:val="11"/>
    <w:qFormat/>
    <w:uiPriority w:val="0"/>
    <w:rPr>
      <w:rFonts w:ascii="宋体" w:hAnsi="Courier New"/>
      <w:kern w:val="2"/>
      <w:sz w:val="21"/>
    </w:rPr>
  </w:style>
  <w:style w:type="paragraph" w:customStyle="1" w:styleId="33">
    <w:name w:val="样式 正文文本 + 宋体 首行缩进:  0.74 厘米 行距: 1.5 倍行距"/>
    <w:basedOn w:val="8"/>
    <w:qFormat/>
    <w:uiPriority w:val="0"/>
    <w:pPr>
      <w:spacing w:after="120" w:line="360" w:lineRule="auto"/>
      <w:ind w:firstLine="200" w:firstLineChars="200"/>
    </w:pPr>
    <w:rPr>
      <w:rFonts w:ascii="Calibri" w:hAnsi="Calibri"/>
      <w:sz w:val="24"/>
      <w:szCs w:val="22"/>
    </w:rPr>
  </w:style>
  <w:style w:type="character" w:customStyle="1" w:styleId="34">
    <w:name w:val="批注文字 字符"/>
    <w:basedOn w:val="23"/>
    <w:link w:val="7"/>
    <w:uiPriority w:val="0"/>
    <w:rPr>
      <w:kern w:val="2"/>
      <w:sz w:val="21"/>
      <w:szCs w:val="24"/>
    </w:rPr>
  </w:style>
  <w:style w:type="character" w:customStyle="1" w:styleId="35">
    <w:name w:val="批注主题 字符"/>
    <w:basedOn w:val="34"/>
    <w:link w:val="19"/>
    <w:uiPriority w:val="0"/>
    <w:rPr>
      <w:kern w:val="2"/>
      <w:sz w:val="21"/>
      <w:szCs w:val="24"/>
    </w:rPr>
  </w:style>
  <w:style w:type="character" w:customStyle="1" w:styleId="36">
    <w:name w:val="批注框文本 字符"/>
    <w:basedOn w:val="23"/>
    <w:link w:val="12"/>
    <w:autoRedefine/>
    <w:uiPriority w:val="0"/>
    <w:rPr>
      <w:kern w:val="2"/>
      <w:sz w:val="18"/>
      <w:szCs w:val="18"/>
    </w:rPr>
  </w:style>
  <w:style w:type="character" w:customStyle="1" w:styleId="37">
    <w:name w:val="bookmark-item"/>
    <w:autoRedefine/>
    <w:uiPriority w:val="0"/>
  </w:style>
  <w:style w:type="character" w:customStyle="1" w:styleId="38">
    <w:name w:val="纯文本 Char"/>
    <w:qFormat/>
    <w:uiPriority w:val="0"/>
    <w:rPr>
      <w:rFonts w:eastAsia="宋体"/>
      <w:sz w:val="24"/>
      <w:lang w:val="en-GB"/>
    </w:rPr>
  </w:style>
  <w:style w:type="paragraph" w:customStyle="1" w:styleId="39">
    <w:name w:val="彩色列表 - 强调文字颜色 11"/>
    <w:basedOn w:val="1"/>
    <w:autoRedefine/>
    <w:qFormat/>
    <w:uiPriority w:val="0"/>
    <w:pPr>
      <w:ind w:firstLine="420" w:firstLineChars="200"/>
    </w:pPr>
  </w:style>
  <w:style w:type="paragraph" w:customStyle="1" w:styleId="40">
    <w:name w:val="BodyText"/>
    <w:basedOn w:val="1"/>
    <w:autoRedefine/>
    <w:qFormat/>
    <w:uiPriority w:val="0"/>
    <w:pPr>
      <w:spacing w:line="380" w:lineRule="exact"/>
      <w:ind w:firstLine="200" w:firstLineChars="200"/>
    </w:pPr>
    <w:rPr>
      <w:sz w:val="24"/>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8192</Words>
  <Characters>46696</Characters>
  <Lines>389</Lines>
  <Paragraphs>109</Paragraphs>
  <TotalTime>0</TotalTime>
  <ScaleCrop>false</ScaleCrop>
  <LinksUpToDate>false</LinksUpToDate>
  <CharactersWithSpaces>54779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2021-07-09T04:30:00Z</dcterms:created>
  <dc:creator>Administrator</dc:creator>
  <cp:lastModifiedBy>Administrator</cp:lastModifiedBy>
  <dcterms:modified xsi:type="dcterms:W3CDTF">2024-02-26T07:56:18Z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E40AE4D9A8394659B6F96CA17FECFA26</vt:lpwstr>
  </property>
</Properties>
</file>