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topLinePunct w:val="0"/>
        <w:bidi w:val="0"/>
        <w:spacing w:line="720" w:lineRule="exact"/>
        <w:jc w:val="center"/>
        <w:rPr>
          <w:rFonts w:ascii="宋体" w:hAnsi="宋体"/>
          <w:b/>
          <w:color w:val="auto"/>
          <w:kern w:val="0"/>
          <w:sz w:val="60"/>
          <w:szCs w:val="60"/>
          <w:highlight w:val="none"/>
        </w:rPr>
      </w:pPr>
      <w:r>
        <w:rPr>
          <w:rFonts w:hint="eastAsia" w:ascii="宋体" w:hAnsi="宋体"/>
          <w:b/>
          <w:bCs/>
          <w:color w:val="auto"/>
          <w:kern w:val="0"/>
          <w:sz w:val="60"/>
          <w:szCs w:val="60"/>
          <w:highlight w:val="none"/>
        </w:rPr>
        <w:t>广西华诚达建设项目管理有限公司</w:t>
      </w:r>
    </w:p>
    <w:p>
      <w:pPr>
        <w:pageBreakBefore w:val="0"/>
        <w:kinsoku/>
        <w:wordWrap w:val="0"/>
        <w:topLinePunct w:val="0"/>
        <w:bidi w:val="0"/>
        <w:spacing w:line="720" w:lineRule="exact"/>
        <w:ind w:firstLine="1040"/>
        <w:jc w:val="center"/>
        <w:rPr>
          <w:rFonts w:ascii="文鼎中隶简" w:eastAsia="文鼎中隶简"/>
          <w:color w:val="auto"/>
          <w:kern w:val="0"/>
          <w:sz w:val="52"/>
          <w:highlight w:val="none"/>
        </w:rPr>
      </w:pPr>
      <w:r>
        <w:rPr>
          <w:rFonts w:ascii="文鼎中隶简" w:eastAsia="文鼎中隶简"/>
          <w:color w:val="auto"/>
          <w:kern w:val="0"/>
          <w:sz w:val="52"/>
          <w:highlight w:val="none"/>
        </w:rPr>
        <w:cr/>
      </w:r>
    </w:p>
    <w:p>
      <w:pPr>
        <w:pageBreakBefore w:val="0"/>
        <w:kinsoku/>
        <w:wordWrap w:val="0"/>
        <w:topLinePunct w:val="0"/>
        <w:bidi w:val="0"/>
        <w:spacing w:line="1000" w:lineRule="exact"/>
        <w:ind w:firstLine="1440"/>
        <w:jc w:val="center"/>
        <w:rPr>
          <w:color w:val="auto"/>
          <w:kern w:val="0"/>
          <w:sz w:val="72"/>
          <w:highlight w:val="none"/>
        </w:rPr>
      </w:pPr>
      <w:r>
        <w:rPr>
          <w:rFonts w:hint="eastAsia"/>
          <w:color w:val="auto"/>
          <w:kern w:val="0"/>
          <w:sz w:val="72"/>
          <w:highlight w:val="none"/>
        </w:rPr>
        <w:cr/>
      </w:r>
    </w:p>
    <w:p>
      <w:pPr>
        <w:pageBreakBefore w:val="0"/>
        <w:kinsoku/>
        <w:wordWrap w:val="0"/>
        <w:topLinePunct w:val="0"/>
        <w:bidi w:val="0"/>
        <w:spacing w:line="1000" w:lineRule="exact"/>
        <w:jc w:val="center"/>
        <w:rPr>
          <w:rFonts w:ascii="华文楷体" w:hAnsi="华文楷体" w:eastAsia="华文楷体"/>
          <w:color w:val="auto"/>
          <w:sz w:val="96"/>
          <w:szCs w:val="96"/>
          <w:highlight w:val="none"/>
        </w:rPr>
      </w:pPr>
      <w:r>
        <w:rPr>
          <w:rFonts w:hint="eastAsia" w:ascii="华文楷体" w:hAnsi="华文楷体" w:eastAsia="华文楷体"/>
          <w:b/>
          <w:color w:val="auto"/>
          <w:kern w:val="0"/>
          <w:sz w:val="96"/>
          <w:szCs w:val="96"/>
          <w:highlight w:val="none"/>
        </w:rPr>
        <w:t>竞争性磋商文件</w:t>
      </w:r>
      <w:r>
        <w:rPr>
          <w:rFonts w:hint="eastAsia" w:ascii="华文楷体" w:hAnsi="华文楷体" w:eastAsia="华文楷体"/>
          <w:b/>
          <w:color w:val="auto"/>
          <w:kern w:val="0"/>
          <w:sz w:val="96"/>
          <w:szCs w:val="96"/>
          <w:highlight w:val="none"/>
        </w:rPr>
        <w:cr/>
      </w:r>
      <w:r>
        <w:rPr>
          <w:rFonts w:hint="eastAsia" w:ascii="华文楷体" w:hAnsi="华文楷体" w:eastAsia="华文楷体"/>
          <w:b/>
          <w:color w:val="auto"/>
          <w:kern w:val="0"/>
          <w:sz w:val="96"/>
          <w:szCs w:val="96"/>
          <w:highlight w:val="none"/>
        </w:rPr>
        <w:cr/>
      </w:r>
    </w:p>
    <w:p>
      <w:pPr>
        <w:pageBreakBefore w:val="0"/>
        <w:kinsoku/>
        <w:wordWrap w:val="0"/>
        <w:topLinePunct w:val="0"/>
        <w:bidi w:val="0"/>
        <w:spacing w:line="560" w:lineRule="exact"/>
        <w:ind w:left="1106" w:leftChars="527"/>
        <w:rPr>
          <w:rFonts w:hint="eastAsia" w:ascii="宋体" w:hAnsi="宋体" w:eastAsia="宋体" w:cs="宋体"/>
          <w:b/>
          <w:bCs/>
          <w:color w:val="auto"/>
          <w:kern w:val="0"/>
          <w:sz w:val="32"/>
          <w:highlight w:val="none"/>
          <w:lang w:eastAsia="zh-CN"/>
        </w:rPr>
      </w:pPr>
      <w:r>
        <w:rPr>
          <w:rFonts w:hint="eastAsia" w:ascii="宋体" w:hAnsi="宋体" w:cs="宋体"/>
          <w:b/>
          <w:bCs/>
          <w:color w:val="auto"/>
          <w:kern w:val="0"/>
          <w:sz w:val="32"/>
          <w:highlight w:val="none"/>
        </w:rPr>
        <w:t xml:space="preserve">   项目编号：</w:t>
      </w:r>
      <w:r>
        <w:rPr>
          <w:rFonts w:hint="eastAsia" w:ascii="宋体" w:hAnsi="宋体" w:cs="宋体"/>
          <w:b/>
          <w:bCs/>
          <w:color w:val="auto"/>
          <w:kern w:val="0"/>
          <w:sz w:val="32"/>
          <w:highlight w:val="none"/>
          <w:lang w:eastAsia="zh-CN"/>
        </w:rPr>
        <w:t>GLZC2024-C3-990529-HCDZ</w:t>
      </w:r>
    </w:p>
    <w:p>
      <w:pPr>
        <w:pStyle w:val="3"/>
        <w:pageBreakBefore w:val="0"/>
        <w:kinsoku/>
        <w:wordWrap w:val="0"/>
        <w:topLinePunct w:val="0"/>
        <w:bidi w:val="0"/>
        <w:spacing w:before="0" w:after="0" w:line="560" w:lineRule="exact"/>
        <w:ind w:firstLine="1600" w:firstLineChars="500"/>
        <w:rPr>
          <w:rFonts w:hint="eastAsia" w:ascii="宋体" w:hAnsi="宋体" w:cs="宋体"/>
          <w:color w:val="auto"/>
          <w:szCs w:val="21"/>
          <w:highlight w:val="none"/>
        </w:rPr>
      </w:pPr>
      <w:r>
        <w:rPr>
          <w:rFonts w:hint="eastAsia" w:ascii="宋体" w:hAnsi="宋体" w:cs="宋体"/>
          <w:color w:val="auto"/>
          <w:kern w:val="0"/>
          <w:szCs w:val="24"/>
          <w:highlight w:val="none"/>
        </w:rPr>
        <w:t>项目名称:</w:t>
      </w:r>
      <w:r>
        <w:rPr>
          <w:rFonts w:hint="eastAsia" w:ascii="宋体" w:hAnsi="宋体" w:cs="宋体"/>
          <w:color w:val="auto"/>
          <w:szCs w:val="21"/>
          <w:highlight w:val="none"/>
        </w:rPr>
        <w:t>桂林市秀峰区甲山村委老庙山等6处危岩</w:t>
      </w:r>
    </w:p>
    <w:p>
      <w:pPr>
        <w:pStyle w:val="3"/>
        <w:keepNext/>
        <w:keepLines/>
        <w:pageBreakBefore w:val="0"/>
        <w:widowControl w:val="0"/>
        <w:kinsoku/>
        <w:wordWrap w:val="0"/>
        <w:overflowPunct/>
        <w:topLinePunct w:val="0"/>
        <w:autoSpaceDE/>
        <w:autoSpaceDN/>
        <w:bidi w:val="0"/>
        <w:adjustRightInd/>
        <w:snapToGrid/>
        <w:spacing w:before="0" w:after="0" w:line="560" w:lineRule="exact"/>
        <w:ind w:firstLine="3040" w:firstLineChars="950"/>
        <w:textAlignment w:val="auto"/>
        <w:rPr>
          <w:rFonts w:ascii="宋体" w:hAnsi="宋体" w:cs="宋体"/>
          <w:color w:val="auto"/>
          <w:kern w:val="0"/>
          <w:szCs w:val="24"/>
          <w:highlight w:val="none"/>
        </w:rPr>
      </w:pPr>
      <w:r>
        <w:rPr>
          <w:rFonts w:hint="eastAsia" w:ascii="宋体" w:hAnsi="宋体" w:cs="宋体"/>
          <w:color w:val="auto"/>
          <w:szCs w:val="21"/>
          <w:highlight w:val="none"/>
        </w:rPr>
        <w:t>地质灾害治理工程监理服务</w:t>
      </w:r>
    </w:p>
    <w:p>
      <w:pPr>
        <w:pStyle w:val="3"/>
        <w:pageBreakBefore w:val="0"/>
        <w:kinsoku/>
        <w:wordWrap w:val="0"/>
        <w:topLinePunct w:val="0"/>
        <w:bidi w:val="0"/>
        <w:spacing w:before="0" w:after="0" w:line="500" w:lineRule="exact"/>
        <w:ind w:firstLine="640"/>
        <w:rPr>
          <w:rFonts w:ascii="宋体" w:hAnsi="宋体" w:cs="宋体"/>
          <w:b w:val="0"/>
          <w:bCs w:val="0"/>
          <w:color w:val="auto"/>
          <w:kern w:val="0"/>
          <w:highlight w:val="none"/>
        </w:rPr>
      </w:pPr>
    </w:p>
    <w:p>
      <w:pPr>
        <w:pageBreakBefore w:val="0"/>
        <w:kinsoku/>
        <w:wordWrap w:val="0"/>
        <w:topLinePunct w:val="0"/>
        <w:bidi w:val="0"/>
        <w:ind w:left="1106" w:leftChars="527" w:firstLine="643"/>
        <w:rPr>
          <w:rFonts w:ascii="宋体" w:hAnsi="宋体" w:cs="宋体"/>
          <w:b/>
          <w:bCs/>
          <w:color w:val="auto"/>
          <w:kern w:val="0"/>
          <w:sz w:val="32"/>
          <w:highlight w:val="none"/>
        </w:rPr>
      </w:pPr>
    </w:p>
    <w:p>
      <w:pPr>
        <w:pageBreakBefore w:val="0"/>
        <w:kinsoku/>
        <w:wordWrap w:val="0"/>
        <w:topLinePunct w:val="0"/>
        <w:bidi w:val="0"/>
        <w:ind w:firstLine="1050" w:firstLineChars="500"/>
        <w:rPr>
          <w:rFonts w:ascii="宋体" w:hAnsi="宋体" w:cs="宋体"/>
          <w:color w:val="auto"/>
          <w:kern w:val="0"/>
          <w:highlight w:val="none"/>
        </w:rPr>
      </w:pPr>
    </w:p>
    <w:p>
      <w:pPr>
        <w:pageBreakBefore w:val="0"/>
        <w:kinsoku/>
        <w:wordWrap w:val="0"/>
        <w:topLinePunct w:val="0"/>
        <w:bidi w:val="0"/>
        <w:ind w:left="-2" w:leftChars="-1" w:firstLine="630" w:firstLineChars="300"/>
        <w:rPr>
          <w:rFonts w:ascii="宋体" w:hAnsi="宋体" w:cs="宋体"/>
          <w:color w:val="auto"/>
          <w:kern w:val="0"/>
          <w:highlight w:val="none"/>
        </w:rPr>
      </w:pPr>
    </w:p>
    <w:p>
      <w:pPr>
        <w:pageBreakBefore w:val="0"/>
        <w:kinsoku/>
        <w:wordWrap w:val="0"/>
        <w:topLinePunct w:val="0"/>
        <w:bidi w:val="0"/>
        <w:spacing w:line="460" w:lineRule="exact"/>
        <w:ind w:firstLine="643"/>
        <w:jc w:val="center"/>
        <w:rPr>
          <w:rFonts w:ascii="宋体" w:hAnsi="宋体" w:cs="宋体"/>
          <w:b/>
          <w:bCs/>
          <w:color w:val="auto"/>
          <w:sz w:val="32"/>
          <w:szCs w:val="21"/>
          <w:highlight w:val="none"/>
        </w:rPr>
      </w:pPr>
    </w:p>
    <w:p>
      <w:pPr>
        <w:pageBreakBefore w:val="0"/>
        <w:kinsoku/>
        <w:wordWrap w:val="0"/>
        <w:topLinePunct w:val="0"/>
        <w:bidi w:val="0"/>
        <w:spacing w:line="460" w:lineRule="exact"/>
        <w:ind w:firstLine="643"/>
        <w:jc w:val="center"/>
        <w:rPr>
          <w:rFonts w:ascii="宋体" w:hAnsi="宋体" w:cs="宋体"/>
          <w:b/>
          <w:bCs/>
          <w:color w:val="auto"/>
          <w:sz w:val="32"/>
          <w:szCs w:val="21"/>
          <w:highlight w:val="none"/>
        </w:rPr>
      </w:pPr>
      <w:r>
        <w:rPr>
          <w:rFonts w:hint="eastAsia" w:ascii="宋体" w:hAnsi="宋体" w:cs="宋体"/>
          <w:b/>
          <w:bCs/>
          <w:color w:val="auto"/>
          <w:sz w:val="32"/>
          <w:szCs w:val="21"/>
          <w:highlight w:val="none"/>
        </w:rPr>
        <w:t>采购代理机构：广西华诚达建设项目管理有限公司</w:t>
      </w:r>
    </w:p>
    <w:p>
      <w:pPr>
        <w:pageBreakBefore w:val="0"/>
        <w:kinsoku/>
        <w:wordWrap w:val="0"/>
        <w:topLinePunct w:val="0"/>
        <w:bidi w:val="0"/>
        <w:spacing w:line="460" w:lineRule="exact"/>
        <w:ind w:firstLine="643"/>
        <w:jc w:val="left"/>
        <w:rPr>
          <w:rFonts w:ascii="宋体" w:hAnsi="宋体" w:cs="宋体"/>
          <w:b/>
          <w:bCs/>
          <w:color w:val="auto"/>
          <w:kern w:val="0"/>
          <w:sz w:val="32"/>
          <w:highlight w:val="none"/>
          <w:lang w:val="en-GB"/>
        </w:rPr>
      </w:pPr>
      <w:r>
        <w:rPr>
          <w:rFonts w:hint="eastAsia" w:ascii="宋体" w:hAnsi="宋体" w:cs="宋体"/>
          <w:b/>
          <w:bCs/>
          <w:color w:val="auto"/>
          <w:kern w:val="0"/>
          <w:sz w:val="32"/>
          <w:highlight w:val="none"/>
        </w:rPr>
        <w:t xml:space="preserve"> 　　　　　　　   </w:t>
      </w:r>
      <w:r>
        <w:rPr>
          <w:rFonts w:hint="eastAsia" w:ascii="宋体" w:hAnsi="宋体" w:cs="宋体"/>
          <w:b/>
          <w:bCs/>
          <w:color w:val="auto"/>
          <w:kern w:val="0"/>
          <w:sz w:val="32"/>
          <w:highlight w:val="none"/>
          <w:lang w:val="en-GB"/>
        </w:rPr>
        <w:t>2024年</w:t>
      </w:r>
      <w:r>
        <w:rPr>
          <w:rFonts w:hint="eastAsia" w:ascii="宋体" w:hAnsi="宋体" w:cs="宋体"/>
          <w:b/>
          <w:bCs/>
          <w:color w:val="auto"/>
          <w:kern w:val="0"/>
          <w:sz w:val="32"/>
          <w:highlight w:val="none"/>
          <w:lang w:val="en-US" w:eastAsia="zh-CN"/>
        </w:rPr>
        <w:t>5</w:t>
      </w:r>
      <w:r>
        <w:rPr>
          <w:rFonts w:hint="eastAsia" w:ascii="宋体" w:hAnsi="宋体" w:cs="宋体"/>
          <w:b/>
          <w:bCs/>
          <w:color w:val="auto"/>
          <w:kern w:val="0"/>
          <w:sz w:val="32"/>
          <w:highlight w:val="none"/>
          <w:lang w:val="en-GB"/>
        </w:rPr>
        <w:t>月</w:t>
      </w:r>
      <w:r>
        <w:rPr>
          <w:rFonts w:hint="eastAsia" w:ascii="宋体" w:hAnsi="宋体" w:cs="宋体"/>
          <w:b/>
          <w:bCs/>
          <w:color w:val="auto"/>
          <w:kern w:val="0"/>
          <w:sz w:val="32"/>
          <w:highlight w:val="none"/>
          <w:lang w:val="en-US" w:eastAsia="zh-CN"/>
        </w:rPr>
        <w:t>31</w:t>
      </w:r>
      <w:r>
        <w:rPr>
          <w:rFonts w:hint="eastAsia" w:ascii="宋体" w:hAnsi="宋体" w:cs="宋体"/>
          <w:b/>
          <w:bCs/>
          <w:color w:val="auto"/>
          <w:kern w:val="0"/>
          <w:sz w:val="32"/>
          <w:highlight w:val="none"/>
          <w:lang w:val="en-GB"/>
        </w:rPr>
        <w:t>日</w:t>
      </w:r>
    </w:p>
    <w:p>
      <w:pPr>
        <w:pStyle w:val="19"/>
        <w:pageBreakBefore w:val="0"/>
        <w:kinsoku/>
        <w:wordWrap w:val="0"/>
        <w:topLinePunct w:val="0"/>
        <w:bidi w:val="0"/>
        <w:spacing w:line="420" w:lineRule="exact"/>
        <w:ind w:firstLine="880"/>
        <w:jc w:val="center"/>
        <w:rPr>
          <w:rFonts w:hAnsi="宋体" w:cs="宋体"/>
          <w:color w:val="auto"/>
          <w:kern w:val="0"/>
          <w:sz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720" w:footer="720" w:gutter="0"/>
          <w:pgNumType w:fmt="decimal" w:start="1"/>
          <w:cols w:space="720" w:num="1"/>
          <w:docGrid w:type="linesAndChars" w:linePitch="331" w:charSpace="0"/>
        </w:sectPr>
      </w:pPr>
    </w:p>
    <w:p>
      <w:pPr>
        <w:pStyle w:val="19"/>
        <w:pageBreakBefore w:val="0"/>
        <w:tabs>
          <w:tab w:val="left" w:pos="8860"/>
          <w:tab w:val="left" w:pos="9140"/>
        </w:tabs>
        <w:kinsoku/>
        <w:wordWrap w:val="0"/>
        <w:topLinePunct w:val="0"/>
        <w:bidi w:val="0"/>
        <w:ind w:firstLine="640"/>
        <w:rPr>
          <w:rFonts w:hAnsi="宋体" w:cs="宋体"/>
          <w:color w:val="auto"/>
          <w:kern w:val="0"/>
          <w:sz w:val="32"/>
          <w:highlight w:val="none"/>
        </w:rPr>
      </w:pPr>
    </w:p>
    <w:p>
      <w:pPr>
        <w:pageBreakBefore w:val="0"/>
        <w:kinsoku/>
        <w:wordWrap w:val="0"/>
        <w:topLinePunct w:val="0"/>
        <w:bidi w:val="0"/>
        <w:ind w:firstLine="1332"/>
        <w:jc w:val="center"/>
        <w:rPr>
          <w:color w:val="auto"/>
          <w:spacing w:val="113"/>
          <w:sz w:val="44"/>
          <w:szCs w:val="44"/>
          <w:highlight w:val="none"/>
        </w:rPr>
      </w:pPr>
      <w:r>
        <w:rPr>
          <w:rFonts w:ascii="宋体" w:hAnsi="宋体"/>
          <w:color w:val="auto"/>
          <w:spacing w:val="113"/>
          <w:sz w:val="44"/>
          <w:szCs w:val="44"/>
          <w:highlight w:val="none"/>
        </w:rPr>
        <w:t>目录</w:t>
      </w:r>
    </w:p>
    <w:p>
      <w:pPr>
        <w:pStyle w:val="25"/>
        <w:keepNext w:val="0"/>
        <w:keepLines w:val="0"/>
        <w:pageBreakBefore w:val="0"/>
        <w:widowControl w:val="0"/>
        <w:tabs>
          <w:tab w:val="right" w:leader="dot" w:pos="9747"/>
          <w:tab w:val="clear" w:pos="9746"/>
        </w:tabs>
        <w:kinsoku/>
        <w:wordWrap/>
        <w:overflowPunct/>
        <w:topLinePunct w:val="0"/>
        <w:autoSpaceDE/>
        <w:autoSpaceDN/>
        <w:bidi w:val="0"/>
        <w:adjustRightInd/>
        <w:snapToGrid/>
        <w:spacing w:line="520" w:lineRule="exact"/>
        <w:ind w:firstLine="561"/>
        <w:textAlignment w:val="auto"/>
        <w:rPr>
          <w:color w:val="auto"/>
          <w:highlight w:val="none"/>
        </w:rPr>
      </w:pPr>
      <w:r>
        <w:rPr>
          <w:rFonts w:hint="eastAsia" w:ascii="宋体" w:hAnsi="宋体"/>
          <w:color w:val="auto"/>
          <w:sz w:val="32"/>
          <w:szCs w:val="32"/>
          <w:highlight w:val="none"/>
        </w:rPr>
        <w:fldChar w:fldCharType="begin"/>
      </w:r>
      <w:r>
        <w:rPr>
          <w:rFonts w:hint="eastAsia" w:ascii="宋体" w:hAnsi="宋体"/>
          <w:color w:val="auto"/>
          <w:sz w:val="32"/>
          <w:szCs w:val="32"/>
          <w:highlight w:val="none"/>
        </w:rPr>
        <w:instrText xml:space="preserve">TOC \o "1-1" \h \u </w:instrText>
      </w:r>
      <w:r>
        <w:rPr>
          <w:rFonts w:hint="eastAsia" w:ascii="宋体" w:hAnsi="宋体"/>
          <w:color w:val="auto"/>
          <w:sz w:val="32"/>
          <w:szCs w:val="32"/>
          <w:highlight w:val="none"/>
        </w:rPr>
        <w:fldChar w:fldCharType="separate"/>
      </w:r>
      <w:r>
        <w:rPr>
          <w:rFonts w:hint="eastAsia" w:ascii="宋体" w:hAnsi="宋体"/>
          <w:color w:val="auto"/>
          <w:szCs w:val="32"/>
          <w:highlight w:val="none"/>
        </w:rPr>
        <w:fldChar w:fldCharType="begin"/>
      </w:r>
      <w:r>
        <w:rPr>
          <w:rFonts w:hint="eastAsia" w:ascii="宋体" w:hAnsi="宋体"/>
          <w:color w:val="auto"/>
          <w:szCs w:val="32"/>
          <w:highlight w:val="none"/>
        </w:rPr>
        <w:instrText xml:space="preserve"> HYPERLINK \l _Toc20642 </w:instrText>
      </w:r>
      <w:r>
        <w:rPr>
          <w:rFonts w:hint="eastAsia" w:ascii="宋体" w:hAnsi="宋体"/>
          <w:color w:val="auto"/>
          <w:szCs w:val="32"/>
          <w:highlight w:val="none"/>
        </w:rPr>
        <w:fldChar w:fldCharType="separate"/>
      </w:r>
      <w:r>
        <w:rPr>
          <w:rFonts w:hint="default" w:ascii="宋体" w:hAnsi="宋体" w:cs="宋体"/>
          <w:color w:val="auto"/>
          <w:kern w:val="0"/>
          <w:szCs w:val="32"/>
          <w:highlight w:val="none"/>
        </w:rPr>
        <w:t>第一章</w:t>
      </w:r>
      <w:r>
        <w:rPr>
          <w:rFonts w:hint="eastAsia" w:ascii="宋体" w:hAnsi="宋体" w:cs="宋体"/>
          <w:color w:val="auto"/>
          <w:kern w:val="0"/>
          <w:szCs w:val="32"/>
          <w:highlight w:val="none"/>
          <w:lang w:eastAsia="zh-CN"/>
        </w:rPr>
        <w:t>、</w:t>
      </w:r>
      <w:r>
        <w:rPr>
          <w:rFonts w:hint="eastAsia" w:ascii="宋体" w:hAnsi="宋体" w:cs="宋体"/>
          <w:color w:val="auto"/>
          <w:kern w:val="0"/>
          <w:szCs w:val="32"/>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_Toc20642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olor w:val="auto"/>
          <w:szCs w:val="32"/>
          <w:highlight w:val="none"/>
        </w:rPr>
        <w:fldChar w:fldCharType="end"/>
      </w:r>
    </w:p>
    <w:p>
      <w:pPr>
        <w:pStyle w:val="25"/>
        <w:keepNext w:val="0"/>
        <w:keepLines w:val="0"/>
        <w:pageBreakBefore w:val="0"/>
        <w:widowControl w:val="0"/>
        <w:tabs>
          <w:tab w:val="right" w:leader="dot" w:pos="9747"/>
          <w:tab w:val="clear" w:pos="9746"/>
        </w:tabs>
        <w:kinsoku/>
        <w:wordWrap/>
        <w:overflowPunct/>
        <w:topLinePunct w:val="0"/>
        <w:autoSpaceDE/>
        <w:autoSpaceDN/>
        <w:bidi w:val="0"/>
        <w:adjustRightInd/>
        <w:snapToGrid/>
        <w:spacing w:line="520" w:lineRule="exact"/>
        <w:ind w:firstLine="561"/>
        <w:textAlignment w:val="auto"/>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_Toc25353 </w:instrText>
      </w:r>
      <w:r>
        <w:rPr>
          <w:rFonts w:hint="eastAsia" w:ascii="宋体" w:hAnsi="宋体" w:cs="宋体"/>
          <w:color w:val="auto"/>
          <w:szCs w:val="32"/>
          <w:highlight w:val="none"/>
        </w:rPr>
        <w:fldChar w:fldCharType="separate"/>
      </w:r>
      <w:r>
        <w:rPr>
          <w:rFonts w:hint="default" w:ascii="宋体" w:hAnsi="宋体" w:cs="宋体"/>
          <w:color w:val="auto"/>
          <w:kern w:val="0"/>
          <w:szCs w:val="32"/>
          <w:highlight w:val="none"/>
        </w:rPr>
        <w:t>第二章</w:t>
      </w:r>
      <w:r>
        <w:rPr>
          <w:rFonts w:hint="eastAsia" w:ascii="宋体" w:hAnsi="宋体" w:cs="宋体"/>
          <w:color w:val="auto"/>
          <w:kern w:val="0"/>
          <w:szCs w:val="32"/>
          <w:highlight w:val="none"/>
          <w:lang w:eastAsia="zh-CN"/>
        </w:rPr>
        <w:t>、</w:t>
      </w:r>
      <w:r>
        <w:rPr>
          <w:rFonts w:hint="eastAsia" w:ascii="宋体" w:hAnsi="宋体" w:cs="宋体"/>
          <w:color w:val="auto"/>
          <w:kern w:val="0"/>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_Toc25353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szCs w:val="32"/>
          <w:highlight w:val="none"/>
        </w:rPr>
        <w:fldChar w:fldCharType="end"/>
      </w:r>
    </w:p>
    <w:p>
      <w:pPr>
        <w:pStyle w:val="25"/>
        <w:keepNext w:val="0"/>
        <w:keepLines w:val="0"/>
        <w:pageBreakBefore w:val="0"/>
        <w:widowControl w:val="0"/>
        <w:tabs>
          <w:tab w:val="right" w:leader="dot" w:pos="9747"/>
          <w:tab w:val="clear" w:pos="9746"/>
        </w:tabs>
        <w:kinsoku/>
        <w:wordWrap/>
        <w:overflowPunct/>
        <w:topLinePunct w:val="0"/>
        <w:autoSpaceDE/>
        <w:autoSpaceDN/>
        <w:bidi w:val="0"/>
        <w:adjustRightInd/>
        <w:snapToGrid/>
        <w:spacing w:line="520" w:lineRule="exact"/>
        <w:ind w:firstLine="561"/>
        <w:textAlignment w:val="auto"/>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_Toc26019 </w:instrText>
      </w:r>
      <w:r>
        <w:rPr>
          <w:rFonts w:hint="eastAsia" w:ascii="宋体" w:hAnsi="宋体" w:cs="宋体"/>
          <w:color w:val="auto"/>
          <w:szCs w:val="32"/>
          <w:highlight w:val="none"/>
        </w:rPr>
        <w:fldChar w:fldCharType="separate"/>
      </w:r>
      <w:r>
        <w:rPr>
          <w:rFonts w:hint="eastAsia" w:ascii="宋体" w:hAnsi="宋体" w:cs="宋体"/>
          <w:color w:val="auto"/>
          <w:kern w:val="0"/>
          <w:szCs w:val="32"/>
          <w:highlight w:val="none"/>
        </w:rPr>
        <w:t>第三章</w:t>
      </w:r>
      <w:r>
        <w:rPr>
          <w:rFonts w:hint="eastAsia" w:ascii="宋体" w:hAnsi="宋体" w:cs="宋体"/>
          <w:color w:val="auto"/>
          <w:kern w:val="0"/>
          <w:szCs w:val="32"/>
          <w:highlight w:val="none"/>
          <w:lang w:eastAsia="zh-CN"/>
        </w:rPr>
        <w:t>、监理服务需求</w:t>
      </w:r>
      <w:r>
        <w:rPr>
          <w:color w:val="auto"/>
          <w:highlight w:val="none"/>
        </w:rPr>
        <w:tab/>
      </w:r>
      <w:r>
        <w:rPr>
          <w:color w:val="auto"/>
          <w:highlight w:val="none"/>
        </w:rPr>
        <w:fldChar w:fldCharType="begin"/>
      </w:r>
      <w:r>
        <w:rPr>
          <w:color w:val="auto"/>
          <w:highlight w:val="none"/>
        </w:rPr>
        <w:instrText xml:space="preserve"> PAGEREF _Toc26019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szCs w:val="32"/>
          <w:highlight w:val="none"/>
        </w:rPr>
        <w:fldChar w:fldCharType="end"/>
      </w:r>
    </w:p>
    <w:p>
      <w:pPr>
        <w:pStyle w:val="25"/>
        <w:keepNext w:val="0"/>
        <w:keepLines w:val="0"/>
        <w:pageBreakBefore w:val="0"/>
        <w:widowControl w:val="0"/>
        <w:tabs>
          <w:tab w:val="right" w:leader="dot" w:pos="9747"/>
          <w:tab w:val="clear" w:pos="9746"/>
        </w:tabs>
        <w:kinsoku/>
        <w:wordWrap/>
        <w:overflowPunct/>
        <w:topLinePunct w:val="0"/>
        <w:autoSpaceDE/>
        <w:autoSpaceDN/>
        <w:bidi w:val="0"/>
        <w:adjustRightInd/>
        <w:snapToGrid/>
        <w:spacing w:line="520" w:lineRule="exact"/>
        <w:ind w:firstLine="561"/>
        <w:textAlignment w:val="auto"/>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_Toc24729 </w:instrText>
      </w:r>
      <w:r>
        <w:rPr>
          <w:rFonts w:hint="eastAsia" w:ascii="宋体" w:hAnsi="宋体" w:cs="宋体"/>
          <w:color w:val="auto"/>
          <w:szCs w:val="32"/>
          <w:highlight w:val="none"/>
        </w:rPr>
        <w:fldChar w:fldCharType="separate"/>
      </w:r>
      <w:r>
        <w:rPr>
          <w:rFonts w:hint="eastAsia" w:ascii="宋体" w:hAnsi="宋体" w:cs="宋体"/>
          <w:color w:val="auto"/>
          <w:kern w:val="0"/>
          <w:highlight w:val="none"/>
        </w:rPr>
        <w:t>第四章</w:t>
      </w:r>
      <w:r>
        <w:rPr>
          <w:rFonts w:hint="eastAsia" w:ascii="宋体" w:hAnsi="宋体" w:cs="宋体"/>
          <w:color w:val="auto"/>
          <w:kern w:val="0"/>
          <w:highlight w:val="none"/>
          <w:lang w:eastAsia="zh-CN"/>
        </w:rPr>
        <w:t>、</w:t>
      </w:r>
      <w:r>
        <w:rPr>
          <w:rFonts w:hint="eastAsia" w:ascii="宋体" w:hAnsi="宋体" w:cs="宋体"/>
          <w:color w:val="auto"/>
          <w:kern w:val="0"/>
          <w:szCs w:val="32"/>
          <w:highlight w:val="none"/>
        </w:rPr>
        <w:t>评审办法</w:t>
      </w:r>
      <w:r>
        <w:rPr>
          <w:color w:val="auto"/>
          <w:highlight w:val="none"/>
        </w:rPr>
        <w:tab/>
      </w:r>
      <w:r>
        <w:rPr>
          <w:color w:val="auto"/>
          <w:highlight w:val="none"/>
        </w:rPr>
        <w:fldChar w:fldCharType="begin"/>
      </w:r>
      <w:r>
        <w:rPr>
          <w:color w:val="auto"/>
          <w:highlight w:val="none"/>
        </w:rPr>
        <w:instrText xml:space="preserve"> PAGEREF _Toc24729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szCs w:val="32"/>
          <w:highlight w:val="none"/>
        </w:rPr>
        <w:fldChar w:fldCharType="end"/>
      </w:r>
    </w:p>
    <w:p>
      <w:pPr>
        <w:pStyle w:val="25"/>
        <w:keepNext w:val="0"/>
        <w:keepLines w:val="0"/>
        <w:pageBreakBefore w:val="0"/>
        <w:widowControl w:val="0"/>
        <w:tabs>
          <w:tab w:val="right" w:leader="dot" w:pos="9747"/>
          <w:tab w:val="clear" w:pos="9746"/>
        </w:tabs>
        <w:kinsoku/>
        <w:wordWrap/>
        <w:overflowPunct/>
        <w:topLinePunct w:val="0"/>
        <w:autoSpaceDE/>
        <w:autoSpaceDN/>
        <w:bidi w:val="0"/>
        <w:adjustRightInd/>
        <w:snapToGrid/>
        <w:spacing w:line="520" w:lineRule="exact"/>
        <w:ind w:firstLine="561"/>
        <w:textAlignment w:val="auto"/>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_Toc5847 </w:instrText>
      </w:r>
      <w:r>
        <w:rPr>
          <w:rFonts w:hint="eastAsia" w:ascii="宋体" w:hAnsi="宋体" w:cs="宋体"/>
          <w:color w:val="auto"/>
          <w:szCs w:val="32"/>
          <w:highlight w:val="none"/>
        </w:rPr>
        <w:fldChar w:fldCharType="separate"/>
      </w:r>
      <w:r>
        <w:rPr>
          <w:rFonts w:ascii="宋体" w:hAnsi="宋体" w:eastAsia="宋体" w:cs="宋体"/>
          <w:bCs/>
          <w:color w:val="auto"/>
          <w:spacing w:val="4"/>
          <w:szCs w:val="43"/>
          <w:highlight w:val="none"/>
        </w:rPr>
        <w:t>第五章</w:t>
      </w:r>
      <w:r>
        <w:rPr>
          <w:rFonts w:hint="eastAsia" w:ascii="宋体" w:hAnsi="宋体" w:eastAsia="宋体" w:cs="宋体"/>
          <w:color w:val="auto"/>
          <w:spacing w:val="4"/>
          <w:szCs w:val="43"/>
          <w:highlight w:val="none"/>
          <w:lang w:eastAsia="zh-CN"/>
        </w:rPr>
        <w:t>、</w:t>
      </w:r>
      <w:r>
        <w:rPr>
          <w:rFonts w:ascii="宋体" w:hAnsi="宋体" w:eastAsia="宋体" w:cs="宋体"/>
          <w:bCs/>
          <w:color w:val="auto"/>
          <w:spacing w:val="4"/>
          <w:szCs w:val="43"/>
          <w:highlight w:val="none"/>
        </w:rPr>
        <w:t>采购合同</w:t>
      </w:r>
      <w:r>
        <w:rPr>
          <w:color w:val="auto"/>
          <w:highlight w:val="none"/>
        </w:rPr>
        <w:tab/>
      </w:r>
      <w:r>
        <w:rPr>
          <w:color w:val="auto"/>
          <w:highlight w:val="none"/>
        </w:rPr>
        <w:fldChar w:fldCharType="begin"/>
      </w:r>
      <w:r>
        <w:rPr>
          <w:color w:val="auto"/>
          <w:highlight w:val="none"/>
        </w:rPr>
        <w:instrText xml:space="preserve"> PAGEREF _Toc5847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szCs w:val="32"/>
          <w:highlight w:val="none"/>
        </w:rPr>
        <w:fldChar w:fldCharType="end"/>
      </w:r>
    </w:p>
    <w:p>
      <w:pPr>
        <w:pStyle w:val="25"/>
        <w:keepNext w:val="0"/>
        <w:keepLines w:val="0"/>
        <w:pageBreakBefore w:val="0"/>
        <w:widowControl w:val="0"/>
        <w:tabs>
          <w:tab w:val="right" w:leader="dot" w:pos="9747"/>
          <w:tab w:val="clear" w:pos="9746"/>
        </w:tabs>
        <w:kinsoku/>
        <w:wordWrap/>
        <w:overflowPunct/>
        <w:topLinePunct w:val="0"/>
        <w:autoSpaceDE/>
        <w:autoSpaceDN/>
        <w:bidi w:val="0"/>
        <w:adjustRightInd/>
        <w:snapToGrid/>
        <w:spacing w:line="520" w:lineRule="exact"/>
        <w:ind w:firstLine="561"/>
        <w:textAlignment w:val="auto"/>
        <w:rPr>
          <w:color w:val="auto"/>
          <w:highlight w:val="none"/>
        </w:rPr>
      </w:pPr>
      <w:r>
        <w:rPr>
          <w:rFonts w:hint="eastAsia" w:ascii="宋体" w:hAnsi="宋体" w:cs="宋体"/>
          <w:color w:val="auto"/>
          <w:szCs w:val="32"/>
          <w:highlight w:val="none"/>
        </w:rPr>
        <w:fldChar w:fldCharType="begin"/>
      </w:r>
      <w:r>
        <w:rPr>
          <w:rFonts w:hint="eastAsia" w:ascii="宋体" w:hAnsi="宋体" w:cs="宋体"/>
          <w:color w:val="auto"/>
          <w:szCs w:val="32"/>
          <w:highlight w:val="none"/>
        </w:rPr>
        <w:instrText xml:space="preserve"> HYPERLINK \l _Toc12394 </w:instrText>
      </w:r>
      <w:r>
        <w:rPr>
          <w:rFonts w:hint="eastAsia" w:ascii="宋体" w:hAnsi="宋体" w:cs="宋体"/>
          <w:color w:val="auto"/>
          <w:szCs w:val="32"/>
          <w:highlight w:val="none"/>
        </w:rPr>
        <w:fldChar w:fldCharType="separate"/>
      </w:r>
      <w:r>
        <w:rPr>
          <w:rFonts w:hint="eastAsia" w:ascii="宋体" w:hAnsi="宋体" w:cs="宋体"/>
          <w:color w:val="auto"/>
          <w:kern w:val="0"/>
          <w:szCs w:val="32"/>
          <w:highlight w:val="none"/>
        </w:rPr>
        <w:t>第六章</w:t>
      </w:r>
      <w:r>
        <w:rPr>
          <w:rFonts w:hint="eastAsia" w:ascii="宋体" w:hAnsi="宋体" w:cs="宋体"/>
          <w:color w:val="auto"/>
          <w:kern w:val="0"/>
          <w:szCs w:val="32"/>
          <w:highlight w:val="none"/>
          <w:lang w:eastAsia="zh-CN"/>
        </w:rPr>
        <w:t>、</w:t>
      </w:r>
      <w:r>
        <w:rPr>
          <w:rFonts w:hint="eastAsia" w:ascii="宋体" w:hAnsi="宋体" w:cs="宋体"/>
          <w:color w:val="auto"/>
          <w:kern w:val="0"/>
          <w:szCs w:val="32"/>
          <w:highlight w:val="none"/>
        </w:rPr>
        <w:t>响应文件（格式）</w:t>
      </w:r>
      <w:r>
        <w:rPr>
          <w:color w:val="auto"/>
          <w:highlight w:val="none"/>
        </w:rPr>
        <w:tab/>
      </w:r>
      <w:r>
        <w:rPr>
          <w:color w:val="auto"/>
          <w:highlight w:val="none"/>
        </w:rPr>
        <w:fldChar w:fldCharType="begin"/>
      </w:r>
      <w:r>
        <w:rPr>
          <w:color w:val="auto"/>
          <w:highlight w:val="none"/>
        </w:rPr>
        <w:instrText xml:space="preserve"> PAGEREF _Toc12394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szCs w:val="32"/>
          <w:highlight w:val="none"/>
        </w:rPr>
        <w:fldChar w:fldCharType="end"/>
      </w:r>
    </w:p>
    <w:p>
      <w:pPr>
        <w:pageBreakBefore w:val="0"/>
        <w:kinsoku/>
        <w:wordWrap w:val="0"/>
        <w:topLinePunct w:val="0"/>
        <w:bidi w:val="0"/>
        <w:rPr>
          <w:color w:val="auto"/>
          <w:highlight w:val="none"/>
        </w:rPr>
      </w:pPr>
      <w:r>
        <w:rPr>
          <w:rFonts w:hint="eastAsia" w:ascii="宋体" w:hAnsi="宋体" w:cs="宋体"/>
          <w:color w:val="auto"/>
          <w:szCs w:val="32"/>
          <w:highlight w:val="none"/>
        </w:rPr>
        <w:fldChar w:fldCharType="end"/>
      </w:r>
    </w:p>
    <w:p>
      <w:pPr>
        <w:pageBreakBefore w:val="0"/>
        <w:kinsoku/>
        <w:wordWrap w:val="0"/>
        <w:topLinePunct w:val="0"/>
        <w:bidi w:val="0"/>
        <w:ind w:firstLine="2730" w:firstLineChars="1300"/>
        <w:rPr>
          <w:rFonts w:ascii="宋体" w:hAnsi="宋体" w:cs="宋体"/>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pageBreakBefore w:val="0"/>
        <w:kinsoku/>
        <w:wordWrap w:val="0"/>
        <w:topLinePunct w:val="0"/>
        <w:bidi w:val="0"/>
        <w:ind w:firstLine="2730" w:firstLineChars="1300"/>
        <w:rPr>
          <w:color w:val="auto"/>
          <w:kern w:val="0"/>
          <w:szCs w:val="21"/>
          <w:highlight w:val="none"/>
        </w:rPr>
      </w:pPr>
    </w:p>
    <w:p>
      <w:pPr>
        <w:rPr>
          <w:color w:val="auto"/>
          <w:highlight w:val="none"/>
        </w:rPr>
      </w:pPr>
      <w:r>
        <w:rPr>
          <w:color w:val="auto"/>
          <w:highlight w:val="none"/>
        </w:rPr>
        <w:br w:type="page"/>
      </w:r>
    </w:p>
    <w:p>
      <w:pPr>
        <w:pageBreakBefore w:val="0"/>
        <w:kinsoku/>
        <w:wordWrap w:val="0"/>
        <w:topLinePunct w:val="0"/>
        <w:bidi w:val="0"/>
        <w:rPr>
          <w:color w:val="auto"/>
          <w:kern w:val="0"/>
          <w:szCs w:val="21"/>
          <w:highlight w:val="none"/>
        </w:rPr>
      </w:pPr>
    </w:p>
    <w:p>
      <w:pPr>
        <w:pageBreakBefore w:val="0"/>
        <w:numPr>
          <w:ilvl w:val="0"/>
          <w:numId w:val="1"/>
        </w:numPr>
        <w:kinsoku/>
        <w:wordWrap w:val="0"/>
        <w:topLinePunct w:val="0"/>
        <w:bidi w:val="0"/>
        <w:spacing w:line="480" w:lineRule="exact"/>
        <w:ind w:left="454" w:firstLine="643"/>
        <w:jc w:val="center"/>
        <w:outlineLvl w:val="0"/>
        <w:rPr>
          <w:rFonts w:ascii="宋体" w:hAnsi="宋体" w:cs="宋体"/>
          <w:b/>
          <w:color w:val="auto"/>
          <w:kern w:val="0"/>
          <w:sz w:val="32"/>
          <w:szCs w:val="32"/>
          <w:highlight w:val="none"/>
        </w:rPr>
      </w:pPr>
      <w:bookmarkStart w:id="0" w:name="_Toc20642"/>
      <w:r>
        <w:rPr>
          <w:rFonts w:hint="eastAsia" w:ascii="宋体" w:hAnsi="宋体" w:cs="宋体"/>
          <w:b/>
          <w:color w:val="auto"/>
          <w:kern w:val="0"/>
          <w:sz w:val="32"/>
          <w:szCs w:val="32"/>
          <w:highlight w:val="none"/>
        </w:rPr>
        <w:t>竞争性磋商公告</w:t>
      </w:r>
      <w:bookmarkEnd w:id="0"/>
    </w:p>
    <w:p>
      <w:pPr>
        <w:pageBreakBefore w:val="0"/>
        <w:pBdr>
          <w:top w:val="single" w:color="auto" w:sz="4" w:space="1"/>
          <w:left w:val="single" w:color="auto" w:sz="4" w:space="4"/>
          <w:bottom w:val="single" w:color="auto" w:sz="4" w:space="1"/>
          <w:right w:val="single" w:color="auto" w:sz="4" w:space="4"/>
        </w:pBdr>
        <w:kinsoku/>
        <w:wordWrap w:val="0"/>
        <w:topLinePunct w:val="0"/>
        <w:bidi w:val="0"/>
        <w:spacing w:line="320" w:lineRule="exact"/>
        <w:ind w:firstLine="420" w:firstLineChars="200"/>
        <w:rPr>
          <w:rFonts w:ascii="宋体" w:hAnsi="宋体" w:cs="宋体"/>
          <w:color w:val="auto"/>
          <w:highlight w:val="none"/>
        </w:rPr>
      </w:pPr>
      <w:bookmarkStart w:id="1" w:name="_Hlk37430271"/>
      <w:r>
        <w:rPr>
          <w:rFonts w:hint="eastAsia" w:ascii="宋体" w:hAnsi="宋体" w:cs="宋体"/>
          <w:color w:val="auto"/>
          <w:highlight w:val="none"/>
        </w:rPr>
        <w:t>项目概况</w:t>
      </w:r>
    </w:p>
    <w:p>
      <w:pPr>
        <w:pageBreakBefore w:val="0"/>
        <w:pBdr>
          <w:top w:val="single" w:color="auto" w:sz="4" w:space="1"/>
          <w:left w:val="single" w:color="auto" w:sz="4" w:space="4"/>
          <w:bottom w:val="single" w:color="auto" w:sz="4" w:space="1"/>
          <w:right w:val="single" w:color="auto" w:sz="4" w:space="4"/>
        </w:pBdr>
        <w:kinsoku/>
        <w:wordWrap w:val="0"/>
        <w:topLinePunct w:val="0"/>
        <w:bidi w:val="0"/>
        <w:spacing w:line="360" w:lineRule="exact"/>
        <w:ind w:firstLine="420" w:firstLineChars="200"/>
        <w:rPr>
          <w:rFonts w:ascii="宋体" w:hAnsi="宋体" w:cs="宋体"/>
          <w:color w:val="auto"/>
          <w:highlight w:val="none"/>
        </w:rPr>
      </w:pPr>
      <w:r>
        <w:rPr>
          <w:rFonts w:hint="eastAsia" w:ascii="宋体" w:hAnsi="宋体" w:cs="宋体"/>
          <w:color w:val="auto"/>
          <w:highlight w:val="none"/>
          <w:lang w:eastAsia="zh-CN"/>
        </w:rPr>
        <w:t>桂林市秀峰区甲山村委老庙山等6处危岩地质灾害治理工程监理服务</w:t>
      </w:r>
      <w:r>
        <w:rPr>
          <w:rFonts w:hint="eastAsia" w:ascii="宋体" w:hAnsi="宋体" w:cs="宋体"/>
          <w:color w:val="auto"/>
          <w:highlight w:val="none"/>
        </w:rPr>
        <w:t>的潜在供应商应在</w:t>
      </w:r>
      <w:r>
        <w:rPr>
          <w:color w:val="auto"/>
          <w:highlight w:val="none"/>
        </w:rPr>
        <w:fldChar w:fldCharType="begin"/>
      </w:r>
      <w:r>
        <w:rPr>
          <w:color w:val="auto"/>
          <w:highlight w:val="none"/>
        </w:rPr>
        <w:instrText xml:space="preserve"> HYPERLINK "https://www.zcygov.cn）获取竞争性磋商文件，并于2022年" </w:instrText>
      </w:r>
      <w:r>
        <w:rPr>
          <w:color w:val="auto"/>
          <w:highlight w:val="none"/>
        </w:rPr>
        <w:fldChar w:fldCharType="separate"/>
      </w:r>
      <w:r>
        <w:rPr>
          <w:rFonts w:hint="eastAsia" w:ascii="宋体" w:hAnsi="宋体" w:cs="宋体"/>
          <w:color w:val="auto"/>
          <w:highlight w:val="none"/>
        </w:rPr>
        <w:t>“广西政府采购云”平台（</w:t>
      </w:r>
      <w:r>
        <w:rPr>
          <w:rFonts w:hint="eastAsia" w:ascii="宋体" w:hAnsi="宋体" w:cs="宋体"/>
          <w:color w:val="auto"/>
          <w:highlight w:val="none"/>
          <w:lang w:eastAsia="zh-CN"/>
        </w:rPr>
        <w:t>https://login.gcy.zfcg.gxzf.gov.cn/user-login/#/</w:t>
      </w:r>
      <w:r>
        <w:rPr>
          <w:rFonts w:hint="eastAsia" w:ascii="宋体" w:hAnsi="宋体" w:cs="宋体"/>
          <w:color w:val="auto"/>
          <w:highlight w:val="none"/>
        </w:rPr>
        <w:t>）获取采购文件，并于2024年</w:t>
      </w:r>
      <w:r>
        <w:rPr>
          <w:rFonts w:hint="eastAsia" w:ascii="宋体" w:hAnsi="宋体" w:cs="宋体"/>
          <w:color w:val="auto"/>
          <w:highlight w:val="none"/>
        </w:rPr>
        <w:fldChar w:fldCharType="end"/>
      </w:r>
      <w:r>
        <w:rPr>
          <w:rFonts w:hint="eastAsia" w:ascii="宋体" w:hAnsi="宋体" w:cs="宋体"/>
          <w:color w:val="auto"/>
          <w:highlight w:val="none"/>
          <w:lang w:val="en-US" w:eastAsia="zh-CN"/>
        </w:rPr>
        <w:t>6</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日9:30</w:t>
      </w:r>
      <w:r>
        <w:rPr>
          <w:rFonts w:hint="eastAsia" w:ascii="宋体" w:hAnsi="宋体" w:cs="宋体"/>
          <w:color w:val="auto"/>
          <w:highlight w:val="none"/>
        </w:rPr>
        <w:t>（北京时间）前提交响应文件。</w:t>
      </w:r>
    </w:p>
    <w:bookmarkEnd w:id="1"/>
    <w:p>
      <w:pPr>
        <w:pStyle w:val="128"/>
        <w:pageBreakBefore w:val="0"/>
        <w:kinsoku/>
        <w:wordWrap w:val="0"/>
        <w:topLinePunct w:val="0"/>
        <w:bidi w:val="0"/>
        <w:spacing w:line="400" w:lineRule="exact"/>
        <w:ind w:firstLine="422"/>
        <w:rPr>
          <w:rFonts w:ascii="宋体" w:hAnsi="宋体" w:eastAsia="宋体" w:cs="宋体"/>
          <w:b/>
          <w:bCs/>
          <w:color w:val="auto"/>
          <w:kern w:val="2"/>
          <w:sz w:val="21"/>
          <w:szCs w:val="21"/>
          <w:highlight w:val="none"/>
        </w:rPr>
      </w:pPr>
      <w:bookmarkStart w:id="2" w:name="_Toc35393629"/>
      <w:bookmarkStart w:id="3" w:name="_Toc28359012"/>
      <w:bookmarkStart w:id="4" w:name="_Toc35393798"/>
      <w:bookmarkStart w:id="5" w:name="_Toc28359089"/>
      <w:bookmarkStart w:id="6" w:name="_Toc44229878"/>
      <w:bookmarkStart w:id="7" w:name="_Toc44405619"/>
      <w:r>
        <w:rPr>
          <w:rFonts w:hint="eastAsia" w:ascii="宋体" w:hAnsi="宋体" w:eastAsia="宋体" w:cs="宋体"/>
          <w:b/>
          <w:bCs/>
          <w:color w:val="auto"/>
          <w:kern w:val="2"/>
          <w:sz w:val="21"/>
          <w:szCs w:val="21"/>
          <w:highlight w:val="none"/>
        </w:rPr>
        <w:t>一、项目基本情况</w:t>
      </w:r>
      <w:bookmarkEnd w:id="2"/>
      <w:bookmarkEnd w:id="3"/>
      <w:bookmarkEnd w:id="4"/>
      <w:bookmarkEnd w:id="5"/>
    </w:p>
    <w:p>
      <w:pPr>
        <w:pageBreakBefore w:val="0"/>
        <w:kinsoku/>
        <w:wordWrap w:val="0"/>
        <w:topLinePunct w:val="0"/>
        <w:bidi w:val="0"/>
        <w:spacing w:line="380" w:lineRule="exact"/>
        <w:ind w:firstLine="420"/>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GLZC2024-C3-990529-HCDZ</w:t>
      </w:r>
    </w:p>
    <w:p>
      <w:pPr>
        <w:pageBreakBefore w:val="0"/>
        <w:kinsoku/>
        <w:wordWrap w:val="0"/>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桂林市秀峰区甲山村委老庙山等6处危岩地质灾害治理工程监理服务</w:t>
      </w:r>
    </w:p>
    <w:p>
      <w:pPr>
        <w:pageBreakBefore w:val="0"/>
        <w:kinsoku/>
        <w:wordWrap w:val="0"/>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 竞争性磋商</w:t>
      </w:r>
    </w:p>
    <w:p>
      <w:pPr>
        <w:pageBreakBefore w:val="0"/>
        <w:kinsoku/>
        <w:wordWrap w:val="0"/>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预算总金额（元）：</w:t>
      </w:r>
      <w:r>
        <w:rPr>
          <w:rFonts w:hint="eastAsia" w:ascii="宋体" w:hAnsi="宋体" w:cs="宋体"/>
          <w:color w:val="auto"/>
          <w:szCs w:val="21"/>
          <w:highlight w:val="none"/>
          <w:lang w:eastAsia="zh-CN"/>
        </w:rPr>
        <w:t>1310214.02</w:t>
      </w:r>
    </w:p>
    <w:p>
      <w:pPr>
        <w:pageBreakBefore w:val="0"/>
        <w:kinsoku/>
        <w:wordWrap w:val="0"/>
        <w:topLinePunct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lang w:eastAsia="zh-CN"/>
        </w:rPr>
        <w:t>需求</w:t>
      </w:r>
      <w:r>
        <w:rPr>
          <w:rFonts w:hint="eastAsia" w:ascii="宋体" w:hAnsi="宋体" w:cs="宋体"/>
          <w:color w:val="auto"/>
          <w:szCs w:val="21"/>
          <w:highlight w:val="none"/>
        </w:rPr>
        <w:t>：</w:t>
      </w:r>
    </w:p>
    <w:p>
      <w:pPr>
        <w:pageBreakBefore w:val="0"/>
        <w:kinsoku/>
        <w:wordWrap w:val="0"/>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桂林市秀峰区甲山村委老庙山等6处危岩地质灾害治理工程监理服务</w:t>
      </w:r>
    </w:p>
    <w:p>
      <w:pPr>
        <w:pageBreakBefore w:val="0"/>
        <w:kinsoku/>
        <w:wordWrap w:val="0"/>
        <w:topLinePunct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数量：1</w:t>
      </w:r>
    </w:p>
    <w:p>
      <w:pPr>
        <w:pageBreakBefore w:val="0"/>
        <w:kinsoku/>
        <w:wordWrap w:val="0"/>
        <w:topLinePunct w:val="0"/>
        <w:bidi w:val="0"/>
        <w:spacing w:line="40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1310214.02</w:t>
      </w:r>
    </w:p>
    <w:p>
      <w:pPr>
        <w:pageBreakBefore w:val="0"/>
        <w:kinsoku/>
        <w:wordWrap w:val="0"/>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桂林市秀峰区甲山村委老庙山等6处危岩地质灾害治理工程监理服务，详见竞争性磋商文件“</w:t>
      </w:r>
      <w:r>
        <w:rPr>
          <w:rFonts w:hint="eastAsia" w:ascii="宋体" w:hAnsi="宋体" w:cs="宋体"/>
          <w:color w:val="auto"/>
          <w:szCs w:val="21"/>
          <w:highlight w:val="none"/>
          <w:lang w:eastAsia="zh-CN"/>
        </w:rPr>
        <w:t>监理服务需求</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pageBreakBefore w:val="0"/>
        <w:kinsoku/>
        <w:wordWrap w:val="0"/>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p>
    <w:p>
      <w:pPr>
        <w:pageBreakBefore w:val="0"/>
        <w:kinsoku/>
        <w:wordWrap w:val="0"/>
        <w:topLinePunct w:val="0"/>
        <w:bidi w:val="0"/>
        <w:spacing w:line="400" w:lineRule="exact"/>
        <w:rPr>
          <w:rFonts w:hint="eastAsia" w:ascii="宋体" w:hAnsi="宋体" w:eastAsia="宋体" w:cs="宋体"/>
          <w:color w:val="auto"/>
          <w:szCs w:val="21"/>
          <w:highlight w:val="none"/>
          <w:lang w:val="en-GB" w:eastAsia="zh-CN"/>
        </w:rPr>
      </w:pPr>
      <w:r>
        <w:rPr>
          <w:rFonts w:hint="eastAsia" w:ascii="宋体" w:hAnsi="宋体" w:cs="宋体"/>
          <w:color w:val="auto"/>
          <w:szCs w:val="21"/>
          <w:highlight w:val="none"/>
        </w:rPr>
        <w:t xml:space="preserve">    合同履约期限：</w:t>
      </w:r>
      <w:r>
        <w:rPr>
          <w:rFonts w:hint="eastAsia" w:ascii="宋体" w:hAnsi="宋体" w:cs="宋体"/>
          <w:color w:val="auto"/>
          <w:highlight w:val="none"/>
          <w:lang w:eastAsia="zh-CN"/>
        </w:rPr>
        <w:t>监理服务期:所有项目开工之日起至全部6个项目通过终验收止。</w:t>
      </w:r>
    </w:p>
    <w:p>
      <w:pPr>
        <w:pageBreakBefore w:val="0"/>
        <w:kinsoku/>
        <w:wordWrap w:val="0"/>
        <w:topLinePunct w:val="0"/>
        <w:bidi w:val="0"/>
        <w:spacing w:line="400" w:lineRule="exact"/>
        <w:ind w:firstLine="420" w:firstLineChars="200"/>
        <w:rPr>
          <w:rFonts w:ascii="宋体" w:hAnsi="宋体" w:cs="宋体"/>
          <w:color w:val="auto"/>
          <w:highlight w:val="none"/>
        </w:rPr>
      </w:pPr>
      <w:bookmarkStart w:id="8" w:name="_Toc35393630"/>
      <w:bookmarkStart w:id="9" w:name="_Toc35393799"/>
      <w:bookmarkStart w:id="10" w:name="_Toc28359090"/>
      <w:bookmarkStart w:id="11" w:name="_Toc28359013"/>
      <w:r>
        <w:rPr>
          <w:rFonts w:hint="eastAsia" w:ascii="宋体" w:hAnsi="宋体" w:cs="宋体"/>
          <w:color w:val="auto"/>
          <w:highlight w:val="none"/>
        </w:rPr>
        <w:t>本标项（否）接受联合体参与磋商。</w:t>
      </w:r>
    </w:p>
    <w:p>
      <w:pPr>
        <w:pageBreakBefore w:val="0"/>
        <w:kinsoku/>
        <w:wordWrap w:val="0"/>
        <w:topLinePunct w:val="0"/>
        <w:bidi w:val="0"/>
        <w:spacing w:afterLines="50" w:line="400" w:lineRule="exact"/>
        <w:ind w:firstLine="420" w:firstLineChars="200"/>
        <w:rPr>
          <w:rFonts w:ascii="宋体" w:hAnsi="宋体" w:cs="宋体"/>
          <w:color w:val="auto"/>
          <w:highlight w:val="none"/>
        </w:rPr>
      </w:pPr>
      <w:r>
        <w:rPr>
          <w:rFonts w:hint="eastAsia" w:ascii="宋体" w:hAnsi="宋体" w:cs="宋体"/>
          <w:color w:val="auto"/>
          <w:highlight w:val="none"/>
        </w:rPr>
        <w:t>备注：</w:t>
      </w:r>
    </w:p>
    <w:p>
      <w:pPr>
        <w:pageBreakBefore w:val="0"/>
        <w:kinsoku/>
        <w:wordWrap w:val="0"/>
        <w:topLinePunct w:val="0"/>
        <w:bidi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bookmarkEnd w:id="8"/>
      <w:bookmarkEnd w:id="9"/>
      <w:bookmarkEnd w:id="10"/>
      <w:bookmarkEnd w:id="11"/>
    </w:p>
    <w:p>
      <w:pPr>
        <w:pageBreakBefore w:val="0"/>
        <w:kinsoku/>
        <w:wordWrap w:val="0"/>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pageBreakBefore w:val="0"/>
        <w:kinsoku/>
        <w:wordWrap w:val="0"/>
        <w:topLinePunct w:val="0"/>
        <w:bidi w:val="0"/>
        <w:spacing w:line="400" w:lineRule="exact"/>
        <w:ind w:firstLine="420" w:firstLineChars="200"/>
        <w:rPr>
          <w:rStyle w:val="83"/>
          <w:rFonts w:ascii="仿宋" w:hAnsi="仿宋"/>
          <w:color w:val="auto"/>
          <w:sz w:val="22"/>
          <w:szCs w:val="22"/>
          <w:highlight w:val="none"/>
        </w:rPr>
      </w:pPr>
      <w:bookmarkStart w:id="12" w:name="_Toc28359091"/>
      <w:bookmarkStart w:id="13" w:name="_Toc28359014"/>
      <w:r>
        <w:rPr>
          <w:rFonts w:hint="eastAsia" w:ascii="宋体" w:hAnsi="宋体" w:cs="宋体"/>
          <w:color w:val="auto"/>
          <w:szCs w:val="21"/>
          <w:highlight w:val="none"/>
        </w:rPr>
        <w:t>2.落实政府采购政策需满足的资格要求：</w:t>
      </w:r>
      <w:r>
        <w:rPr>
          <w:rStyle w:val="83"/>
          <w:rFonts w:ascii="仿宋" w:hAnsi="仿宋"/>
          <w:color w:val="auto"/>
          <w:sz w:val="22"/>
          <w:szCs w:val="22"/>
          <w:highlight w:val="none"/>
        </w:rPr>
        <w:t>分标</w:t>
      </w:r>
      <w:r>
        <w:rPr>
          <w:rFonts w:hint="eastAsia" w:ascii="宋体" w:hAnsi="宋体" w:cs="宋体"/>
          <w:color w:val="auto"/>
          <w:szCs w:val="21"/>
          <w:highlight w:val="none"/>
        </w:rPr>
        <w:t>1</w:t>
      </w:r>
      <w:r>
        <w:rPr>
          <w:rStyle w:val="83"/>
          <w:rFonts w:ascii="仿宋" w:hAnsi="仿宋"/>
          <w:color w:val="auto"/>
          <w:sz w:val="22"/>
          <w:szCs w:val="22"/>
          <w:highlight w:val="none"/>
        </w:rPr>
        <w:t>：</w:t>
      </w: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非</w:t>
      </w:r>
      <w:r>
        <w:rPr>
          <w:rFonts w:hint="eastAsia" w:ascii="宋体" w:hAnsi="宋体" w:cs="宋体"/>
          <w:color w:val="auto"/>
          <w:szCs w:val="21"/>
          <w:highlight w:val="none"/>
        </w:rPr>
        <w:t>专门面向小微企业采购。 </w:t>
      </w:r>
    </w:p>
    <w:p>
      <w:pPr>
        <w:pageBreakBefore w:val="0"/>
        <w:kinsoku/>
        <w:wordWrap w:val="0"/>
        <w:topLinePunct w:val="0"/>
        <w:bidi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3.本项目的特定资格要求：分标1：</w:t>
      </w:r>
      <w:bookmarkStart w:id="14" w:name="_Toc35393631"/>
      <w:bookmarkStart w:id="15" w:name="_Toc35393800"/>
      <w:r>
        <w:rPr>
          <w:rFonts w:hint="eastAsia" w:ascii="宋体" w:hAnsi="宋体" w:cs="宋体"/>
          <w:color w:val="auto"/>
          <w:szCs w:val="21"/>
          <w:highlight w:val="none"/>
          <w:lang w:eastAsia="zh-CN"/>
        </w:rPr>
        <w:t>具有地质灾害防治单位证书监理类甲级资质。</w:t>
      </w:r>
    </w:p>
    <w:p>
      <w:pPr>
        <w:pageBreakBefore w:val="0"/>
        <w:kinsoku/>
        <w:wordWrap w:val="0"/>
        <w:topLinePunct w:val="0"/>
        <w:bidi w:val="0"/>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三、获取采购文件</w:t>
      </w:r>
      <w:bookmarkEnd w:id="12"/>
      <w:bookmarkEnd w:id="13"/>
      <w:bookmarkEnd w:id="14"/>
      <w:bookmarkEnd w:id="15"/>
    </w:p>
    <w:p>
      <w:pPr>
        <w:pageBreakBefore w:val="0"/>
        <w:kinsoku/>
        <w:wordWrap w:val="0"/>
        <w:topLinePunct w:val="0"/>
        <w:bidi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时间：/至2024年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lang w:eastAsia="zh-CN"/>
        </w:rPr>
        <w:t>日</w:t>
      </w:r>
      <w:r>
        <w:rPr>
          <w:rFonts w:hint="eastAsia" w:ascii="宋体" w:hAnsi="宋体" w:cs="宋体"/>
          <w:color w:val="auto"/>
          <w:szCs w:val="21"/>
          <w:highlight w:val="none"/>
        </w:rPr>
        <w:t>，每天上午00:00至12:00，下午12:01至23:59（北京时间，法定节假日除外）</w:t>
      </w:r>
    </w:p>
    <w:p>
      <w:pPr>
        <w:pageBreakBefore w:val="0"/>
        <w:kinsoku/>
        <w:wordWrap w:val="0"/>
        <w:topLinePunct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w:t>
      </w:r>
      <w:r>
        <w:rPr>
          <w:rFonts w:hint="eastAsia" w:ascii="宋体" w:hAnsi="宋体" w:cs="宋体"/>
          <w:color w:val="auto"/>
          <w:szCs w:val="21"/>
          <w:highlight w:val="none"/>
          <w:lang w:eastAsia="zh-CN"/>
        </w:rPr>
        <w:t>https://login.gcy.zfcg.gxzf.gov.cn/user-login/#/</w:t>
      </w:r>
      <w:r>
        <w:rPr>
          <w:rFonts w:hint="eastAsia" w:ascii="宋体" w:hAnsi="宋体" w:cs="宋体"/>
          <w:color w:val="auto"/>
          <w:szCs w:val="21"/>
          <w:highlight w:val="none"/>
        </w:rPr>
        <w:t>）</w:t>
      </w:r>
    </w:p>
    <w:p>
      <w:pPr>
        <w:pageBreakBefore w:val="0"/>
        <w:kinsoku/>
        <w:wordWrap w:val="0"/>
        <w:topLinePunct w:val="0"/>
        <w:bidi w:val="0"/>
        <w:spacing w:line="400" w:lineRule="exact"/>
        <w:ind w:firstLine="420"/>
        <w:rPr>
          <w:rFonts w:ascii="宋体" w:hAnsi="宋体" w:cs="宋体"/>
          <w:b w:val="0"/>
          <w:bCs w:val="0"/>
          <w:color w:val="auto"/>
          <w:szCs w:val="21"/>
          <w:highlight w:val="none"/>
        </w:rPr>
      </w:pPr>
      <w:r>
        <w:rPr>
          <w:rFonts w:hint="eastAsia" w:ascii="宋体" w:hAnsi="宋体" w:cs="宋体"/>
          <w:b w:val="0"/>
          <w:bCs w:val="0"/>
          <w:color w:val="auto"/>
          <w:szCs w:val="21"/>
          <w:highlight w:val="none"/>
        </w:rPr>
        <w:t>方式</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rPr>
        <w:t>供应商登录“广西政府采购云平台”（ https://login.gcy.zfcg.gxzf.gov.cn/user-login/#/）在线申请获取采购文件（进入“项目采购”应用，在获取采购文件菜单中选择项目，申请获取采购文件）。 </w:t>
      </w:r>
    </w:p>
    <w:p>
      <w:pPr>
        <w:pageBreakBefore w:val="0"/>
        <w:kinsoku/>
        <w:wordWrap w:val="0"/>
        <w:topLinePunct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售价（元）：0</w:t>
      </w:r>
      <w:bookmarkStart w:id="16" w:name="_Toc28359015"/>
      <w:bookmarkStart w:id="17" w:name="_Toc35393801"/>
      <w:bookmarkStart w:id="18" w:name="_Toc28359092"/>
      <w:bookmarkStart w:id="19" w:name="_Toc35393632"/>
    </w:p>
    <w:p>
      <w:pPr>
        <w:pageBreakBefore w:val="0"/>
        <w:kinsoku/>
        <w:wordWrap w:val="0"/>
        <w:topLinePunct w:val="0"/>
        <w:bidi w:val="0"/>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四、响应文件提交</w:t>
      </w:r>
      <w:bookmarkEnd w:id="16"/>
      <w:bookmarkEnd w:id="17"/>
      <w:bookmarkEnd w:id="18"/>
      <w:bookmarkEnd w:id="19"/>
    </w:p>
    <w:p>
      <w:pPr>
        <w:pageBreakBefore w:val="0"/>
        <w:kinsoku/>
        <w:wordWrap w:val="0"/>
        <w:topLinePunct w:val="0"/>
        <w:bidi w:val="0"/>
        <w:spacing w:line="380" w:lineRule="exact"/>
        <w:ind w:firstLine="567" w:firstLineChars="270"/>
        <w:rPr>
          <w:rFonts w:ascii="宋体" w:hAnsi="宋体" w:cs="宋体"/>
          <w:bCs/>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2024年6月13日9:30</w:t>
      </w:r>
      <w:r>
        <w:rPr>
          <w:rFonts w:hint="eastAsia" w:ascii="宋体" w:hAnsi="宋体" w:cs="宋体"/>
          <w:bCs/>
          <w:color w:val="auto"/>
          <w:szCs w:val="21"/>
          <w:highlight w:val="none"/>
        </w:rPr>
        <w:t>（北京时间）</w:t>
      </w:r>
    </w:p>
    <w:p>
      <w:pPr>
        <w:pageBreakBefore w:val="0"/>
        <w:kinsoku/>
        <w:wordWrap w:val="0"/>
        <w:topLinePunct w:val="0"/>
        <w:bidi w:val="0"/>
        <w:spacing w:line="380" w:lineRule="exact"/>
        <w:ind w:firstLine="567" w:firstLineChars="270"/>
        <w:rPr>
          <w:rFonts w:ascii="宋体" w:hAnsi="宋体" w:cs="宋体"/>
          <w:color w:val="auto"/>
          <w:highlight w:val="none"/>
        </w:rPr>
      </w:pPr>
      <w:r>
        <w:rPr>
          <w:rFonts w:hint="eastAsia" w:ascii="宋体" w:hAnsi="宋体" w:cs="宋体"/>
          <w:color w:val="auto"/>
          <w:szCs w:val="21"/>
          <w:highlight w:val="none"/>
        </w:rPr>
        <w:t>地点：</w:t>
      </w:r>
      <w:bookmarkStart w:id="20" w:name="_Toc35393802"/>
      <w:bookmarkStart w:id="21" w:name="_Toc28359016"/>
      <w:bookmarkStart w:id="22" w:name="_Toc35393633"/>
      <w:bookmarkStart w:id="23" w:name="_Toc28359093"/>
      <w:r>
        <w:rPr>
          <w:rFonts w:hint="eastAsia" w:ascii="宋体" w:hAnsi="宋体" w:cs="宋体"/>
          <w:color w:val="auto"/>
          <w:highlight w:val="none"/>
        </w:rPr>
        <w:t>通过“广西政府采购云”平台在线提交</w:t>
      </w:r>
    </w:p>
    <w:p>
      <w:pPr>
        <w:pageBreakBefore w:val="0"/>
        <w:kinsoku/>
        <w:wordWrap w:val="0"/>
        <w:topLinePunct w:val="0"/>
        <w:bidi w:val="0"/>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五、开启</w:t>
      </w:r>
      <w:bookmarkEnd w:id="20"/>
      <w:bookmarkEnd w:id="21"/>
      <w:bookmarkEnd w:id="22"/>
      <w:bookmarkEnd w:id="23"/>
    </w:p>
    <w:p>
      <w:pPr>
        <w:pageBreakBefore w:val="0"/>
        <w:kinsoku/>
        <w:wordWrap w:val="0"/>
        <w:topLinePunct w:val="0"/>
        <w:bidi w:val="0"/>
        <w:spacing w:line="380" w:lineRule="exact"/>
        <w:ind w:firstLine="567" w:firstLineChars="270"/>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2024年6月13日9:30</w:t>
      </w:r>
      <w:r>
        <w:rPr>
          <w:rFonts w:hint="eastAsia" w:ascii="宋体" w:hAnsi="宋体" w:cs="宋体"/>
          <w:bCs/>
          <w:color w:val="auto"/>
          <w:szCs w:val="21"/>
          <w:highlight w:val="none"/>
        </w:rPr>
        <w:t>（北京时间）</w:t>
      </w:r>
    </w:p>
    <w:p>
      <w:pPr>
        <w:pageBreakBefore w:val="0"/>
        <w:kinsoku/>
        <w:wordWrap w:val="0"/>
        <w:topLinePunct w:val="0"/>
        <w:bidi w:val="0"/>
        <w:spacing w:line="380" w:lineRule="exact"/>
        <w:ind w:firstLine="567" w:firstLineChars="270"/>
        <w:rPr>
          <w:rFonts w:ascii="宋体" w:hAnsi="宋体" w:cs="宋体"/>
          <w:bCs/>
          <w:color w:val="auto"/>
          <w:szCs w:val="21"/>
          <w:highlight w:val="none"/>
          <w:u w:val="single"/>
        </w:rPr>
      </w:pPr>
      <w:r>
        <w:rPr>
          <w:rFonts w:hint="eastAsia" w:ascii="宋体" w:hAnsi="宋体" w:cs="宋体"/>
          <w:color w:val="auto"/>
          <w:szCs w:val="21"/>
          <w:highlight w:val="none"/>
        </w:rPr>
        <w:t>地点：</w:t>
      </w:r>
      <w:bookmarkStart w:id="24" w:name="_Toc28359017"/>
      <w:bookmarkStart w:id="25" w:name="_Toc35393803"/>
      <w:bookmarkStart w:id="26" w:name="_Toc28359094"/>
      <w:bookmarkStart w:id="27" w:name="_Toc35393634"/>
      <w:r>
        <w:rPr>
          <w:rFonts w:hint="eastAsia" w:ascii="宋体" w:hAnsi="宋体" w:cs="宋体"/>
          <w:color w:val="auto"/>
          <w:szCs w:val="21"/>
          <w:highlight w:val="none"/>
        </w:rPr>
        <w:t>通过“广西政府采购云”平台在线解密开启</w:t>
      </w:r>
    </w:p>
    <w:p>
      <w:pPr>
        <w:pageBreakBefore w:val="0"/>
        <w:kinsoku/>
        <w:wordWrap w:val="0"/>
        <w:topLinePunct w:val="0"/>
        <w:bidi w:val="0"/>
        <w:spacing w:line="400" w:lineRule="exact"/>
        <w:ind w:left="210" w:leftChars="100" w:firstLine="356" w:firstLineChars="169"/>
        <w:rPr>
          <w:rFonts w:ascii="宋体" w:hAnsi="宋体" w:cs="宋体"/>
          <w:color w:val="auto"/>
          <w:szCs w:val="21"/>
          <w:highlight w:val="none"/>
        </w:rPr>
      </w:pPr>
      <w:r>
        <w:rPr>
          <w:rFonts w:hint="eastAsia" w:ascii="宋体" w:hAnsi="宋体" w:cs="宋体"/>
          <w:b/>
          <w:bCs/>
          <w:color w:val="auto"/>
          <w:szCs w:val="21"/>
          <w:highlight w:val="none"/>
        </w:rPr>
        <w:t>六、公告期限</w:t>
      </w:r>
      <w:bookmarkEnd w:id="24"/>
      <w:bookmarkEnd w:id="25"/>
      <w:bookmarkEnd w:id="26"/>
      <w:bookmarkEnd w:id="27"/>
    </w:p>
    <w:p>
      <w:pPr>
        <w:pageBreakBefore w:val="0"/>
        <w:kinsoku/>
        <w:wordWrap w:val="0"/>
        <w:topLinePunct w:val="0"/>
        <w:bidi w:val="0"/>
        <w:spacing w:line="400" w:lineRule="exact"/>
        <w:ind w:firstLine="567" w:firstLineChars="27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bookmarkStart w:id="28" w:name="_Toc35393804"/>
      <w:bookmarkStart w:id="29" w:name="_Toc35393635"/>
    </w:p>
    <w:p>
      <w:pPr>
        <w:pageBreakBefore w:val="0"/>
        <w:numPr>
          <w:ilvl w:val="0"/>
          <w:numId w:val="2"/>
        </w:numPr>
        <w:kinsoku/>
        <w:wordWrap w:val="0"/>
        <w:topLinePunct w:val="0"/>
        <w:bidi w:val="0"/>
        <w:spacing w:line="400" w:lineRule="exact"/>
        <w:ind w:firstLine="569" w:firstLineChars="270"/>
        <w:rPr>
          <w:rFonts w:ascii="宋体" w:hAnsi="宋体" w:cs="宋体"/>
          <w:b/>
          <w:bCs/>
          <w:color w:val="auto"/>
          <w:szCs w:val="21"/>
          <w:highlight w:val="none"/>
        </w:rPr>
      </w:pPr>
      <w:r>
        <w:rPr>
          <w:rFonts w:hint="eastAsia" w:ascii="宋体" w:hAnsi="宋体" w:cs="宋体"/>
          <w:b/>
          <w:bCs/>
          <w:color w:val="auto"/>
          <w:szCs w:val="21"/>
          <w:highlight w:val="none"/>
        </w:rPr>
        <w:t>其他补充事宜</w:t>
      </w:r>
      <w:bookmarkEnd w:id="28"/>
      <w:bookmarkEnd w:id="29"/>
    </w:p>
    <w:p>
      <w:pPr>
        <w:pageBreakBefore w:val="0"/>
        <w:kinsoku/>
        <w:wordWrap w:val="0"/>
        <w:topLinePunct w:val="0"/>
        <w:bidi w:val="0"/>
        <w:spacing w:line="420" w:lineRule="exact"/>
        <w:ind w:firstLine="630" w:firstLineChars="300"/>
        <w:rPr>
          <w:color w:val="auto"/>
          <w:highlight w:val="none"/>
        </w:rPr>
      </w:pPr>
      <w:r>
        <w:rPr>
          <w:rFonts w:hint="eastAsia" w:ascii="宋体" w:hAnsi="宋体" w:cs="宋体"/>
          <w:bCs/>
          <w:color w:val="auto"/>
          <w:szCs w:val="21"/>
          <w:highlight w:val="none"/>
        </w:rPr>
        <w:t>1.信息公告发布媒体：中国政府采购网（</w:t>
      </w:r>
      <w:r>
        <w:rPr>
          <w:rFonts w:ascii="宋体" w:hAnsi="宋体" w:cs="宋体"/>
          <w:bCs/>
          <w:color w:val="auto"/>
          <w:szCs w:val="21"/>
          <w:highlight w:val="none"/>
        </w:rPr>
        <w:t>http://</w:t>
      </w:r>
      <w:r>
        <w:rPr>
          <w:rFonts w:hint="eastAsia" w:ascii="宋体" w:hAnsi="宋体" w:cs="宋体"/>
          <w:bCs/>
          <w:color w:val="auto"/>
          <w:szCs w:val="21"/>
          <w:highlight w:val="none"/>
        </w:rPr>
        <w:t>www.ccgp.gov.cn）、广西壮族自治区政府采购网（</w:t>
      </w:r>
      <w:r>
        <w:rPr>
          <w:rFonts w:ascii="宋体" w:hAnsi="宋体" w:cs="宋体"/>
          <w:bCs/>
          <w:color w:val="auto"/>
          <w:szCs w:val="21"/>
          <w:highlight w:val="none"/>
        </w:rPr>
        <w:t>http://</w:t>
      </w:r>
      <w:r>
        <w:rPr>
          <w:rFonts w:hint="eastAsia" w:ascii="宋体" w:hAnsi="宋体" w:cs="宋体"/>
          <w:bCs/>
          <w:color w:val="auto"/>
          <w:szCs w:val="21"/>
          <w:highlight w:val="none"/>
        </w:rPr>
        <w:t>zfcg.gxzf.gov.cn）、桂林市政府采购网（</w:t>
      </w:r>
      <w:r>
        <w:rPr>
          <w:rFonts w:ascii="宋体" w:hAnsi="宋体" w:cs="宋体"/>
          <w:bCs/>
          <w:color w:val="auto"/>
          <w:szCs w:val="21"/>
          <w:highlight w:val="none"/>
        </w:rPr>
        <w:t>http://</w:t>
      </w:r>
      <w:r>
        <w:rPr>
          <w:rFonts w:hint="eastAsia" w:ascii="宋体" w:hAnsi="宋体" w:cs="宋体"/>
          <w:bCs/>
          <w:color w:val="auto"/>
          <w:szCs w:val="21"/>
          <w:highlight w:val="none"/>
        </w:rPr>
        <w:t>zfcg.czj.guilin.gov.cn/）</w:t>
      </w:r>
      <w:r>
        <w:rPr>
          <w:rFonts w:hint="eastAsia" w:ascii="宋体" w:hAnsi="宋体" w:cs="宋体"/>
          <w:color w:val="auto"/>
          <w:szCs w:val="21"/>
          <w:highlight w:val="none"/>
        </w:rPr>
        <w:t>。</w:t>
      </w:r>
    </w:p>
    <w:p>
      <w:pPr>
        <w:pageBreakBefore w:val="0"/>
        <w:kinsoku/>
        <w:wordWrap w:val="0"/>
        <w:topLinePunct w:val="0"/>
        <w:bidi w:val="0"/>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 xml:space="preserve"> 2.本项目需要落实的政府采购政策：</w:t>
      </w:r>
    </w:p>
    <w:p>
      <w:pPr>
        <w:pageBreakBefore w:val="0"/>
        <w:kinsoku/>
        <w:wordWrap w:val="0"/>
        <w:topLinePunct w:val="0"/>
        <w:bidi w:val="0"/>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（1）政府采购促进中小企业发展；</w:t>
      </w:r>
    </w:p>
    <w:p>
      <w:pPr>
        <w:pageBreakBefore w:val="0"/>
        <w:kinsoku/>
        <w:wordWrap w:val="0"/>
        <w:topLinePunct w:val="0"/>
        <w:bidi w:val="0"/>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（2）政府采购支持监狱企业发展；</w:t>
      </w:r>
    </w:p>
    <w:p>
      <w:pPr>
        <w:pageBreakBefore w:val="0"/>
        <w:kinsoku/>
        <w:wordWrap w:val="0"/>
        <w:topLinePunct w:val="0"/>
        <w:bidi w:val="0"/>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（3）政府采购促进残疾人就业政策；</w:t>
      </w:r>
    </w:p>
    <w:p>
      <w:pPr>
        <w:pageBreakBefore w:val="0"/>
        <w:kinsoku/>
        <w:wordWrap w:val="0"/>
        <w:topLinePunct w:val="0"/>
        <w:bidi w:val="0"/>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（4）政府采购支持采用本国产品的政策；</w:t>
      </w:r>
    </w:p>
    <w:p>
      <w:pPr>
        <w:pageBreakBefore w:val="0"/>
        <w:kinsoku/>
        <w:wordWrap w:val="0"/>
        <w:topLinePunct w:val="0"/>
        <w:bidi w:val="0"/>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（5）优先采购节能产品、环境标志产品；</w:t>
      </w:r>
    </w:p>
    <w:p>
      <w:pPr>
        <w:pageBreakBefore w:val="0"/>
        <w:kinsoku/>
        <w:wordWrap w:val="0"/>
        <w:topLinePunct w:val="0"/>
        <w:bidi w:val="0"/>
        <w:spacing w:line="400" w:lineRule="exact"/>
        <w:ind w:left="420" w:leftChars="200"/>
        <w:rPr>
          <w:rFonts w:ascii="宋体" w:hAnsi="宋体" w:cs="宋体"/>
          <w:bCs/>
          <w:color w:val="auto"/>
          <w:szCs w:val="21"/>
          <w:highlight w:val="none"/>
        </w:rPr>
      </w:pPr>
      <w:bookmarkStart w:id="30" w:name="_Toc35393805"/>
      <w:bookmarkStart w:id="31" w:name="_Toc28359018"/>
      <w:bookmarkStart w:id="32" w:name="_Toc35393636"/>
      <w:bookmarkStart w:id="33" w:name="_Toc28359095"/>
      <w:r>
        <w:rPr>
          <w:rFonts w:hint="eastAsia" w:ascii="宋体" w:hAnsi="宋体" w:cs="宋体"/>
          <w:bCs/>
          <w:color w:val="auto"/>
          <w:szCs w:val="21"/>
          <w:highlight w:val="none"/>
        </w:rPr>
        <w:t>（6）本项目为服务项目，不涉及强制采购节能产品。</w:t>
      </w:r>
    </w:p>
    <w:p>
      <w:pPr>
        <w:pageBreakBefore w:val="0"/>
        <w:kinsoku/>
        <w:wordWrap w:val="0"/>
        <w:topLinePunct w:val="0"/>
        <w:bidi w:val="0"/>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 xml:space="preserve"> 3.</w:t>
      </w:r>
      <w:r>
        <w:rPr>
          <w:rFonts w:hint="eastAsia" w:ascii="宋体" w:hAnsi="宋体" w:cs="宋体"/>
          <w:color w:val="auto"/>
          <w:szCs w:val="21"/>
          <w:highlight w:val="none"/>
        </w:rPr>
        <w:t>资格条件特别说明：</w:t>
      </w:r>
    </w:p>
    <w:p>
      <w:pPr>
        <w:pageBreakBefore w:val="0"/>
        <w:kinsoku/>
        <w:wordWrap w:val="0"/>
        <w:topLinePunct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kinsoku/>
        <w:wordWrap w:val="0"/>
        <w:topLinePunct w:val="0"/>
        <w:bidi w:val="0"/>
        <w:spacing w:line="400" w:lineRule="exact"/>
        <w:ind w:firstLine="420"/>
        <w:rPr>
          <w:rFonts w:ascii="宋体" w:hAnsi="宋体" w:cs="宋体"/>
          <w:color w:val="auto"/>
          <w:highlight w:val="none"/>
        </w:rPr>
      </w:pPr>
      <w:r>
        <w:rPr>
          <w:rFonts w:hint="eastAsia" w:ascii="宋体" w:hAnsi="宋体" w:cs="宋体"/>
          <w:color w:val="auto"/>
          <w:highlight w:val="none"/>
        </w:rPr>
        <w:t>（2）对在“信用中国”网站(https://www.creditchina.gov.cn)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p>
      <w:pPr>
        <w:pageBreakBefore w:val="0"/>
        <w:kinsoku/>
        <w:wordWrap w:val="0"/>
        <w:topLinePunct w:val="0"/>
        <w:bidi w:val="0"/>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 xml:space="preserve"> 4.“广西政府采购云平台”电子竞标相关事宜：</w:t>
      </w:r>
    </w:p>
    <w:p>
      <w:pPr>
        <w:pageBreakBefore w:val="0"/>
        <w:kinsoku/>
        <w:wordWrap w:val="0"/>
        <w:topLinePunct w:val="0"/>
        <w:bidi w:val="0"/>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pPr>
        <w:pageBreakBefore w:val="0"/>
        <w:kinsoku/>
        <w:wordWrap w:val="0"/>
        <w:topLinePunct w:val="0"/>
        <w:bidi w:val="0"/>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（2）电子竞标具体操作流程参考《政府采购项目电子交易管理操作指南-供应商》（详见桂林市政府采购网—采购资讯—重要通知）；如遇平台技术问题详询95763。</w:t>
      </w:r>
    </w:p>
    <w:p>
      <w:pPr>
        <w:pageBreakBefore w:val="0"/>
        <w:kinsoku/>
        <w:wordWrap w:val="0"/>
        <w:topLinePunct w:val="0"/>
        <w:bidi w:val="0"/>
        <w:adjustRightInd w:val="0"/>
        <w:snapToGrid w:val="0"/>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电子响应文件的制作、加密、</w:t>
      </w:r>
      <w:r>
        <w:rPr>
          <w:rFonts w:hint="eastAsia" w:ascii="宋体" w:hAnsi="宋体" w:cs="宋体"/>
          <w:color w:val="auto"/>
          <w:szCs w:val="21"/>
          <w:highlight w:val="none"/>
        </w:rPr>
        <w:t>提交、解密等相关事宜详见第二章 “供应商须知”。</w:t>
      </w:r>
    </w:p>
    <w:p>
      <w:pPr>
        <w:pageBreakBefore w:val="0"/>
        <w:kinsoku/>
        <w:wordWrap w:val="0"/>
        <w:topLinePunct w:val="0"/>
        <w:bidi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30"/>
      <w:bookmarkEnd w:id="31"/>
      <w:bookmarkEnd w:id="32"/>
      <w:bookmarkEnd w:id="33"/>
    </w:p>
    <w:p>
      <w:pPr>
        <w:pageBreakBefore w:val="0"/>
        <w:kinsoku/>
        <w:wordWrap w:val="0"/>
        <w:topLinePunct w:val="0"/>
        <w:bidi w:val="0"/>
        <w:spacing w:line="400" w:lineRule="exact"/>
        <w:ind w:firstLine="420" w:firstLineChars="200"/>
        <w:jc w:val="left"/>
        <w:rPr>
          <w:rFonts w:ascii="宋体" w:hAnsi="宋体" w:cs="宋体"/>
          <w:color w:val="auto"/>
          <w:highlight w:val="none"/>
        </w:rPr>
      </w:pPr>
      <w:r>
        <w:rPr>
          <w:rFonts w:hint="eastAsia" w:ascii="宋体" w:hAnsi="宋体" w:cs="宋体"/>
          <w:color w:val="auto"/>
          <w:highlight w:val="none"/>
        </w:rPr>
        <w:t>1.采购人信息</w:t>
      </w:r>
    </w:p>
    <w:p>
      <w:pPr>
        <w:pageBreakBefore w:val="0"/>
        <w:kinsoku/>
        <w:wordWrap w:val="0"/>
        <w:topLinePunct w:val="0"/>
        <w:bidi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名 称：桂林市自然资源局</w:t>
      </w:r>
    </w:p>
    <w:p>
      <w:pPr>
        <w:pageBreakBefore w:val="0"/>
        <w:kinsoku/>
        <w:wordWrap w:val="0"/>
        <w:topLinePunct w:val="0"/>
        <w:bidi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地址：桂林市临桂区青莲路西桂林投资发展大厦南楼　　　　　　　　　　</w:t>
      </w:r>
    </w:p>
    <w:p>
      <w:pPr>
        <w:pageBreakBefore w:val="0"/>
        <w:kinsoku/>
        <w:wordWrap w:val="0"/>
        <w:topLinePunct w:val="0"/>
        <w:bidi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项目联系人：马工</w:t>
      </w:r>
    </w:p>
    <w:p>
      <w:pPr>
        <w:pageBreakBefore w:val="0"/>
        <w:kinsoku/>
        <w:wordWrap w:val="0"/>
        <w:topLinePunct w:val="0"/>
        <w:bidi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项目联系方式：0773-2860893　</w:t>
      </w:r>
    </w:p>
    <w:p>
      <w:pPr>
        <w:pageBreakBefore w:val="0"/>
        <w:kinsoku/>
        <w:wordWrap w:val="0"/>
        <w:topLinePunct w:val="0"/>
        <w:bidi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2.采购代理机构信息</w:t>
      </w:r>
      <w:bookmarkEnd w:id="6"/>
      <w:bookmarkEnd w:id="7"/>
    </w:p>
    <w:p>
      <w:pPr>
        <w:pageBreakBefore w:val="0"/>
        <w:kinsoku/>
        <w:wordWrap w:val="0"/>
        <w:topLinePunct w:val="0"/>
        <w:bidi w:val="0"/>
        <w:spacing w:line="400" w:lineRule="exact"/>
        <w:ind w:firstLine="420" w:firstLineChars="200"/>
        <w:rPr>
          <w:rFonts w:ascii="宋体" w:hAnsi="宋体" w:cs="宋体"/>
          <w:color w:val="auto"/>
          <w:kern w:val="0"/>
          <w:highlight w:val="none"/>
        </w:rPr>
      </w:pPr>
      <w:r>
        <w:rPr>
          <w:rFonts w:hint="eastAsia" w:ascii="宋体" w:hAnsi="宋体" w:cs="宋体"/>
          <w:color w:val="auto"/>
          <w:highlight w:val="none"/>
        </w:rPr>
        <w:t>名  称：广西华诚达建设项目管理有限公司</w:t>
      </w:r>
    </w:p>
    <w:p>
      <w:pPr>
        <w:pageBreakBefore w:val="0"/>
        <w:kinsoku/>
        <w:wordWrap w:val="0"/>
        <w:topLinePunct w:val="0"/>
        <w:bidi w:val="0"/>
        <w:spacing w:line="400" w:lineRule="exact"/>
        <w:ind w:firstLine="420" w:firstLineChars="200"/>
        <w:rPr>
          <w:rFonts w:ascii="宋体" w:hAnsi="宋体" w:cs="宋体"/>
          <w:color w:val="auto"/>
          <w:kern w:val="0"/>
          <w:highlight w:val="none"/>
        </w:rPr>
      </w:pPr>
      <w:r>
        <w:rPr>
          <w:rFonts w:hint="eastAsia" w:ascii="宋体" w:hAnsi="宋体" w:cs="宋体"/>
          <w:color w:val="auto"/>
          <w:highlight w:val="none"/>
        </w:rPr>
        <w:t>地　址：桂林市七星区骖鸾路25号合鑫大楼6楼　　</w:t>
      </w:r>
    </w:p>
    <w:p>
      <w:pPr>
        <w:pageBreakBefore w:val="0"/>
        <w:kinsoku/>
        <w:wordWrap w:val="0"/>
        <w:topLinePunct w:val="0"/>
        <w:bidi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highlight w:val="none"/>
        </w:rPr>
        <w:t>采购代理机构联系人：</w:t>
      </w:r>
      <w:r>
        <w:rPr>
          <w:rFonts w:hint="eastAsia" w:ascii="宋体" w:hAnsi="宋体" w:cs="宋体"/>
          <w:color w:val="auto"/>
          <w:highlight w:val="none"/>
          <w:lang w:val="en-US" w:eastAsia="zh-CN"/>
        </w:rPr>
        <w:t>廖云</w:t>
      </w:r>
    </w:p>
    <w:p>
      <w:pPr>
        <w:pageBreakBefore w:val="0"/>
        <w:kinsoku/>
        <w:wordWrap w:val="0"/>
        <w:topLinePunct w:val="0"/>
        <w:bidi w:val="0"/>
        <w:spacing w:line="400" w:lineRule="exact"/>
        <w:ind w:firstLine="420" w:firstLineChars="200"/>
        <w:rPr>
          <w:rFonts w:ascii="宋体" w:hAnsi="宋体" w:cs="宋体"/>
          <w:color w:val="auto"/>
          <w:kern w:val="0"/>
          <w:highlight w:val="none"/>
        </w:rPr>
      </w:pPr>
      <w:r>
        <w:rPr>
          <w:rFonts w:hint="eastAsia" w:ascii="宋体" w:hAnsi="宋体" w:cs="宋体"/>
          <w:color w:val="auto"/>
          <w:highlight w:val="none"/>
        </w:rPr>
        <w:t>联系方式：0773-5630101</w:t>
      </w:r>
    </w:p>
    <w:p>
      <w:pPr>
        <w:pageBreakBefore w:val="0"/>
        <w:numPr>
          <w:ilvl w:val="0"/>
          <w:numId w:val="3"/>
        </w:numPr>
        <w:kinsoku/>
        <w:wordWrap w:val="0"/>
        <w:topLinePunct w:val="0"/>
        <w:bidi w:val="0"/>
        <w:spacing w:line="360" w:lineRule="exact"/>
        <w:ind w:left="1077" w:firstLine="643"/>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bookmarkStart w:id="34" w:name="_Toc25353"/>
      <w:r>
        <w:rPr>
          <w:rFonts w:hint="eastAsia" w:ascii="宋体" w:hAnsi="宋体" w:cs="宋体"/>
          <w:b/>
          <w:color w:val="auto"/>
          <w:kern w:val="0"/>
          <w:sz w:val="32"/>
          <w:szCs w:val="32"/>
          <w:highlight w:val="none"/>
        </w:rPr>
        <w:t>供应商须知</w:t>
      </w:r>
      <w:bookmarkEnd w:id="34"/>
    </w:p>
    <w:p>
      <w:pPr>
        <w:pageBreakBefore w:val="0"/>
        <w:tabs>
          <w:tab w:val="left" w:pos="1065"/>
          <w:tab w:val="center" w:pos="4411"/>
        </w:tabs>
        <w:kinsoku/>
        <w:wordWrap w:val="0"/>
        <w:topLinePunct w:val="0"/>
        <w:bidi w:val="0"/>
        <w:spacing w:line="360" w:lineRule="exact"/>
        <w:ind w:firstLine="482"/>
        <w:jc w:val="center"/>
        <w:rPr>
          <w:rFonts w:ascii="宋体" w:hAnsi="宋体" w:cs="宋体"/>
          <w:b/>
          <w:color w:val="auto"/>
          <w:kern w:val="0"/>
          <w:sz w:val="24"/>
          <w:highlight w:val="none"/>
        </w:rPr>
      </w:pPr>
      <w:r>
        <w:rPr>
          <w:rFonts w:hint="eastAsia" w:ascii="宋体" w:hAnsi="宋体" w:cs="宋体"/>
          <w:b/>
          <w:color w:val="auto"/>
          <w:kern w:val="0"/>
          <w:sz w:val="24"/>
          <w:highlight w:val="none"/>
        </w:rPr>
        <w:t>供 应 商 须 知 前 附 表</w:t>
      </w:r>
    </w:p>
    <w:tbl>
      <w:tblPr>
        <w:tblStyle w:val="32"/>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486"/>
        <w:gridCol w:w="6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75" w:type="dxa"/>
            <w:vAlign w:val="center"/>
          </w:tcPr>
          <w:p>
            <w:pPr>
              <w:pageBreakBefore w:val="0"/>
              <w:kinsoku/>
              <w:wordWrap w:val="0"/>
              <w:topLinePunct w:val="0"/>
              <w:bidi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条款号</w:t>
            </w:r>
          </w:p>
        </w:tc>
        <w:tc>
          <w:tcPr>
            <w:tcW w:w="1486"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条款名称</w:t>
            </w:r>
          </w:p>
        </w:tc>
        <w:tc>
          <w:tcPr>
            <w:tcW w:w="6877"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项目编号及项目名称</w:t>
            </w:r>
          </w:p>
        </w:tc>
        <w:tc>
          <w:tcPr>
            <w:tcW w:w="6877" w:type="dxa"/>
            <w:vAlign w:val="center"/>
          </w:tcPr>
          <w:p>
            <w:pPr>
              <w:pageBreakBefore w:val="0"/>
              <w:kinsoku/>
              <w:wordWrap w:val="0"/>
              <w:topLinePunct w:val="0"/>
              <w:bidi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项目编号：</w:t>
            </w:r>
            <w:r>
              <w:rPr>
                <w:rFonts w:hint="eastAsia" w:ascii="宋体" w:hAnsi="宋体" w:cs="宋体"/>
                <w:color w:val="auto"/>
                <w:szCs w:val="21"/>
                <w:highlight w:val="none"/>
                <w:lang w:eastAsia="zh-CN"/>
              </w:rPr>
              <w:t>GLZC2024-C3-990529-HCDZ</w:t>
            </w:r>
          </w:p>
          <w:p>
            <w:pPr>
              <w:pageBreakBefore w:val="0"/>
              <w:kinsoku/>
              <w:wordWrap w:val="0"/>
              <w:topLinePunct w:val="0"/>
              <w:bidi w:val="0"/>
              <w:spacing w:line="3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szCs w:val="21"/>
                <w:highlight w:val="none"/>
                <w:lang w:eastAsia="zh-CN"/>
              </w:rPr>
              <w:t>桂林市秀峰区甲山村委老庙山等6处危岩地质灾害治理工程监理服务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供应商资格</w:t>
            </w:r>
          </w:p>
        </w:tc>
        <w:tc>
          <w:tcPr>
            <w:tcW w:w="6877" w:type="dxa"/>
            <w:vAlign w:val="center"/>
          </w:tcPr>
          <w:p>
            <w:pPr>
              <w:pageBreakBefore w:val="0"/>
              <w:kinsoku/>
              <w:wordWrap w:val="0"/>
              <w:topLinePunct w:val="0"/>
              <w:bidi w:val="0"/>
              <w:spacing w:line="320" w:lineRule="exact"/>
              <w:rPr>
                <w:rFonts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pPr>
              <w:pageBreakBefore w:val="0"/>
              <w:kinsoku/>
              <w:wordWrap w:val="0"/>
              <w:topLinePunct w:val="0"/>
              <w:bidi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3.2落实政府采购政策需满足的资格要求：</w:t>
            </w:r>
            <w:r>
              <w:rPr>
                <w:rFonts w:hint="eastAsia" w:ascii="宋体" w:hAnsi="宋体" w:cs="宋体"/>
                <w:color w:val="auto"/>
                <w:szCs w:val="21"/>
                <w:highlight w:val="none"/>
                <w:lang w:eastAsia="zh-CN"/>
              </w:rPr>
              <w:t>本项目非专门面向小微企业采购。</w:t>
            </w:r>
          </w:p>
          <w:p>
            <w:pPr>
              <w:pageBreakBefore w:val="0"/>
              <w:kinsoku/>
              <w:wordWrap w:val="0"/>
              <w:topLinePunct w:val="0"/>
              <w:bidi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eastAsia="zh-CN"/>
              </w:rPr>
              <w:t>具有地质灾害防治单位证书监理类甲级资质。</w:t>
            </w:r>
          </w:p>
          <w:p>
            <w:pPr>
              <w:pageBreakBefore w:val="0"/>
              <w:kinsoku/>
              <w:wordWrap w:val="0"/>
              <w:topLinePunct w:val="0"/>
              <w:bidi w:val="0"/>
              <w:spacing w:line="320" w:lineRule="exact"/>
              <w:rPr>
                <w:rFonts w:ascii="宋体" w:hAnsi="宋体" w:cs="宋体"/>
                <w:color w:val="auto"/>
                <w:szCs w:val="21"/>
                <w:highlight w:val="none"/>
              </w:rPr>
            </w:pPr>
            <w:r>
              <w:rPr>
                <w:rFonts w:hint="eastAsia" w:ascii="宋体" w:hAnsi="宋体" w:cs="宋体"/>
                <w:color w:val="auto"/>
                <w:szCs w:val="21"/>
                <w:highlight w:val="none"/>
              </w:rPr>
              <w:t>资格条件特别说明：</w:t>
            </w:r>
          </w:p>
          <w:p>
            <w:pPr>
              <w:pageBreakBefore w:val="0"/>
              <w:kinsoku/>
              <w:wordWrap w:val="0"/>
              <w:topLinePunct w:val="0"/>
              <w:bidi w:val="0"/>
              <w:spacing w:line="360" w:lineRule="exact"/>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kinsoku/>
              <w:wordWrap w:val="0"/>
              <w:topLinePunct w:val="0"/>
              <w:bidi w:val="0"/>
              <w:spacing w:line="360" w:lineRule="exact"/>
              <w:rPr>
                <w:rFonts w:ascii="宋体" w:hAnsi="宋体" w:cs="宋体"/>
                <w:color w:val="auto"/>
                <w:kern w:val="0"/>
                <w:highlight w:val="none"/>
              </w:rPr>
            </w:pPr>
            <w:r>
              <w:rPr>
                <w:rFonts w:hint="eastAsia" w:ascii="宋体" w:hAnsi="宋体" w:cs="宋体"/>
                <w:color w:val="auto"/>
                <w:szCs w:val="21"/>
                <w:highlight w:val="none"/>
              </w:rPr>
              <w:t>（2）对在“信用中国”网站(</w:t>
            </w:r>
            <w:r>
              <w:rPr>
                <w:rFonts w:hint="eastAsia" w:ascii="宋体" w:hAnsi="宋体" w:cs="宋体"/>
                <w:color w:val="auto"/>
                <w:highlight w:val="none"/>
              </w:rPr>
              <w:t>https://</w:t>
            </w:r>
            <w:r>
              <w:rPr>
                <w:rFonts w:hint="eastAsia" w:ascii="宋体" w:hAnsi="宋体" w:cs="宋体"/>
                <w:color w:val="auto"/>
                <w:szCs w:val="21"/>
                <w:highlight w:val="none"/>
              </w:rPr>
              <w:t>www.creditchina.gov.cn) 、中国政府采购网(</w:t>
            </w:r>
            <w:r>
              <w:rPr>
                <w:rFonts w:hint="eastAsia" w:ascii="宋体" w:hAnsi="宋体" w:cs="宋体"/>
                <w:color w:val="auto"/>
                <w:highlight w:val="none"/>
              </w:rPr>
              <w:t>https://</w:t>
            </w:r>
            <w:r>
              <w:rPr>
                <w:rFonts w:hint="eastAsia" w:ascii="宋体" w:hAnsi="宋体" w:cs="宋体"/>
                <w:color w:val="auto"/>
                <w:szCs w:val="21"/>
                <w:highlight w:val="none"/>
              </w:rPr>
              <w:t>www.ccgp.gov.cn)被列入失信被执行人、</w:t>
            </w:r>
            <w:r>
              <w:rPr>
                <w:rFonts w:hint="eastAsia" w:ascii="宋体" w:hAnsi="宋体" w:cs="宋体"/>
                <w:color w:val="auto"/>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参与电子竞标的准备工作</w:t>
            </w:r>
          </w:p>
        </w:tc>
        <w:tc>
          <w:tcPr>
            <w:tcW w:w="6877" w:type="dxa"/>
            <w:vAlign w:val="center"/>
          </w:tcPr>
          <w:p>
            <w:pPr>
              <w:pageBreakBefore w:val="0"/>
              <w:kinsoku/>
              <w:wordWrap w:val="0"/>
              <w:topLinePunct w:val="0"/>
              <w:bidi w:val="0"/>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供应商应当在响应文件提交截止时间前在“广西政府采购云”平台完成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竞标或竞标失败的，造成的一切后果，由供应商自行承担。</w:t>
            </w:r>
          </w:p>
          <w:p>
            <w:pPr>
              <w:pageBreakBefore w:val="0"/>
              <w:kinsoku/>
              <w:wordWrap w:val="0"/>
              <w:topLinePunct w:val="0"/>
              <w:bidi w:val="0"/>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4.2电子竞标具体操作流程参考《政府采购项目电子交易管理操作指南-供应商》（详见桂林市政府采购网—采购资讯—重要通知）；如遇平台技术问题详询95763。</w:t>
            </w:r>
          </w:p>
          <w:p>
            <w:pPr>
              <w:pageBreakBefore w:val="0"/>
              <w:kinsoku/>
              <w:wordWrap w:val="0"/>
              <w:topLinePunct w:val="0"/>
              <w:bidi w:val="0"/>
              <w:spacing w:line="360" w:lineRule="exact"/>
              <w:rPr>
                <w:rFonts w:ascii="宋体" w:hAnsi="宋体" w:cs="宋体"/>
                <w:color w:val="auto"/>
                <w:szCs w:val="21"/>
                <w:highlight w:val="none"/>
              </w:rPr>
            </w:pPr>
            <w:r>
              <w:rPr>
                <w:rFonts w:hint="eastAsia" w:ascii="宋体" w:hAnsi="宋体" w:cs="宋体"/>
                <w:color w:val="auto"/>
                <w:kern w:val="0"/>
                <w:szCs w:val="21"/>
                <w:highlight w:val="none"/>
              </w:rPr>
              <w:t>4.3</w:t>
            </w:r>
            <w:r>
              <w:rPr>
                <w:rFonts w:hint="eastAsia" w:ascii="宋体" w:hAnsi="宋体" w:cs="宋体"/>
                <w:color w:val="auto"/>
                <w:spacing w:val="-6"/>
                <w:kern w:val="0"/>
                <w:szCs w:val="21"/>
                <w:highlight w:val="none"/>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position w:val="-2"/>
                <w:szCs w:val="21"/>
                <w:highlight w:val="none"/>
              </w:rPr>
            </w:pPr>
            <w:r>
              <w:rPr>
                <w:rFonts w:hint="eastAsia" w:ascii="宋体" w:hAnsi="宋体" w:cs="宋体"/>
                <w:color w:val="auto"/>
                <w:kern w:val="0"/>
                <w:position w:val="-2"/>
                <w:szCs w:val="21"/>
                <w:highlight w:val="none"/>
              </w:rPr>
              <w:t>13</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position w:val="-2"/>
                <w:szCs w:val="21"/>
                <w:highlight w:val="none"/>
              </w:rPr>
            </w:pPr>
            <w:r>
              <w:rPr>
                <w:rFonts w:hint="eastAsia" w:ascii="宋体" w:hAnsi="宋体" w:cs="宋体"/>
                <w:color w:val="auto"/>
                <w:kern w:val="0"/>
                <w:szCs w:val="21"/>
                <w:highlight w:val="none"/>
              </w:rPr>
              <w:t>磋商报价及采购预算金额</w:t>
            </w:r>
          </w:p>
        </w:tc>
        <w:tc>
          <w:tcPr>
            <w:tcW w:w="6877" w:type="dxa"/>
            <w:vAlign w:val="center"/>
          </w:tcPr>
          <w:p>
            <w:pPr>
              <w:pageBreakBefore w:val="0"/>
              <w:kinsoku/>
              <w:wordWrap w:val="0"/>
              <w:topLinePunct w:val="0"/>
              <w:bidi w:val="0"/>
              <w:snapToGrid w:val="0"/>
              <w:spacing w:line="360" w:lineRule="exact"/>
              <w:jc w:val="left"/>
              <w:rPr>
                <w:rFonts w:ascii="宋体" w:hAnsi="宋体" w:cs="宋体"/>
                <w:color w:val="auto"/>
                <w:szCs w:val="21"/>
                <w:highlight w:val="none"/>
              </w:rPr>
            </w:pPr>
            <w:r>
              <w:rPr>
                <w:rFonts w:hint="eastAsia" w:ascii="宋体" w:hAnsi="宋体" w:cs="宋体"/>
                <w:bCs/>
                <w:color w:val="auto"/>
                <w:szCs w:val="21"/>
                <w:highlight w:val="none"/>
              </w:rPr>
              <w:t xml:space="preserve">13.1 </w:t>
            </w:r>
            <w:r>
              <w:rPr>
                <w:rFonts w:hint="eastAsia" w:ascii="宋体" w:hAnsi="宋体" w:cs="宋体"/>
                <w:color w:val="auto"/>
                <w:szCs w:val="21"/>
                <w:highlight w:val="none"/>
              </w:rPr>
              <w:t>本项目政府采购预算金额</w:t>
            </w:r>
            <w:r>
              <w:rPr>
                <w:rFonts w:hint="eastAsia" w:ascii="宋体" w:hAnsi="宋体" w:cs="宋体"/>
                <w:bCs/>
                <w:color w:val="auto"/>
                <w:szCs w:val="21"/>
                <w:highlight w:val="none"/>
              </w:rPr>
              <w:t xml:space="preserve"> (人民币)：</w:t>
            </w:r>
            <w:r>
              <w:rPr>
                <w:rFonts w:hint="eastAsia" w:ascii="宋体" w:hAnsi="宋体"/>
                <w:color w:val="auto"/>
                <w:highlight w:val="none"/>
                <w:lang w:eastAsia="zh-CN"/>
              </w:rPr>
              <w:t>壹佰叁拾壹万零贰佰壹拾肆元零贰分</w:t>
            </w:r>
            <w:r>
              <w:rPr>
                <w:rFonts w:hint="eastAsia" w:ascii="宋体" w:hAnsi="宋体"/>
                <w:color w:val="auto"/>
                <w:highlight w:val="none"/>
              </w:rPr>
              <w:t>（¥</w:t>
            </w:r>
            <w:r>
              <w:rPr>
                <w:rFonts w:hint="eastAsia" w:ascii="宋体" w:hAnsi="宋体"/>
                <w:color w:val="auto"/>
                <w:highlight w:val="none"/>
                <w:lang w:eastAsia="zh-CN"/>
              </w:rPr>
              <w:t>1310214.02</w:t>
            </w:r>
            <w:r>
              <w:rPr>
                <w:rFonts w:hint="eastAsia" w:ascii="宋体" w:hAnsi="宋体"/>
                <w:color w:val="auto"/>
                <w:highlight w:val="none"/>
              </w:rPr>
              <w:t>）</w:t>
            </w:r>
            <w:r>
              <w:rPr>
                <w:rFonts w:hint="eastAsia" w:ascii="宋体" w:hAnsi="宋体" w:cs="宋体"/>
                <w:bCs/>
                <w:color w:val="auto"/>
                <w:szCs w:val="21"/>
                <w:highlight w:val="none"/>
              </w:rPr>
              <w:t>。</w:t>
            </w:r>
            <w:r>
              <w:rPr>
                <w:rFonts w:hint="eastAsia" w:ascii="宋体" w:hAnsi="宋体" w:cs="宋体"/>
                <w:color w:val="auto"/>
                <w:szCs w:val="21"/>
                <w:highlight w:val="none"/>
              </w:rPr>
              <w:t>磋商报价超过政府采购预算金额的，响应文件按相应无效处理。</w:t>
            </w:r>
          </w:p>
          <w:p>
            <w:pPr>
              <w:pageBreakBefore w:val="0"/>
              <w:kinsoku/>
              <w:wordWrap w:val="0"/>
              <w:topLinePunct w:val="0"/>
              <w:bidi w:val="0"/>
              <w:snapToGrid w:val="0"/>
              <w:spacing w:line="360" w:lineRule="exact"/>
              <w:jc w:val="left"/>
              <w:rPr>
                <w:rFonts w:ascii="宋体" w:hAnsi="宋体" w:cs="宋体"/>
                <w:bCs/>
                <w:color w:val="auto"/>
                <w:szCs w:val="21"/>
                <w:highlight w:val="none"/>
              </w:rPr>
            </w:pPr>
            <w:r>
              <w:rPr>
                <w:rFonts w:hint="eastAsia" w:ascii="宋体" w:hAnsi="宋体" w:cs="宋体"/>
                <w:bCs/>
                <w:color w:val="auto"/>
                <w:szCs w:val="21"/>
                <w:highlight w:val="none"/>
              </w:rPr>
              <w:t>13.2 供应商必须就“</w:t>
            </w:r>
            <w:r>
              <w:rPr>
                <w:rFonts w:hint="eastAsia" w:ascii="宋体" w:hAnsi="宋体" w:cs="宋体"/>
                <w:bCs/>
                <w:color w:val="auto"/>
                <w:szCs w:val="21"/>
                <w:highlight w:val="none"/>
                <w:lang w:eastAsia="zh-CN"/>
              </w:rPr>
              <w:t>监理服务需求</w:t>
            </w:r>
            <w:r>
              <w:rPr>
                <w:rFonts w:hint="eastAsia" w:ascii="宋体" w:hAnsi="宋体" w:cs="宋体"/>
                <w:bCs/>
                <w:color w:val="auto"/>
                <w:szCs w:val="21"/>
                <w:highlight w:val="none"/>
              </w:rPr>
              <w:t>”中所有内容作完整唯一报价，否则，其响应将被拒绝；响应文件只允许有一个报价，有选择的或有条件的报价将不予接受。</w:t>
            </w:r>
          </w:p>
          <w:p>
            <w:pPr>
              <w:pageBreakBefore w:val="0"/>
              <w:kinsoku/>
              <w:wordWrap w:val="0"/>
              <w:topLinePunct w:val="0"/>
              <w:bidi w:val="0"/>
              <w:snapToGrid w:val="0"/>
              <w:spacing w:line="360" w:lineRule="exact"/>
              <w:jc w:val="left"/>
              <w:rPr>
                <w:rFonts w:ascii="宋体" w:hAnsi="宋体" w:cs="宋体"/>
                <w:color w:val="auto"/>
                <w:kern w:val="0"/>
                <w:szCs w:val="21"/>
                <w:highlight w:val="none"/>
              </w:rPr>
            </w:pPr>
            <w:r>
              <w:rPr>
                <w:rFonts w:hint="eastAsia" w:ascii="宋体" w:hAnsi="宋体" w:cs="宋体"/>
                <w:bCs/>
                <w:color w:val="auto"/>
                <w:szCs w:val="21"/>
                <w:highlight w:val="none"/>
              </w:rPr>
              <w:t>13.3</w:t>
            </w:r>
            <w:r>
              <w:rPr>
                <w:rFonts w:hint="eastAsia" w:ascii="宋体" w:hAnsi="宋体"/>
                <w:color w:val="auto"/>
                <w:kern w:val="0"/>
                <w:szCs w:val="21"/>
                <w:highlight w:val="none"/>
              </w:rPr>
              <w:t>未书面退出磋商的供应商必须在规定时间内登录</w:t>
            </w:r>
            <w:r>
              <w:rPr>
                <w:rFonts w:hint="eastAsia" w:ascii="宋体" w:hAnsi="宋体" w:cs="宋体"/>
                <w:bCs/>
                <w:color w:val="auto"/>
                <w:szCs w:val="21"/>
                <w:highlight w:val="none"/>
              </w:rPr>
              <w:t>“广西政府采购云”平台</w:t>
            </w:r>
            <w:r>
              <w:rPr>
                <w:rFonts w:hint="eastAsia" w:ascii="宋体" w:hAnsi="宋体"/>
                <w:color w:val="auto"/>
                <w:kern w:val="0"/>
                <w:szCs w:val="21"/>
                <w:highlight w:val="none"/>
              </w:rPr>
              <w:t>在线提交最后报价，其最后报价不得超出最高限价；磋商过程中磋商文件未作实质性变动的，</w:t>
            </w:r>
            <w:r>
              <w:rPr>
                <w:rFonts w:hint="eastAsia" w:ascii="宋体" w:hAnsi="宋体"/>
                <w:b/>
                <w:color w:val="auto"/>
                <w:kern w:val="0"/>
                <w:szCs w:val="21"/>
                <w:highlight w:val="none"/>
              </w:rPr>
              <w:t>最后报价不得超过首次报价</w:t>
            </w:r>
            <w:r>
              <w:rPr>
                <w:rFonts w:hint="eastAsia" w:ascii="宋体" w:hAnsi="宋体" w:cs="宋体"/>
                <w:b/>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position w:val="-2"/>
                <w:szCs w:val="21"/>
                <w:highlight w:val="none"/>
              </w:rPr>
            </w:pPr>
            <w:r>
              <w:rPr>
                <w:rFonts w:hint="eastAsia" w:ascii="宋体" w:hAnsi="宋体" w:cs="宋体"/>
                <w:color w:val="auto"/>
                <w:kern w:val="0"/>
                <w:position w:val="-2"/>
                <w:szCs w:val="21"/>
                <w:highlight w:val="none"/>
              </w:rPr>
              <w:t>14.</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position w:val="-2"/>
                <w:szCs w:val="21"/>
                <w:highlight w:val="none"/>
              </w:rPr>
            </w:pPr>
            <w:r>
              <w:rPr>
                <w:rFonts w:hint="eastAsia" w:ascii="宋体" w:hAnsi="宋体" w:cs="宋体"/>
                <w:color w:val="auto"/>
                <w:kern w:val="0"/>
                <w:szCs w:val="21"/>
                <w:highlight w:val="none"/>
              </w:rPr>
              <w:t>响应文件有效期</w:t>
            </w:r>
          </w:p>
        </w:tc>
        <w:tc>
          <w:tcPr>
            <w:tcW w:w="6877" w:type="dxa"/>
            <w:vAlign w:val="center"/>
          </w:tcPr>
          <w:p>
            <w:pPr>
              <w:pageBreakBefore w:val="0"/>
              <w:tabs>
                <w:tab w:val="left" w:pos="1305"/>
              </w:tabs>
              <w:kinsoku/>
              <w:wordWrap w:val="0"/>
              <w:topLinePunct w:val="0"/>
              <w:bidi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自响应文件递交截止时间之日起90天，有效期不足的响应文件将被拒绝。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电子响应文件的制作、加密</w:t>
            </w:r>
          </w:p>
        </w:tc>
        <w:tc>
          <w:tcPr>
            <w:tcW w:w="6877" w:type="dxa"/>
            <w:vAlign w:val="center"/>
          </w:tcPr>
          <w:p>
            <w:pPr>
              <w:pageBreakBefore w:val="0"/>
              <w:kinsoku/>
              <w:wordWrap w:val="0"/>
              <w:topLinePunct w:val="0"/>
              <w:bidi w:val="0"/>
              <w:snapToGrid w:val="0"/>
              <w:spacing w:line="380" w:lineRule="exact"/>
              <w:jc w:val="left"/>
              <w:rPr>
                <w:rFonts w:ascii="宋体" w:hAnsi="宋体" w:cs="宋体"/>
                <w:bCs/>
                <w:color w:val="auto"/>
                <w:szCs w:val="21"/>
                <w:highlight w:val="none"/>
              </w:rPr>
            </w:pPr>
            <w:r>
              <w:rPr>
                <w:rFonts w:hint="eastAsia" w:ascii="宋体" w:hAnsi="宋体" w:cs="宋体"/>
                <w:color w:val="auto"/>
                <w:kern w:val="0"/>
                <w:szCs w:val="21"/>
                <w:highlight w:val="none"/>
              </w:rPr>
              <w:t>15.1</w:t>
            </w:r>
            <w:r>
              <w:rPr>
                <w:rFonts w:hint="eastAsia" w:ascii="宋体" w:hAnsi="宋体" w:cs="宋体"/>
                <w:bCs/>
                <w:color w:val="auto"/>
                <w:szCs w:val="21"/>
                <w:highlight w:val="none"/>
              </w:rPr>
              <w:t>供应商制作电子响应文件前，应登录“广西政府采购云”平台进行“申请获取采购文件”操作，否则，有可能导致无法在线编制响应文件并参与竞标，其不利后果由供应商自行承担。</w:t>
            </w:r>
          </w:p>
          <w:p>
            <w:pPr>
              <w:pageBreakBefore w:val="0"/>
              <w:kinsoku/>
              <w:wordWrap w:val="0"/>
              <w:topLinePunct w:val="0"/>
              <w:bidi w:val="0"/>
              <w:snapToGrid w:val="0"/>
              <w:spacing w:line="380" w:lineRule="exact"/>
              <w:jc w:val="left"/>
              <w:rPr>
                <w:rFonts w:ascii="宋体" w:hAnsi="宋体" w:cs="宋体"/>
                <w:bCs/>
                <w:color w:val="auto"/>
                <w:szCs w:val="21"/>
                <w:highlight w:val="none"/>
              </w:rPr>
            </w:pPr>
            <w:r>
              <w:rPr>
                <w:rFonts w:hint="eastAsia" w:ascii="宋体" w:hAnsi="宋体" w:cs="宋体"/>
                <w:bCs/>
                <w:color w:val="auto"/>
                <w:szCs w:val="21"/>
                <w:highlight w:val="none"/>
              </w:rPr>
              <w:t>15.2供应商下载或获取竞争性磋商文件后，登录“广西政府采购云电子投标客户端”，按照本磋商文件</w:t>
            </w:r>
            <w:r>
              <w:rPr>
                <w:rFonts w:hint="eastAsia" w:ascii="宋体" w:hAnsi="宋体" w:cs="宋体"/>
                <w:color w:val="auto"/>
                <w:szCs w:val="21"/>
                <w:highlight w:val="none"/>
              </w:rPr>
              <w:t>规定的响应文件格式、顺序</w:t>
            </w:r>
            <w:r>
              <w:rPr>
                <w:rFonts w:hint="eastAsia" w:ascii="宋体" w:hAnsi="宋体" w:cs="宋体"/>
                <w:bCs/>
                <w:color w:val="auto"/>
                <w:szCs w:val="21"/>
                <w:highlight w:val="none"/>
              </w:rPr>
              <w:t>以及“广西政府采购云”平台的要求，通过“广西政府采购云电子投标客户端”编制电子响应文件。</w:t>
            </w:r>
          </w:p>
          <w:p>
            <w:pPr>
              <w:pageBreakBefore w:val="0"/>
              <w:kinsoku/>
              <w:wordWrap w:val="0"/>
              <w:topLinePunct w:val="0"/>
              <w:bidi w:val="0"/>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15.3</w:t>
            </w:r>
            <w:r>
              <w:rPr>
                <w:rFonts w:hint="eastAsia"/>
                <w:color w:val="auto"/>
                <w:highlight w:val="none"/>
              </w:rPr>
              <w:t>供应商</w:t>
            </w:r>
            <w:r>
              <w:rPr>
                <w:color w:val="auto"/>
                <w:highlight w:val="none"/>
              </w:rPr>
              <w:t>应按“广西政府采购云电子投标客户端”载明的“标书关联”功能进行电子</w:t>
            </w:r>
            <w:r>
              <w:rPr>
                <w:rFonts w:hint="eastAsia"/>
                <w:color w:val="auto"/>
                <w:highlight w:val="none"/>
              </w:rPr>
              <w:t>响应</w:t>
            </w:r>
            <w:r>
              <w:rPr>
                <w:color w:val="auto"/>
                <w:highlight w:val="none"/>
              </w:rPr>
              <w:t>文件的关联定位，以便</w:t>
            </w:r>
            <w:r>
              <w:rPr>
                <w:rFonts w:hint="eastAsia"/>
                <w:color w:val="auto"/>
                <w:highlight w:val="none"/>
              </w:rPr>
              <w:t>磋商小组</w:t>
            </w:r>
            <w:r>
              <w:rPr>
                <w:color w:val="auto"/>
                <w:highlight w:val="none"/>
              </w:rPr>
              <w:t>在评审时点击相应评审项可直接定位到该评审内容；如</w:t>
            </w:r>
            <w:r>
              <w:rPr>
                <w:rFonts w:hint="eastAsia"/>
                <w:color w:val="auto"/>
                <w:highlight w:val="none"/>
              </w:rPr>
              <w:t>供应商</w:t>
            </w:r>
            <w:r>
              <w:rPr>
                <w:color w:val="auto"/>
                <w:highlight w:val="none"/>
              </w:rPr>
              <w:t>的电子</w:t>
            </w:r>
            <w:r>
              <w:rPr>
                <w:rFonts w:hint="eastAsia"/>
                <w:color w:val="auto"/>
                <w:highlight w:val="none"/>
              </w:rPr>
              <w:t>响应</w:t>
            </w:r>
            <w:r>
              <w:rPr>
                <w:color w:val="auto"/>
                <w:highlight w:val="none"/>
              </w:rPr>
              <w:t>文件未能关联定位相应内容，或者关联定位的内容与该评审项不符，导致</w:t>
            </w:r>
            <w:r>
              <w:rPr>
                <w:rFonts w:hint="eastAsia"/>
                <w:color w:val="auto"/>
                <w:highlight w:val="none"/>
              </w:rPr>
              <w:t>磋商小组</w:t>
            </w:r>
            <w:r>
              <w:rPr>
                <w:color w:val="auto"/>
                <w:highlight w:val="none"/>
              </w:rPr>
              <w:t>无法查询并做出对</w:t>
            </w:r>
            <w:r>
              <w:rPr>
                <w:rFonts w:hint="eastAsia"/>
                <w:color w:val="auto"/>
                <w:highlight w:val="none"/>
              </w:rPr>
              <w:t>供应商</w:t>
            </w:r>
            <w:r>
              <w:rPr>
                <w:color w:val="auto"/>
                <w:highlight w:val="none"/>
              </w:rPr>
              <w:t>不利的评审，相关后果由</w:t>
            </w:r>
            <w:r>
              <w:rPr>
                <w:rFonts w:hint="eastAsia"/>
                <w:color w:val="auto"/>
                <w:highlight w:val="none"/>
              </w:rPr>
              <w:t>供应商</w:t>
            </w:r>
            <w:r>
              <w:rPr>
                <w:color w:val="auto"/>
                <w:highlight w:val="none"/>
              </w:rPr>
              <w:t>自行承担。</w:t>
            </w:r>
          </w:p>
          <w:p>
            <w:pPr>
              <w:pageBreakBefore w:val="0"/>
              <w:kinsoku/>
              <w:wordWrap w:val="0"/>
              <w:topLinePunct w:val="0"/>
              <w:bidi w:val="0"/>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15.4</w:t>
            </w:r>
            <w:r>
              <w:rPr>
                <w:rFonts w:hint="eastAsia" w:ascii="宋体" w:hAnsi="宋体" w:cs="宋体"/>
                <w:color w:val="auto"/>
                <w:highlight w:val="none"/>
              </w:rPr>
              <w:t>电子响应文件不得涂改，若有修改错漏处，须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pPr>
              <w:pageBreakBefore w:val="0"/>
              <w:kinsoku/>
              <w:wordWrap w:val="0"/>
              <w:topLinePunct w:val="0"/>
              <w:bidi w:val="0"/>
              <w:spacing w:line="340" w:lineRule="exact"/>
              <w:rPr>
                <w:rFonts w:ascii="宋体" w:hAnsi="宋体" w:cs="宋体"/>
                <w:color w:val="auto"/>
                <w:kern w:val="0"/>
                <w:szCs w:val="21"/>
                <w:highlight w:val="none"/>
              </w:rPr>
            </w:pPr>
            <w:r>
              <w:rPr>
                <w:rFonts w:hint="eastAsia" w:ascii="宋体" w:hAnsi="宋体" w:cs="宋体"/>
                <w:color w:val="auto"/>
                <w:szCs w:val="21"/>
                <w:highlight w:val="none"/>
              </w:rPr>
              <w:t>15.5供应商编制、生成电子响应文件后应当</w:t>
            </w:r>
            <w:r>
              <w:rPr>
                <w:rFonts w:hint="eastAsia" w:ascii="宋体" w:hAnsi="宋体" w:cs="宋体"/>
                <w:bCs/>
                <w:color w:val="auto"/>
                <w:szCs w:val="21"/>
                <w:highlight w:val="none"/>
              </w:rPr>
              <w:t>加密响应文件。供应商未按规定编制并加密的响应文件，“广西政府采购云”平台将予以拒收。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position w:val="10"/>
                <w:szCs w:val="21"/>
                <w:highlight w:val="none"/>
              </w:rPr>
            </w:pPr>
            <w:r>
              <w:rPr>
                <w:rFonts w:hint="eastAsia" w:ascii="宋体" w:hAnsi="宋体" w:cs="宋体"/>
                <w:color w:val="auto"/>
                <w:kern w:val="0"/>
                <w:position w:val="10"/>
                <w:szCs w:val="21"/>
                <w:highlight w:val="none"/>
              </w:rPr>
              <w:t>15.6</w:t>
            </w:r>
          </w:p>
        </w:tc>
        <w:tc>
          <w:tcPr>
            <w:tcW w:w="1486"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供应商公章、签字、电子签章、电子签名</w:t>
            </w:r>
          </w:p>
        </w:tc>
        <w:tc>
          <w:tcPr>
            <w:tcW w:w="6877" w:type="dxa"/>
            <w:vAlign w:val="center"/>
          </w:tcPr>
          <w:p>
            <w:pPr>
              <w:pageBreakBefore w:val="0"/>
              <w:kinsoku/>
              <w:wordWrap w:val="0"/>
              <w:topLinePunct w:val="0"/>
              <w:bidi w:val="0"/>
              <w:snapToGrid w:val="0"/>
              <w:spacing w:line="380" w:lineRule="exact"/>
              <w:jc w:val="left"/>
              <w:rPr>
                <w:rFonts w:ascii="宋体" w:hAnsi="宋体" w:cs="宋体"/>
                <w:color w:val="auto"/>
                <w:highlight w:val="none"/>
              </w:rPr>
            </w:pPr>
            <w:r>
              <w:rPr>
                <w:rFonts w:hint="eastAsia" w:ascii="宋体" w:hAnsi="宋体" w:cs="宋体"/>
                <w:color w:val="auto"/>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pPr>
              <w:pageBreakBefore w:val="0"/>
              <w:kinsoku/>
              <w:wordWrap w:val="0"/>
              <w:topLinePunct w:val="0"/>
              <w:bidi w:val="0"/>
              <w:snapToGrid w:val="0"/>
              <w:spacing w:line="380" w:lineRule="exact"/>
              <w:jc w:val="left"/>
              <w:rPr>
                <w:rFonts w:ascii="宋体" w:hAnsi="宋体" w:cs="宋体"/>
                <w:color w:val="auto"/>
                <w:highlight w:val="none"/>
              </w:rPr>
            </w:pPr>
            <w:r>
              <w:rPr>
                <w:rFonts w:hint="eastAsia" w:ascii="宋体" w:hAnsi="宋体" w:cs="宋体"/>
                <w:color w:val="auto"/>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pPr>
              <w:pageBreakBefore w:val="0"/>
              <w:kinsoku/>
              <w:wordWrap w:val="0"/>
              <w:topLinePunct w:val="0"/>
              <w:bidi w:val="0"/>
              <w:snapToGrid w:val="0"/>
              <w:spacing w:line="380" w:lineRule="exact"/>
              <w:jc w:val="left"/>
              <w:rPr>
                <w:rFonts w:ascii="宋体" w:hAnsi="宋体" w:cs="宋体"/>
                <w:color w:val="auto"/>
                <w:highlight w:val="none"/>
              </w:rPr>
            </w:pPr>
            <w:r>
              <w:rPr>
                <w:rFonts w:hint="eastAsia" w:ascii="宋体" w:hAnsi="宋体" w:cs="宋体"/>
                <w:color w:val="auto"/>
                <w:highlight w:val="none"/>
              </w:rPr>
              <w:t>15.6.3本竞争性磋商文件所称的“电子签章”、“电子签名”，是指经“广西政府采购云”平台认可的CA认证的电子签名数据为表现形式的印章，可用于签署电子响应文件，电子签章、电子签名与实物印章、手写签名具有同等法律效力，不因其采用电子化表现形式而否定其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75" w:type="dxa"/>
            <w:vAlign w:val="center"/>
          </w:tcPr>
          <w:p>
            <w:pPr>
              <w:pageBreakBefore w:val="0"/>
              <w:kinsoku/>
              <w:wordWrap w:val="0"/>
              <w:topLinePunct w:val="0"/>
              <w:bidi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993" w:type="dxa"/>
            <w:vAlign w:val="center"/>
          </w:tcPr>
          <w:p>
            <w:pPr>
              <w:pageBreakBefore w:val="0"/>
              <w:kinsoku/>
              <w:wordWrap w:val="0"/>
              <w:topLinePunct w:val="0"/>
              <w:bidi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486" w:type="dxa"/>
            <w:vAlign w:val="center"/>
          </w:tcPr>
          <w:p>
            <w:pPr>
              <w:pageBreakBefore w:val="0"/>
              <w:kinsoku/>
              <w:wordWrap w:val="0"/>
              <w:topLinePunct w:val="0"/>
              <w:bidi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首次响应文件的提交、撤回、修改</w:t>
            </w:r>
          </w:p>
        </w:tc>
        <w:tc>
          <w:tcPr>
            <w:tcW w:w="6877" w:type="dxa"/>
            <w:vAlign w:val="center"/>
          </w:tcPr>
          <w:p>
            <w:pPr>
              <w:pageBreakBefore w:val="0"/>
              <w:kinsoku/>
              <w:wordWrap w:val="0"/>
              <w:topLinePunct w:val="0"/>
              <w:bidi w:val="0"/>
              <w:spacing w:line="380" w:lineRule="exact"/>
              <w:rPr>
                <w:rFonts w:ascii="宋体" w:hAnsi="宋体" w:cs="宋体"/>
                <w:bCs/>
                <w:color w:val="auto"/>
                <w:szCs w:val="21"/>
                <w:highlight w:val="none"/>
              </w:rPr>
            </w:pPr>
            <w:r>
              <w:rPr>
                <w:rFonts w:hint="eastAsia" w:ascii="宋体" w:hAnsi="宋体" w:cs="宋体"/>
                <w:color w:val="auto"/>
                <w:szCs w:val="21"/>
                <w:highlight w:val="none"/>
              </w:rPr>
              <w:t>16.1</w:t>
            </w:r>
            <w:r>
              <w:rPr>
                <w:rFonts w:hint="eastAsia" w:ascii="宋体" w:hAnsi="宋体" w:cs="宋体"/>
                <w:color w:val="auto"/>
                <w:spacing w:val="-6"/>
                <w:szCs w:val="21"/>
                <w:highlight w:val="none"/>
              </w:rPr>
              <w:t>响应文件的提交截止时间：</w:t>
            </w:r>
            <w:r>
              <w:rPr>
                <w:rFonts w:hint="eastAsia" w:ascii="宋体" w:hAnsi="宋体" w:cs="宋体"/>
                <w:color w:val="auto"/>
                <w:spacing w:val="-6"/>
                <w:szCs w:val="21"/>
                <w:highlight w:val="none"/>
                <w:lang w:eastAsia="zh-CN"/>
              </w:rPr>
              <w:t>2024年6月13日</w:t>
            </w:r>
            <w:r>
              <w:rPr>
                <w:rFonts w:hint="eastAsia" w:ascii="宋体" w:hAnsi="宋体" w:cs="宋体"/>
                <w:color w:val="auto"/>
                <w:spacing w:val="-6"/>
                <w:szCs w:val="21"/>
                <w:highlight w:val="none"/>
              </w:rPr>
              <w:t>上午</w:t>
            </w:r>
            <w:r>
              <w:rPr>
                <w:rFonts w:hint="eastAsia" w:ascii="宋体" w:hAnsi="宋体" w:cs="宋体"/>
                <w:color w:val="auto"/>
                <w:spacing w:val="-6"/>
                <w:szCs w:val="21"/>
                <w:highlight w:val="none"/>
                <w:lang w:eastAsia="zh-CN"/>
              </w:rPr>
              <w:t>9:30</w:t>
            </w:r>
            <w:r>
              <w:rPr>
                <w:rFonts w:hint="eastAsia" w:ascii="宋体" w:hAnsi="宋体" w:cs="宋体"/>
                <w:color w:val="auto"/>
                <w:spacing w:val="-6"/>
                <w:szCs w:val="21"/>
                <w:highlight w:val="none"/>
              </w:rPr>
              <w:t>分</w:t>
            </w:r>
            <w:r>
              <w:rPr>
                <w:rFonts w:hint="eastAsia" w:ascii="宋体" w:hAnsi="宋体" w:cs="宋体"/>
                <w:bCs/>
                <w:color w:val="auto"/>
                <w:spacing w:val="-6"/>
                <w:szCs w:val="21"/>
                <w:highlight w:val="none"/>
              </w:rPr>
              <w:t>（北京时间）</w:t>
            </w:r>
          </w:p>
          <w:p>
            <w:pPr>
              <w:pageBreakBefore w:val="0"/>
              <w:kinsoku/>
              <w:wordWrap w:val="0"/>
              <w:topLinePunct w:val="0"/>
              <w:bidi w:val="0"/>
              <w:spacing w:line="380" w:lineRule="exact"/>
              <w:rPr>
                <w:rFonts w:ascii="宋体" w:hAnsi="宋体" w:cs="宋体"/>
                <w:color w:val="auto"/>
                <w:szCs w:val="21"/>
                <w:highlight w:val="none"/>
              </w:rPr>
            </w:pPr>
            <w:r>
              <w:rPr>
                <w:rFonts w:hint="eastAsia" w:ascii="宋体" w:hAnsi="宋体" w:cs="宋体"/>
                <w:color w:val="auto"/>
                <w:szCs w:val="21"/>
                <w:highlight w:val="none"/>
              </w:rPr>
              <w:t>16.2地点：通过“广西政府采购云”平台在线提交。</w:t>
            </w:r>
          </w:p>
          <w:p>
            <w:pPr>
              <w:pageBreakBefore w:val="0"/>
              <w:kinsoku/>
              <w:wordWrap w:val="0"/>
              <w:topLinePunct w:val="0"/>
              <w:bidi w:val="0"/>
              <w:adjustRightInd w:val="0"/>
              <w:snapToGrid w:val="0"/>
              <w:spacing w:line="380" w:lineRule="exact"/>
              <w:rPr>
                <w:rFonts w:ascii="宋体" w:hAnsi="宋体" w:cs="宋体"/>
                <w:bCs/>
                <w:color w:val="auto"/>
                <w:szCs w:val="21"/>
                <w:highlight w:val="none"/>
              </w:rPr>
            </w:pPr>
            <w:r>
              <w:rPr>
                <w:rFonts w:hint="eastAsia" w:ascii="宋体" w:hAnsi="宋体" w:cs="宋体"/>
                <w:bCs/>
                <w:color w:val="auto"/>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color w:val="auto"/>
                <w:kern w:val="0"/>
                <w:szCs w:val="21"/>
                <w:highlight w:val="none"/>
              </w:rPr>
              <w:t>在响应文件提交截止时间后的响应文件有效期内，供应商不得撤回其响应文件。</w:t>
            </w:r>
            <w:r>
              <w:rPr>
                <w:rFonts w:hint="eastAsia" w:ascii="宋体" w:hAnsi="宋体" w:cs="宋体"/>
                <w:bCs/>
                <w:color w:val="auto"/>
                <w:szCs w:val="21"/>
                <w:highlight w:val="none"/>
              </w:rPr>
              <w:t>响应文件提交截止时间前未成功将电子响应文件上传“广西政府采购云”平台的，视为未提交响应文件。</w:t>
            </w:r>
          </w:p>
          <w:p>
            <w:pPr>
              <w:pageBreakBefore w:val="0"/>
              <w:tabs>
                <w:tab w:val="left" w:pos="1305"/>
              </w:tabs>
              <w:kinsoku/>
              <w:wordWrap w:val="0"/>
              <w:topLinePunct w:val="0"/>
              <w:bidi w:val="0"/>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16.4除竞争性磋商文件另有规定外，供应商所提交的响应文件不予退还。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75" w:type="dxa"/>
            <w:vAlign w:val="center"/>
          </w:tcPr>
          <w:p>
            <w:pPr>
              <w:pageBreakBefore w:val="0"/>
              <w:kinsoku/>
              <w:wordWrap w:val="0"/>
              <w:topLinePunct w:val="0"/>
              <w:bidi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93" w:type="dxa"/>
            <w:vAlign w:val="center"/>
          </w:tcPr>
          <w:p>
            <w:pPr>
              <w:pageBreakBefore w:val="0"/>
              <w:kinsoku/>
              <w:wordWrap w:val="0"/>
              <w:topLinePunct w:val="0"/>
              <w:bidi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486" w:type="dxa"/>
            <w:vAlign w:val="center"/>
          </w:tcPr>
          <w:p>
            <w:pPr>
              <w:pageBreakBefore w:val="0"/>
              <w:kinsoku/>
              <w:wordWrap w:val="0"/>
              <w:topLinePunct w:val="0"/>
              <w:bidi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响应文件的解密</w:t>
            </w:r>
          </w:p>
        </w:tc>
        <w:tc>
          <w:tcPr>
            <w:tcW w:w="6877" w:type="dxa"/>
            <w:vAlign w:val="center"/>
          </w:tcPr>
          <w:p>
            <w:pPr>
              <w:pageBreakBefore w:val="0"/>
              <w:tabs>
                <w:tab w:val="left" w:pos="1305"/>
              </w:tabs>
              <w:kinsoku/>
              <w:wordWrap w:val="0"/>
              <w:topLinePunct w:val="0"/>
              <w:bidi w:val="0"/>
              <w:spacing w:line="360" w:lineRule="exact"/>
              <w:rPr>
                <w:rFonts w:ascii="宋体" w:hAnsi="宋体" w:cs="宋体"/>
                <w:color w:val="auto"/>
                <w:kern w:val="0"/>
                <w:szCs w:val="21"/>
                <w:highlight w:val="none"/>
              </w:rPr>
            </w:pPr>
            <w:r>
              <w:rPr>
                <w:rFonts w:ascii="宋体" w:hAnsi="宋体" w:cs="宋体"/>
                <w:color w:val="auto"/>
                <w:kern w:val="0"/>
                <w:szCs w:val="21"/>
                <w:highlight w:val="none"/>
              </w:rPr>
              <w:t>响应文件提交截止时间后，采购代理机构开启解密响应文件操作，“广西政府采购云”平台向各供应商发出电子加密响应文件解密通知，由供应商在系统发出解密通知后30分钟内自行使用加密的CA通过“项目采购-开标评标”功能对响应文件进行解密。若供应商在上述规定的时间内无法解密或解密失败的，可以在响应文件解密截止时间后30分钟内向采购代理机构现场提交电子备份响应文件【现场提交电子</w:t>
            </w:r>
            <w:r>
              <w:rPr>
                <w:rFonts w:hint="eastAsia" w:ascii="宋体" w:hAnsi="宋体" w:cs="宋体"/>
                <w:color w:val="auto"/>
                <w:kern w:val="0"/>
                <w:szCs w:val="21"/>
                <w:highlight w:val="none"/>
              </w:rPr>
              <w:t>备份</w:t>
            </w:r>
            <w:r>
              <w:rPr>
                <w:rFonts w:ascii="宋体" w:hAnsi="宋体" w:cs="宋体"/>
                <w:color w:val="auto"/>
                <w:kern w:val="0"/>
                <w:szCs w:val="21"/>
                <w:highlight w:val="none"/>
              </w:rPr>
              <w:t>响应文件地址：桂林市公共资源交易中心</w:t>
            </w:r>
            <w:r>
              <w:rPr>
                <w:rFonts w:hint="eastAsia" w:ascii="宋体" w:hAnsi="宋体" w:cs="宋体"/>
                <w:color w:val="auto"/>
                <w:kern w:val="0"/>
                <w:szCs w:val="21"/>
                <w:highlight w:val="none"/>
                <w:u w:val="single"/>
                <w:lang w:eastAsia="zh-CN"/>
              </w:rPr>
              <w:t>11号开标室</w:t>
            </w:r>
            <w:r>
              <w:rPr>
                <w:rFonts w:ascii="宋体" w:hAnsi="宋体" w:cs="宋体"/>
                <w:color w:val="auto"/>
                <w:kern w:val="0"/>
                <w:szCs w:val="21"/>
                <w:highlight w:val="none"/>
              </w:rPr>
              <w:t>（广西桂林市临桂区西城中路69号创业大厦西辅楼4楼北区）】</w:t>
            </w:r>
            <w:r>
              <w:rPr>
                <w:rFonts w:hint="eastAsia" w:ascii="宋体" w:hAnsi="宋体" w:cs="宋体"/>
                <w:color w:val="auto"/>
                <w:kern w:val="0"/>
                <w:szCs w:val="21"/>
                <w:highlight w:val="none"/>
              </w:rPr>
              <w:t>，</w:t>
            </w:r>
            <w:r>
              <w:rPr>
                <w:rFonts w:ascii="宋体" w:hAnsi="宋体" w:cs="宋体"/>
                <w:color w:val="auto"/>
                <w:kern w:val="0"/>
                <w:szCs w:val="21"/>
                <w:highlight w:val="none"/>
              </w:rPr>
              <w:t>或以电子邮件的形式提交电子备份响应文件（</w:t>
            </w:r>
            <w:r>
              <w:rPr>
                <w:rFonts w:hint="eastAsia" w:ascii="宋体" w:hAnsi="宋体"/>
                <w:color w:val="auto"/>
                <w:highlight w:val="none"/>
              </w:rPr>
              <w:t>接收电子备份</w:t>
            </w:r>
            <w:r>
              <w:rPr>
                <w:rFonts w:ascii="宋体" w:hAnsi="宋体" w:cs="宋体"/>
                <w:color w:val="auto"/>
                <w:kern w:val="0"/>
                <w:szCs w:val="21"/>
                <w:highlight w:val="none"/>
              </w:rPr>
              <w:t>响应</w:t>
            </w:r>
            <w:r>
              <w:rPr>
                <w:rFonts w:hint="eastAsia" w:ascii="宋体" w:hAnsi="宋体"/>
                <w:color w:val="auto"/>
                <w:highlight w:val="none"/>
              </w:rPr>
              <w:t>文件的电子邮箱为：以现场通知为准</w:t>
            </w:r>
            <w:r>
              <w:rPr>
                <w:rFonts w:ascii="宋体" w:hAnsi="宋体" w:cs="宋体"/>
                <w:color w:val="auto"/>
                <w:kern w:val="0"/>
                <w:szCs w:val="21"/>
                <w:highlight w:val="none"/>
              </w:rPr>
              <w:t>）</w:t>
            </w:r>
            <w:r>
              <w:rPr>
                <w:rFonts w:hint="eastAsia" w:ascii="宋体" w:hAnsi="宋体" w:cs="宋体"/>
                <w:color w:val="auto"/>
                <w:kern w:val="0"/>
                <w:szCs w:val="21"/>
                <w:highlight w:val="none"/>
              </w:rPr>
              <w:t>；</w:t>
            </w:r>
            <w:r>
              <w:rPr>
                <w:rFonts w:hint="eastAsia" w:ascii="宋体" w:hAnsi="宋体"/>
                <w:color w:val="auto"/>
                <w:highlight w:val="none"/>
              </w:rPr>
              <w:t>以现场通知为准</w:t>
            </w:r>
            <w:r>
              <w:rPr>
                <w:rFonts w:hint="eastAsia" w:ascii="宋体" w:hAnsi="宋体" w:cs="宋体"/>
                <w:color w:val="auto"/>
                <w:kern w:val="0"/>
                <w:szCs w:val="21"/>
                <w:highlight w:val="none"/>
              </w:rPr>
              <w:t>供应商未在上述规定的时间、地点（电子邮箱）提交的电子备份响应文件，采购代理机构不予接收或承认。</w:t>
            </w:r>
            <w:r>
              <w:rPr>
                <w:rFonts w:ascii="宋体" w:hAnsi="宋体" w:cs="宋体"/>
                <w:color w:val="auto"/>
                <w:kern w:val="0"/>
                <w:szCs w:val="21"/>
                <w:highlight w:val="none"/>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Cs w:val="21"/>
                <w:highlight w:val="none"/>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18.1</w:t>
            </w:r>
          </w:p>
        </w:tc>
        <w:tc>
          <w:tcPr>
            <w:tcW w:w="1486" w:type="dxa"/>
            <w:vAlign w:val="center"/>
          </w:tcPr>
          <w:p>
            <w:pPr>
              <w:pageBreakBefore w:val="0"/>
              <w:kinsoku/>
              <w:wordWrap w:val="0"/>
              <w:topLinePunct w:val="0"/>
              <w:bidi w:val="0"/>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磋商小组组成</w:t>
            </w:r>
          </w:p>
        </w:tc>
        <w:tc>
          <w:tcPr>
            <w:tcW w:w="6877" w:type="dxa"/>
            <w:vAlign w:val="center"/>
          </w:tcPr>
          <w:p>
            <w:pPr>
              <w:pageBreakBefore w:val="0"/>
              <w:kinsoku/>
              <w:wordWrap w:val="0"/>
              <w:topLinePunct w:val="0"/>
              <w:bidi w:val="0"/>
              <w:spacing w:line="340" w:lineRule="exact"/>
              <w:rPr>
                <w:rFonts w:ascii="宋体" w:hAnsi="宋体" w:cs="宋体"/>
                <w:color w:val="auto"/>
                <w:szCs w:val="21"/>
                <w:highlight w:val="none"/>
              </w:rPr>
            </w:pPr>
            <w:r>
              <w:rPr>
                <w:rFonts w:hint="eastAsia" w:ascii="宋体" w:hAnsi="宋体" w:cs="宋体"/>
                <w:color w:val="auto"/>
                <w:szCs w:val="21"/>
                <w:highlight w:val="none"/>
              </w:rPr>
              <w:t>磋商及评审组织工作由采购代理机构负责，具体磋商、评审工作由依法组建的磋商小组负责，本项目的磋商小组由采购人代表和有关方面的专家组成。磋商小组的构成：3人。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5" w:type="dxa"/>
            <w:vAlign w:val="center"/>
          </w:tcPr>
          <w:p>
            <w:pPr>
              <w:pageBreakBefore w:val="0"/>
              <w:kinsoku/>
              <w:wordWrap w:val="0"/>
              <w:topLinePunct w:val="0"/>
              <w:bidi w:val="0"/>
              <w:spacing w:line="360" w:lineRule="exact"/>
              <w:jc w:val="center"/>
              <w:rPr>
                <w:rFonts w:ascii="宋体" w:hAnsi="宋体" w:cs="宋体"/>
                <w:color w:val="auto"/>
                <w:kern w:val="0"/>
                <w:position w:val="-2"/>
                <w:szCs w:val="21"/>
                <w:highlight w:val="none"/>
              </w:rPr>
            </w:pPr>
            <w:r>
              <w:rPr>
                <w:rFonts w:hint="eastAsia" w:ascii="宋体" w:hAnsi="宋体" w:cs="宋体"/>
                <w:color w:val="auto"/>
                <w:kern w:val="0"/>
                <w:position w:val="-2"/>
                <w:szCs w:val="21"/>
                <w:highlight w:val="none"/>
              </w:rPr>
              <w:t>11</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18.2</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磋商时间、地点、人员</w:t>
            </w:r>
          </w:p>
        </w:tc>
        <w:tc>
          <w:tcPr>
            <w:tcW w:w="6877" w:type="dxa"/>
          </w:tcPr>
          <w:p>
            <w:pPr>
              <w:pageBreakBefore w:val="0"/>
              <w:kinsoku/>
              <w:wordWrap w:val="0"/>
              <w:topLinePunct w:val="0"/>
              <w:bidi w:val="0"/>
              <w:spacing w:line="360" w:lineRule="exact"/>
              <w:ind w:left="315" w:hanging="315" w:hangingChars="150"/>
              <w:rPr>
                <w:rFonts w:ascii="宋体" w:hAnsi="宋体" w:cs="宋体"/>
                <w:color w:val="auto"/>
                <w:kern w:val="0"/>
                <w:szCs w:val="21"/>
                <w:highlight w:val="none"/>
              </w:rPr>
            </w:pPr>
            <w:r>
              <w:rPr>
                <w:rFonts w:hint="eastAsia" w:ascii="宋体" w:hAnsi="宋体" w:cs="宋体"/>
                <w:color w:val="auto"/>
                <w:kern w:val="0"/>
                <w:szCs w:val="21"/>
                <w:highlight w:val="none"/>
              </w:rPr>
              <w:t>18.2.1 磋商时间：首次响应文件递交截止时间后。</w:t>
            </w:r>
          </w:p>
          <w:p>
            <w:pPr>
              <w:pageBreakBefore w:val="0"/>
              <w:kinsoku/>
              <w:wordWrap w:val="0"/>
              <w:topLinePunct w:val="0"/>
              <w:bidi w:val="0"/>
              <w:spacing w:line="360" w:lineRule="exact"/>
              <w:rPr>
                <w:rFonts w:ascii="宋体" w:hAnsi="宋体" w:cs="宋体"/>
                <w:bCs/>
                <w:color w:val="auto"/>
                <w:szCs w:val="21"/>
                <w:highlight w:val="none"/>
              </w:rPr>
            </w:pPr>
            <w:r>
              <w:rPr>
                <w:rFonts w:hint="eastAsia" w:ascii="宋体" w:hAnsi="宋体" w:cs="宋体"/>
                <w:color w:val="auto"/>
                <w:kern w:val="0"/>
                <w:szCs w:val="21"/>
                <w:highlight w:val="none"/>
              </w:rPr>
              <w:t>18.2.2磋商地点：</w:t>
            </w:r>
            <w:r>
              <w:rPr>
                <w:rFonts w:hint="eastAsia" w:ascii="宋体" w:hAnsi="宋体" w:cs="宋体"/>
                <w:bCs/>
                <w:color w:val="auto"/>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pPr>
              <w:pageBreakBefore w:val="0"/>
              <w:kinsoku/>
              <w:wordWrap w:val="0"/>
              <w:topLinePunct w:val="0"/>
              <w:bidi w:val="0"/>
              <w:spacing w:line="360" w:lineRule="exact"/>
              <w:rPr>
                <w:rFonts w:ascii="宋体" w:hAnsi="宋体" w:cs="宋体"/>
                <w:bCs/>
                <w:color w:val="auto"/>
                <w:szCs w:val="21"/>
                <w:highlight w:val="none"/>
              </w:rPr>
            </w:pPr>
            <w:r>
              <w:rPr>
                <w:rFonts w:hint="eastAsia" w:ascii="宋体" w:hAnsi="宋体" w:cs="宋体"/>
                <w:color w:val="auto"/>
                <w:kern w:val="0"/>
                <w:szCs w:val="21"/>
                <w:highlight w:val="none"/>
              </w:rPr>
              <w:t>18.2.3磋商参加人员：</w:t>
            </w:r>
            <w:r>
              <w:rPr>
                <w:rFonts w:hint="eastAsia" w:ascii="宋体" w:hAnsi="宋体" w:cs="宋体"/>
                <w:color w:val="auto"/>
                <w:szCs w:val="21"/>
                <w:highlight w:val="none"/>
              </w:rPr>
              <w:t>供应商法定代表人（负责人/自然人）或相应的委托代理人持有效身份证原件参加磋商。</w:t>
            </w:r>
            <w:r>
              <w:rPr>
                <w:rFonts w:hint="eastAsia" w:ascii="宋体" w:hAnsi="宋体" w:cs="宋体"/>
                <w:bCs/>
                <w:color w:val="auto"/>
                <w:szCs w:val="21"/>
                <w:highlight w:val="none"/>
              </w:rPr>
              <w:t>请供应商实时登录“广西政府采购云”平台等候在线磋商。</w:t>
            </w:r>
          </w:p>
          <w:p>
            <w:pPr>
              <w:pageBreakBefore w:val="0"/>
              <w:kinsoku/>
              <w:wordWrap w:val="0"/>
              <w:topLinePunct w:val="0"/>
              <w:bidi w:val="0"/>
              <w:spacing w:line="340" w:lineRule="exact"/>
              <w:rPr>
                <w:rFonts w:ascii="宋体" w:hAnsi="宋体" w:cs="宋体"/>
                <w:b/>
                <w:color w:val="auto"/>
                <w:kern w:val="0"/>
                <w:szCs w:val="21"/>
                <w:highlight w:val="none"/>
              </w:rPr>
            </w:pPr>
            <w:r>
              <w:rPr>
                <w:rFonts w:hint="eastAsia" w:ascii="宋体" w:hAnsi="宋体" w:cs="宋体"/>
                <w:color w:val="auto"/>
                <w:szCs w:val="21"/>
                <w:highlight w:val="none"/>
              </w:rPr>
              <w:t>18.2.4首次响应文件递交截止时间后，</w:t>
            </w:r>
            <w:r>
              <w:rPr>
                <w:rFonts w:hint="eastAsia" w:ascii="宋体" w:hAnsi="宋体" w:cs="宋体"/>
                <w:bCs/>
                <w:color w:val="auto"/>
                <w:szCs w:val="21"/>
                <w:highlight w:val="none"/>
              </w:rPr>
              <w:t>登录“广西政府采购云”平台在线解密开启。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19.2</w:t>
            </w:r>
          </w:p>
        </w:tc>
        <w:tc>
          <w:tcPr>
            <w:tcW w:w="1486" w:type="dxa"/>
            <w:vAlign w:val="center"/>
          </w:tcPr>
          <w:p>
            <w:pPr>
              <w:pStyle w:val="19"/>
              <w:pageBreakBefore w:val="0"/>
              <w:kinsoku/>
              <w:wordWrap w:val="0"/>
              <w:topLinePunct w:val="0"/>
              <w:bidi w:val="0"/>
              <w:spacing w:line="300" w:lineRule="exact"/>
              <w:ind w:left="29" w:leftChars="14"/>
              <w:jc w:val="center"/>
              <w:rPr>
                <w:rFonts w:hAnsi="宋体" w:cs="宋体"/>
                <w:color w:val="auto"/>
                <w:kern w:val="0"/>
                <w:szCs w:val="21"/>
                <w:highlight w:val="none"/>
              </w:rPr>
            </w:pPr>
            <w:r>
              <w:rPr>
                <w:rFonts w:hint="eastAsia" w:hAnsi="宋体" w:cs="宋体"/>
                <w:color w:val="auto"/>
                <w:kern w:val="0"/>
                <w:szCs w:val="21"/>
                <w:highlight w:val="none"/>
              </w:rPr>
              <w:t>评审办法</w:t>
            </w:r>
          </w:p>
        </w:tc>
        <w:tc>
          <w:tcPr>
            <w:tcW w:w="6877" w:type="dxa"/>
            <w:vAlign w:val="center"/>
          </w:tcPr>
          <w:p>
            <w:pPr>
              <w:pageBreakBefore w:val="0"/>
              <w:tabs>
                <w:tab w:val="left" w:pos="1140"/>
              </w:tabs>
              <w:kinsoku/>
              <w:wordWrap w:val="0"/>
              <w:topLinePunct w:val="0"/>
              <w:bidi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综合评分法，具体详见第四章评审办法。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信用查询</w:t>
            </w:r>
          </w:p>
        </w:tc>
        <w:tc>
          <w:tcPr>
            <w:tcW w:w="6877" w:type="dxa"/>
            <w:vAlign w:val="center"/>
          </w:tcPr>
          <w:p>
            <w:pPr>
              <w:pageBreakBefore w:val="0"/>
              <w:kinsoku/>
              <w:wordWrap w:val="0"/>
              <w:topLinePunct w:val="0"/>
              <w:bidi w:val="0"/>
              <w:spacing w:line="360" w:lineRule="exact"/>
              <w:ind w:left="67" w:leftChars="20" w:hanging="25" w:hangingChars="12"/>
              <w:rPr>
                <w:rFonts w:ascii="宋体" w:hAnsi="宋体" w:cs="宋体"/>
                <w:color w:val="auto"/>
                <w:kern w:val="0"/>
                <w:szCs w:val="21"/>
                <w:highlight w:val="none"/>
              </w:rPr>
            </w:pPr>
            <w:r>
              <w:rPr>
                <w:rFonts w:hint="eastAsia" w:ascii="宋体" w:hAnsi="宋体" w:cs="宋体"/>
                <w:color w:val="auto"/>
                <w:kern w:val="0"/>
                <w:szCs w:val="21"/>
                <w:highlight w:val="none"/>
              </w:rPr>
              <w:t>根据《关于做好政府采购有关信用主体标识码登记及在政府采购活动中查询使用信用记录有关问题的通知》（桂财采〔2016〕37），由采购代理机构对第一成交候选人进行信用查询：</w:t>
            </w:r>
          </w:p>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（1）查询渠道：“信用中国”网站(</w:t>
            </w:r>
            <w:r>
              <w:rPr>
                <w:rFonts w:hint="eastAsia" w:ascii="宋体" w:hAnsi="宋体" w:cs="宋体"/>
                <w:bCs/>
                <w:color w:val="auto"/>
                <w:szCs w:val="21"/>
                <w:highlight w:val="none"/>
              </w:rPr>
              <w:t>http://</w:t>
            </w:r>
            <w:r>
              <w:rPr>
                <w:rFonts w:hint="eastAsia" w:ascii="宋体" w:hAnsi="宋体" w:cs="宋体"/>
                <w:color w:val="auto"/>
                <w:kern w:val="0"/>
                <w:szCs w:val="21"/>
                <w:highlight w:val="none"/>
              </w:rPr>
              <w:t>www.creditchina.gov.cn)、中国政府采购网(</w:t>
            </w:r>
            <w:r>
              <w:rPr>
                <w:rFonts w:hint="eastAsia" w:ascii="宋体" w:hAnsi="宋体" w:cs="宋体"/>
                <w:bCs/>
                <w:color w:val="auto"/>
                <w:szCs w:val="21"/>
                <w:highlight w:val="none"/>
              </w:rPr>
              <w:t>http://</w:t>
            </w:r>
            <w:r>
              <w:rPr>
                <w:rFonts w:hint="eastAsia" w:ascii="宋体" w:hAnsi="宋体" w:cs="宋体"/>
                <w:color w:val="auto"/>
                <w:kern w:val="0"/>
                <w:szCs w:val="21"/>
                <w:highlight w:val="none"/>
              </w:rPr>
              <w:t>www.ccgp.gov.cn)等；</w:t>
            </w:r>
          </w:p>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（2）查询截止时间：成交通知书发出前；</w:t>
            </w:r>
          </w:p>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（3）信用信息查询记录和证据留存方式：在查询网站中直接打印查询记录，打印材料作为采购活动资料保存；</w:t>
            </w:r>
          </w:p>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信用信息使用规则：对在“信用中国”网站(</w:t>
            </w:r>
            <w:r>
              <w:rPr>
                <w:rFonts w:hint="eastAsia" w:ascii="宋体" w:hAnsi="宋体" w:cs="宋体"/>
                <w:bCs/>
                <w:color w:val="auto"/>
                <w:szCs w:val="21"/>
                <w:highlight w:val="none"/>
              </w:rPr>
              <w:t>http://</w:t>
            </w:r>
            <w:r>
              <w:rPr>
                <w:rFonts w:hint="eastAsia" w:ascii="宋体" w:hAnsi="宋体" w:cs="宋体"/>
                <w:color w:val="auto"/>
                <w:szCs w:val="21"/>
                <w:highlight w:val="none"/>
              </w:rPr>
              <w:t>www.creditchina.gov.cn)、中国政府采购网(</w:t>
            </w:r>
            <w:r>
              <w:rPr>
                <w:rFonts w:hint="eastAsia" w:ascii="宋体" w:hAnsi="宋体" w:cs="宋体"/>
                <w:bCs/>
                <w:color w:val="auto"/>
                <w:szCs w:val="21"/>
                <w:highlight w:val="none"/>
              </w:rPr>
              <w:t>http://</w:t>
            </w:r>
            <w:r>
              <w:rPr>
                <w:rFonts w:hint="eastAsia" w:ascii="宋体" w:hAnsi="宋体" w:cs="宋体"/>
                <w:color w:val="auto"/>
                <w:szCs w:val="21"/>
                <w:highlight w:val="none"/>
              </w:rPr>
              <w:t>www.ccgp.gov.cn)等渠道列入失信被执行人、</w:t>
            </w:r>
            <w:r>
              <w:rPr>
                <w:rFonts w:hint="eastAsia" w:ascii="宋体" w:hAnsi="宋体" w:cs="宋体"/>
                <w:color w:val="auto"/>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993" w:type="dxa"/>
            <w:vAlign w:val="center"/>
          </w:tcPr>
          <w:p>
            <w:pPr>
              <w:pageBreakBefore w:val="0"/>
              <w:kinsoku/>
              <w:wordWrap w:val="0"/>
              <w:topLinePunct w:val="0"/>
              <w:bidi w:val="0"/>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486" w:type="dxa"/>
            <w:vAlign w:val="center"/>
          </w:tcPr>
          <w:p>
            <w:pPr>
              <w:pageBreakBefore w:val="0"/>
              <w:kinsoku/>
              <w:wordWrap w:val="0"/>
              <w:topLinePunct w:val="0"/>
              <w:bidi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成交公告</w:t>
            </w:r>
          </w:p>
          <w:p>
            <w:pPr>
              <w:pageBreakBefore w:val="0"/>
              <w:kinsoku/>
              <w:wordWrap w:val="0"/>
              <w:topLinePunct w:val="0"/>
              <w:bidi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及成交通知书</w:t>
            </w:r>
          </w:p>
        </w:tc>
        <w:tc>
          <w:tcPr>
            <w:tcW w:w="6877" w:type="dxa"/>
          </w:tcPr>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27.3在发布成交公告的同时，采购代理机构向成交供应商发出成交通知书。成交供应商应自接到通知之日起七个工作日内，办理成交通知书领取手续。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vAlign w:val="center"/>
          </w:tcPr>
          <w:p>
            <w:pPr>
              <w:pageBreakBefore w:val="0"/>
              <w:kinsoku/>
              <w:wordWrap w:val="0"/>
              <w:topLinePunct w:val="0"/>
              <w:bidi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993"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28.1</w:t>
            </w:r>
          </w:p>
        </w:tc>
        <w:tc>
          <w:tcPr>
            <w:tcW w:w="1486" w:type="dxa"/>
            <w:vAlign w:val="center"/>
          </w:tcPr>
          <w:p>
            <w:pPr>
              <w:pageBreakBefore w:val="0"/>
              <w:kinsoku/>
              <w:wordWrap w:val="0"/>
              <w:topLinePunct w:val="0"/>
              <w:bidi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履约保证金</w:t>
            </w:r>
          </w:p>
        </w:tc>
        <w:tc>
          <w:tcPr>
            <w:tcW w:w="6877" w:type="dxa"/>
            <w:vAlign w:val="center"/>
          </w:tcPr>
          <w:p>
            <w:pPr>
              <w:pStyle w:val="144"/>
              <w:pageBreakBefore w:val="0"/>
              <w:kinsoku/>
              <w:wordWrap w:val="0"/>
              <w:topLinePunct w:val="0"/>
              <w:bidi w:val="0"/>
              <w:spacing w:line="360" w:lineRule="exact"/>
              <w:ind w:firstLine="0" w:firstLineChars="0"/>
              <w:rPr>
                <w:rFonts w:ascii="宋体" w:hAnsi="宋体" w:cs="宋体"/>
                <w:b/>
                <w:color w:val="auto"/>
                <w:kern w:val="0"/>
                <w:szCs w:val="21"/>
                <w:highlight w:val="none"/>
              </w:rPr>
            </w:pPr>
            <w:r>
              <w:rPr>
                <w:rFonts w:hint="eastAsia" w:ascii="宋体" w:hAnsi="宋体" w:cs="宋体"/>
                <w:color w:val="auto"/>
                <w:kern w:val="0"/>
                <w:szCs w:val="21"/>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93"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29.1</w:t>
            </w:r>
          </w:p>
        </w:tc>
        <w:tc>
          <w:tcPr>
            <w:tcW w:w="1486" w:type="dxa"/>
            <w:vAlign w:val="center"/>
          </w:tcPr>
          <w:p>
            <w:pPr>
              <w:pageBreakBefore w:val="0"/>
              <w:kinsoku/>
              <w:wordWrap w:val="0"/>
              <w:topLinePunct w:val="0"/>
              <w:bidi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签订合同时间</w:t>
            </w:r>
          </w:p>
        </w:tc>
        <w:tc>
          <w:tcPr>
            <w:tcW w:w="6877" w:type="dxa"/>
            <w:vAlign w:val="center"/>
          </w:tcPr>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成交通知书发出之日起8个工作日内。成交供应商领取成交通知书后，应按规定与采购人签订合同。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993"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29.3</w:t>
            </w:r>
          </w:p>
        </w:tc>
        <w:tc>
          <w:tcPr>
            <w:tcW w:w="1486" w:type="dxa"/>
            <w:vAlign w:val="center"/>
          </w:tcPr>
          <w:p>
            <w:pPr>
              <w:pageBreakBefore w:val="0"/>
              <w:kinsoku/>
              <w:wordWrap w:val="0"/>
              <w:topLinePunct w:val="0"/>
              <w:bidi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合同备案存档</w:t>
            </w:r>
          </w:p>
        </w:tc>
        <w:tc>
          <w:tcPr>
            <w:tcW w:w="6877" w:type="dxa"/>
            <w:vAlign w:val="center"/>
          </w:tcPr>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财政局备案，一份由采购代理机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993"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30.1</w:t>
            </w:r>
          </w:p>
        </w:tc>
        <w:tc>
          <w:tcPr>
            <w:tcW w:w="1486" w:type="dxa"/>
            <w:vAlign w:val="center"/>
          </w:tcPr>
          <w:p>
            <w:pPr>
              <w:pageBreakBefore w:val="0"/>
              <w:kinsoku/>
              <w:wordWrap w:val="0"/>
              <w:topLinePunct w:val="0"/>
              <w:bidi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采购代理服务费</w:t>
            </w:r>
          </w:p>
        </w:tc>
        <w:tc>
          <w:tcPr>
            <w:tcW w:w="6877" w:type="dxa"/>
          </w:tcPr>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本项目代理服务费按本须知第30.2条“代理服务收费标准”中服务类收费标准计算，由成交供应商在领取成交通知书前，向采购代理机构一次性支付。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93"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1486" w:type="dxa"/>
            <w:vAlign w:val="center"/>
          </w:tcPr>
          <w:p>
            <w:pPr>
              <w:pageBreakBefore w:val="0"/>
              <w:kinsoku/>
              <w:wordWrap w:val="0"/>
              <w:topLinePunct w:val="0"/>
              <w:bidi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解释权</w:t>
            </w:r>
          </w:p>
        </w:tc>
        <w:tc>
          <w:tcPr>
            <w:tcW w:w="6877" w:type="dxa"/>
          </w:tcPr>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5"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993" w:type="dxa"/>
            <w:vAlign w:val="center"/>
          </w:tcPr>
          <w:p>
            <w:pPr>
              <w:pageBreakBefore w:val="0"/>
              <w:kinsoku/>
              <w:wordWrap w:val="0"/>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1486" w:type="dxa"/>
            <w:vAlign w:val="center"/>
          </w:tcPr>
          <w:p>
            <w:pPr>
              <w:pageBreakBefore w:val="0"/>
              <w:kinsoku/>
              <w:wordWrap w:val="0"/>
              <w:topLinePunct w:val="0"/>
              <w:bidi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监督管理机构</w:t>
            </w:r>
          </w:p>
        </w:tc>
        <w:tc>
          <w:tcPr>
            <w:tcW w:w="6877" w:type="dxa"/>
            <w:vAlign w:val="center"/>
          </w:tcPr>
          <w:p>
            <w:pPr>
              <w:pStyle w:val="144"/>
              <w:pageBreakBefore w:val="0"/>
              <w:kinsoku/>
              <w:wordWrap w:val="0"/>
              <w:topLinePunct w:val="0"/>
              <w:bidi w:val="0"/>
              <w:spacing w:line="360" w:lineRule="exact"/>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桂林市财政局；联系电话：0773-2862142</w:t>
            </w:r>
          </w:p>
        </w:tc>
      </w:tr>
    </w:tbl>
    <w:p>
      <w:pPr>
        <w:keepNext w:val="0"/>
        <w:keepLines w:val="0"/>
        <w:pageBreakBefore w:val="0"/>
        <w:kinsoku/>
        <w:wordWrap w:val="0"/>
        <w:overflowPunct/>
        <w:topLinePunct w:val="0"/>
        <w:autoSpaceDE/>
        <w:autoSpaceDN/>
        <w:bidi w:val="0"/>
        <w:spacing w:line="370" w:lineRule="exact"/>
        <w:ind w:firstLine="562"/>
        <w:jc w:val="center"/>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一、总则</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1.适应范围</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 项目编号及项目名称：</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项目编号：</w:t>
      </w:r>
      <w:r>
        <w:rPr>
          <w:rFonts w:hint="eastAsia" w:ascii="宋体" w:hAnsi="宋体" w:cs="宋体"/>
          <w:color w:val="auto"/>
          <w:szCs w:val="21"/>
          <w:highlight w:val="none"/>
          <w:lang w:eastAsia="zh-CN"/>
        </w:rPr>
        <w:t>GLZC2024-C3-990529-HCDZ</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szCs w:val="21"/>
          <w:highlight w:val="none"/>
          <w:lang w:eastAsia="zh-CN"/>
        </w:rPr>
        <w:t>桂林市秀峰区甲山村委老庙山等6处危岩地质灾害治理工程监理服务</w:t>
      </w:r>
    </w:p>
    <w:p>
      <w:pPr>
        <w:pStyle w:val="17"/>
        <w:keepNext w:val="0"/>
        <w:keepLines w:val="0"/>
        <w:pageBreakBefore w:val="0"/>
        <w:kinsoku/>
        <w:wordWrap w:val="0"/>
        <w:overflowPunct/>
        <w:topLinePunct w:val="0"/>
        <w:autoSpaceDE/>
        <w:autoSpaceDN/>
        <w:bidi w:val="0"/>
        <w:spacing w:after="0"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1.2 本竞争性磋商文件（以下简称磋商文件）适用于本磋商项目的磋商、评审、合同履约、验收、付款等行为（法律、法规另有规定的，从其规定）。</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2.定义</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 “供应商”是指符合本次采购项目的供应商资格并提交响应文件、参加磋商的供应商。如果该供应商在本次磋商中成交，即成为“成交供应商”。</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2.2 “服务”系指按磋商文件规定，供应商须承担</w:t>
      </w:r>
      <w:r>
        <w:rPr>
          <w:rFonts w:hint="eastAsia" w:ascii="宋体" w:hAnsi="宋体" w:cs="宋体"/>
          <w:color w:val="auto"/>
          <w:szCs w:val="21"/>
          <w:highlight w:val="none"/>
        </w:rPr>
        <w:t>市直机关警卫中队外聘保安分队安保服务</w:t>
      </w:r>
      <w:r>
        <w:rPr>
          <w:rFonts w:hint="eastAsia" w:ascii="宋体" w:hAnsi="宋体" w:cs="宋体"/>
          <w:color w:val="auto"/>
          <w:kern w:val="0"/>
          <w:szCs w:val="21"/>
          <w:highlight w:val="none"/>
        </w:rPr>
        <w:t>以及其他类似的义务。</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2.3 “项目”系指供应商按磋商文件规定向采购人提供的服务。</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2.4 “书面形式”包括信函、传真、电报等。</w:t>
      </w:r>
    </w:p>
    <w:p>
      <w:pPr>
        <w:keepNext w:val="0"/>
        <w:keepLines w:val="0"/>
        <w:pageBreakBefore w:val="0"/>
        <w:kinsoku/>
        <w:wordWrap w:val="0"/>
        <w:overflowPunct/>
        <w:topLinePunct w:val="0"/>
        <w:autoSpaceDE/>
        <w:autoSpaceDN/>
        <w:bidi w:val="0"/>
        <w:adjustRightInd w:val="0"/>
        <w:snapToGrid w:val="0"/>
        <w:spacing w:line="370" w:lineRule="exact"/>
        <w:ind w:firstLine="420" w:firstLineChars="200"/>
        <w:jc w:val="left"/>
        <w:textAlignment w:val="auto"/>
        <w:rPr>
          <w:rFonts w:hAnsi="宋体" w:cs="宋体"/>
          <w:color w:val="auto"/>
          <w:kern w:val="0"/>
          <w:szCs w:val="21"/>
          <w:highlight w:val="none"/>
        </w:rPr>
      </w:pPr>
      <w:r>
        <w:rPr>
          <w:rFonts w:hint="eastAsia" w:ascii="宋体" w:hAnsi="宋体" w:cs="宋体"/>
          <w:color w:val="auto"/>
          <w:kern w:val="0"/>
          <w:szCs w:val="21"/>
          <w:highlight w:val="none"/>
        </w:rPr>
        <w:t>2.5</w:t>
      </w:r>
      <w:r>
        <w:rPr>
          <w:rFonts w:hint="eastAsia" w:ascii="宋体" w:hAnsi="宋体" w:cs="宋体"/>
          <w:b/>
          <w:color w:val="auto"/>
          <w:kern w:val="0"/>
          <w:szCs w:val="20"/>
          <w:highlight w:val="none"/>
        </w:rPr>
        <w:t>“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pPr>
        <w:pStyle w:val="19"/>
        <w:keepNext w:val="0"/>
        <w:keepLines w:val="0"/>
        <w:pageBreakBefore w:val="0"/>
        <w:kinsoku/>
        <w:wordWrap w:val="0"/>
        <w:overflowPunct/>
        <w:topLinePunct w:val="0"/>
        <w:autoSpaceDE/>
        <w:autoSpaceDN/>
        <w:bidi w:val="0"/>
        <w:adjustRightInd w:val="0"/>
        <w:snapToGrid w:val="0"/>
        <w:spacing w:line="370" w:lineRule="exact"/>
        <w:ind w:firstLine="420" w:firstLineChars="200"/>
        <w:jc w:val="left"/>
        <w:textAlignment w:val="auto"/>
        <w:rPr>
          <w:rFonts w:hAnsi="宋体" w:cs="宋体"/>
          <w:b/>
          <w:color w:val="auto"/>
          <w:kern w:val="0"/>
          <w:highlight w:val="none"/>
        </w:rPr>
      </w:pPr>
      <w:r>
        <w:rPr>
          <w:rFonts w:hint="eastAsia" w:hAnsi="宋体" w:cs="宋体"/>
          <w:color w:val="auto"/>
          <w:kern w:val="0"/>
          <w:szCs w:val="21"/>
          <w:highlight w:val="none"/>
        </w:rPr>
        <w:t>2.6</w:t>
      </w:r>
      <w:r>
        <w:rPr>
          <w:rFonts w:hint="eastAsia" w:hAnsi="宋体" w:cs="宋体"/>
          <w:b/>
          <w:color w:val="auto"/>
          <w:kern w:val="0"/>
          <w:highlight w:val="none"/>
        </w:rPr>
        <w:t>实质性要求：</w:t>
      </w:r>
      <w:r>
        <w:rPr>
          <w:rFonts w:hint="eastAsia" w:hAnsi="宋体"/>
          <w:b/>
          <w:bCs/>
          <w:color w:val="auto"/>
          <w:highlight w:val="none"/>
          <w:shd w:val="clear" w:color="auto" w:fill="FFFFFF"/>
        </w:rPr>
        <w:t>标注★号项的要求为实质性要求。</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3.供应商资格</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3.2落实政府采购政策需满足的资格要求：</w:t>
      </w:r>
      <w:r>
        <w:rPr>
          <w:rFonts w:hint="eastAsia" w:ascii="宋体" w:hAnsi="宋体" w:cs="宋体"/>
          <w:color w:val="auto"/>
          <w:szCs w:val="21"/>
          <w:highlight w:val="none"/>
          <w:lang w:eastAsia="zh-CN"/>
        </w:rPr>
        <w:t>本项目非专门面向小微企业采购。</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eastAsia="zh-CN"/>
        </w:rPr>
        <w:t>具有地质灾害防治单位证书监理类甲级资质。</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资格条件特别说明：</w:t>
      </w:r>
    </w:p>
    <w:p>
      <w:pPr>
        <w:keepNext w:val="0"/>
        <w:keepLines w:val="0"/>
        <w:pageBreakBefore w:val="0"/>
        <w:kinsoku/>
        <w:wordWrap w:val="0"/>
        <w:overflowPunct/>
        <w:topLinePunct w:val="0"/>
        <w:autoSpaceDE/>
        <w:autoSpaceDN/>
        <w:bidi w:val="0"/>
        <w:spacing w:line="37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tabs>
          <w:tab w:val="left" w:pos="163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highlight w:val="none"/>
        </w:rPr>
        <w:t>（2）对在“信用中国”网站(</w:t>
      </w:r>
      <w:r>
        <w:rPr>
          <w:rFonts w:hint="eastAsia" w:ascii="宋体" w:hAnsi="宋体" w:cs="宋体"/>
          <w:bCs/>
          <w:color w:val="auto"/>
          <w:szCs w:val="21"/>
          <w:highlight w:val="none"/>
        </w:rPr>
        <w:t>http://</w:t>
      </w:r>
      <w:r>
        <w:rPr>
          <w:rFonts w:hint="eastAsia" w:ascii="宋体" w:hAnsi="宋体" w:cs="宋体"/>
          <w:color w:val="auto"/>
          <w:highlight w:val="none"/>
        </w:rPr>
        <w:t>www.creditchina.gov.cn) 、中国政府采购网(</w:t>
      </w:r>
      <w:r>
        <w:rPr>
          <w:rFonts w:hint="eastAsia" w:ascii="宋体" w:hAnsi="宋体" w:cs="宋体"/>
          <w:bCs/>
          <w:color w:val="auto"/>
          <w:szCs w:val="21"/>
          <w:highlight w:val="none"/>
        </w:rPr>
        <w:t>http://</w:t>
      </w:r>
      <w:r>
        <w:rPr>
          <w:rFonts w:hint="eastAsia" w:ascii="宋体" w:hAnsi="宋体" w:cs="宋体"/>
          <w:color w:val="auto"/>
          <w:highlight w:val="none"/>
        </w:rPr>
        <w:t>www.ccgp.gov.cn)被列入失信被执行人、重大税收违法失信主体、政府采购严重违法失信行为记录名单及其他不符合《中华人民共和国政府采购法》第二十二条规定条件的供应商，不得参与政府采购活动。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4.参与电子竞标的准备工作</w:t>
      </w:r>
    </w:p>
    <w:p>
      <w:pPr>
        <w:keepNext w:val="0"/>
        <w:keepLines w:val="0"/>
        <w:pageBreakBefore w:val="0"/>
        <w:tabs>
          <w:tab w:val="left" w:pos="163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供应商应当在响应文件提交截止时间前在“广西政府采购云”平台完成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竞标或竞标失败的，造成的一切后果，由供应商自行承担。</w:t>
      </w:r>
    </w:p>
    <w:p>
      <w:pPr>
        <w:keepNext w:val="0"/>
        <w:keepLines w:val="0"/>
        <w:pageBreakBefore w:val="0"/>
        <w:tabs>
          <w:tab w:val="left" w:pos="163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4.2电子竞标具体操作流程参考《政府采购项目电子交易管理操作指南-供应商》（详见桂林市政府采购网—采购资讯—重要通知）；如遇平台技术问题详询95763。</w:t>
      </w:r>
    </w:p>
    <w:p>
      <w:pPr>
        <w:keepNext w:val="0"/>
        <w:keepLines w:val="0"/>
        <w:pageBreakBefore w:val="0"/>
        <w:tabs>
          <w:tab w:val="left" w:pos="163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4.3不论磋商结果如何，供应商均应自行承担所有与磋商有关的全部费用。</w:t>
      </w:r>
    </w:p>
    <w:p>
      <w:pPr>
        <w:keepNext w:val="0"/>
        <w:keepLines w:val="0"/>
        <w:pageBreakBefore w:val="0"/>
        <w:tabs>
          <w:tab w:val="left" w:pos="1635"/>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5.联合体要求：</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b/>
          <w:color w:val="auto"/>
          <w:kern w:val="0"/>
          <w:szCs w:val="21"/>
          <w:highlight w:val="none"/>
        </w:rPr>
      </w:pPr>
      <w:r>
        <w:rPr>
          <w:rFonts w:hint="eastAsia" w:ascii="宋体" w:hAnsi="宋体" w:cs="宋体"/>
          <w:color w:val="auto"/>
          <w:kern w:val="0"/>
          <w:szCs w:val="21"/>
          <w:highlight w:val="none"/>
        </w:rPr>
        <w:t>本项目不接受联合体参与磋商。</w:t>
      </w:r>
    </w:p>
    <w:p>
      <w:pPr>
        <w:keepNext w:val="0"/>
        <w:keepLines w:val="0"/>
        <w:pageBreakBefore w:val="0"/>
        <w:tabs>
          <w:tab w:val="left" w:pos="2190"/>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6.质疑和投诉</w:t>
      </w:r>
      <w:r>
        <w:rPr>
          <w:rFonts w:hint="eastAsia" w:ascii="宋体" w:hAnsi="宋体" w:cs="宋体"/>
          <w:b/>
          <w:color w:val="auto"/>
          <w:kern w:val="0"/>
          <w:szCs w:val="21"/>
          <w:highlight w:val="none"/>
        </w:rPr>
        <w:tab/>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Cs w:val="21"/>
          <w:highlight w:val="none"/>
        </w:rPr>
        <w:t>（“质疑函”格式见附表1）</w:t>
      </w:r>
      <w:r>
        <w:rPr>
          <w:rFonts w:hint="eastAsia" w:ascii="宋体" w:hAnsi="宋体" w:cs="宋体"/>
          <w:color w:val="auto"/>
          <w:szCs w:val="21"/>
          <w:highlight w:val="none"/>
        </w:rPr>
        <w:t>。否则，采购代理机构有权拒收。</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6.2 供应商对采购代理机构的质疑答复不满意或者采购代理机构未在规定的时间内作出答复的，可以在答复期满后十五个工作日内向桂林市政府采购监督管理机构投诉</w:t>
      </w:r>
      <w:r>
        <w:rPr>
          <w:rFonts w:hint="eastAsia" w:ascii="宋体" w:hAnsi="宋体" w:cs="宋体"/>
          <w:b/>
          <w:color w:val="auto"/>
          <w:szCs w:val="21"/>
          <w:highlight w:val="none"/>
        </w:rPr>
        <w:t>（“投诉书”格式见附表2）</w:t>
      </w:r>
      <w:r>
        <w:rPr>
          <w:rFonts w:hint="eastAsia" w:ascii="宋体" w:hAnsi="宋体" w:cs="宋体"/>
          <w:color w:val="auto"/>
          <w:szCs w:val="21"/>
          <w:highlight w:val="none"/>
        </w:rPr>
        <w:t>。</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Cs w:val="21"/>
          <w:highlight w:val="none"/>
        </w:rPr>
        <w:t>。</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供应商提出质疑应当提交质疑函和必要的证明材料，针对同一采购程序环节的质疑必须在法定质疑期内一次性提出。质疑函应当包括下列内容：</w:t>
      </w:r>
    </w:p>
    <w:p>
      <w:pPr>
        <w:keepNext w:val="0"/>
        <w:keepLines w:val="0"/>
        <w:pageBreakBefore w:val="0"/>
        <w:tabs>
          <w:tab w:val="left" w:pos="219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（1）供应商的姓名或者名称、地址、邮编、联系人及联系电话；</w:t>
      </w:r>
    </w:p>
    <w:p>
      <w:pPr>
        <w:keepNext w:val="0"/>
        <w:keepLines w:val="0"/>
        <w:pageBreakBefore w:val="0"/>
        <w:tabs>
          <w:tab w:val="left" w:pos="219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（2）质疑项目的名称、编号；</w:t>
      </w:r>
    </w:p>
    <w:p>
      <w:pPr>
        <w:keepNext w:val="0"/>
        <w:keepLines w:val="0"/>
        <w:pageBreakBefore w:val="0"/>
        <w:tabs>
          <w:tab w:val="left" w:pos="219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（3）具体、明确的质疑事项和与质疑事项相关的请求；</w:t>
      </w:r>
    </w:p>
    <w:p>
      <w:pPr>
        <w:keepNext w:val="0"/>
        <w:keepLines w:val="0"/>
        <w:pageBreakBefore w:val="0"/>
        <w:tabs>
          <w:tab w:val="left" w:pos="219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（4）事实依据；</w:t>
      </w:r>
    </w:p>
    <w:p>
      <w:pPr>
        <w:keepNext w:val="0"/>
        <w:keepLines w:val="0"/>
        <w:pageBreakBefore w:val="0"/>
        <w:tabs>
          <w:tab w:val="left" w:pos="219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（5）必要的法律依据；</w:t>
      </w:r>
    </w:p>
    <w:p>
      <w:pPr>
        <w:keepNext w:val="0"/>
        <w:keepLines w:val="0"/>
        <w:pageBreakBefore w:val="0"/>
        <w:tabs>
          <w:tab w:val="left" w:pos="219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（6）提出质疑的日期。</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供应商为自然人的，应当由本人签字；供应商为法人或者其他组织的，应当由法定代表人、主要负责人，或者其授权代表签字或者盖章，并加盖公章。</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接收质疑函方式：以书面形式。</w:t>
      </w:r>
    </w:p>
    <w:p>
      <w:pPr>
        <w:keepNext w:val="0"/>
        <w:keepLines w:val="0"/>
        <w:pageBreakBefore w:val="0"/>
        <w:tabs>
          <w:tab w:val="left" w:pos="2190"/>
        </w:tabs>
        <w:kinsoku/>
        <w:wordWrap w:val="0"/>
        <w:overflowPunct/>
        <w:topLinePunct w:val="0"/>
        <w:autoSpaceDE/>
        <w:autoSpaceDN/>
        <w:bidi w:val="0"/>
        <w:spacing w:line="370" w:lineRule="exact"/>
        <w:ind w:firstLine="420"/>
        <w:textAlignment w:val="auto"/>
        <w:rPr>
          <w:rFonts w:ascii="宋体" w:hAnsi="宋体" w:cs="宋体"/>
          <w:color w:val="auto"/>
          <w:highlight w:val="none"/>
        </w:rPr>
      </w:pPr>
      <w:r>
        <w:rPr>
          <w:rFonts w:hint="eastAsia" w:ascii="宋体" w:hAnsi="宋体" w:cs="宋体"/>
          <w:color w:val="auto"/>
          <w:kern w:val="0"/>
          <w:szCs w:val="21"/>
          <w:highlight w:val="none"/>
        </w:rPr>
        <w:t>质疑联系部门及联系方式：广西华诚达建设项目管理有限公司桂林分公司，联系人：杨薇，联系电话：0773-5630101。通讯地址：</w:t>
      </w:r>
      <w:r>
        <w:rPr>
          <w:rFonts w:hint="eastAsia" w:ascii="宋体" w:hAnsi="宋体" w:cs="宋体"/>
          <w:color w:val="auto"/>
          <w:highlight w:val="none"/>
        </w:rPr>
        <w:t>广西桂林市七星区骖鸾路25号合鑫大楼6楼。</w:t>
      </w:r>
    </w:p>
    <w:p>
      <w:pPr>
        <w:keepNext w:val="0"/>
        <w:keepLines w:val="0"/>
        <w:pageBreakBefore w:val="0"/>
        <w:tabs>
          <w:tab w:val="left" w:pos="2190"/>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7.转包与分包</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7.1 本项目不允许转包。</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7.2 本项目不可以分包。</w:t>
      </w:r>
    </w:p>
    <w:p>
      <w:pPr>
        <w:keepNext w:val="0"/>
        <w:keepLines w:val="0"/>
        <w:pageBreakBefore w:val="0"/>
        <w:tabs>
          <w:tab w:val="left" w:pos="1635"/>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8. 特别说明</w:t>
      </w:r>
    </w:p>
    <w:p>
      <w:pPr>
        <w:keepNext w:val="0"/>
        <w:keepLines w:val="0"/>
        <w:pageBreakBefore w:val="0"/>
        <w:tabs>
          <w:tab w:val="left" w:pos="163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8.1关联供应商不得参加同一合同项下政府采购活动，否则响应文件将被视为无效：</w:t>
      </w:r>
    </w:p>
    <w:p>
      <w:pPr>
        <w:keepNext w:val="0"/>
        <w:keepLines w:val="0"/>
        <w:pageBreakBefore w:val="0"/>
        <w:tabs>
          <w:tab w:val="left" w:pos="1635"/>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（1）单位负责人为同一人或者存在直接控股、管理关系的不同供应商，不得参加同一合同项下的政府采购活动。</w:t>
      </w:r>
    </w:p>
    <w:p>
      <w:pPr>
        <w:keepNext w:val="0"/>
        <w:keepLines w:val="0"/>
        <w:pageBreakBefore w:val="0"/>
        <w:tabs>
          <w:tab w:val="left" w:pos="1635"/>
        </w:tabs>
        <w:kinsoku/>
        <w:wordWrap w:val="0"/>
        <w:overflowPunct/>
        <w:topLinePunct w:val="0"/>
        <w:autoSpaceDE/>
        <w:autoSpaceDN/>
        <w:bidi w:val="0"/>
        <w:spacing w:line="370" w:lineRule="exact"/>
        <w:ind w:firstLine="210" w:firstLineChars="1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（2）为本采购项目提供整体设计、规范编制或者项目管理、监理、检测等服务的供应商，不得再参加本次采购活动。</w:t>
      </w:r>
    </w:p>
    <w:p>
      <w:pPr>
        <w:keepNext w:val="0"/>
        <w:keepLines w:val="0"/>
        <w:pageBreakBefore w:val="0"/>
        <w:tabs>
          <w:tab w:val="left" w:pos="2190"/>
        </w:tabs>
        <w:kinsoku/>
        <w:wordWrap w:val="0"/>
        <w:overflowPunct/>
        <w:topLinePunct w:val="0"/>
        <w:autoSpaceDE/>
        <w:autoSpaceDN/>
        <w:bidi w:val="0"/>
        <w:spacing w:line="370" w:lineRule="exact"/>
        <w:ind w:firstLine="562" w:firstLineChars="200"/>
        <w:jc w:val="center"/>
        <w:textAlignment w:val="auto"/>
        <w:rPr>
          <w:rFonts w:ascii="宋体" w:hAnsi="宋体" w:cs="宋体"/>
          <w:b/>
          <w:color w:val="auto"/>
          <w:kern w:val="0"/>
          <w:sz w:val="28"/>
          <w:szCs w:val="28"/>
          <w:highlight w:val="none"/>
        </w:rPr>
      </w:pPr>
    </w:p>
    <w:p>
      <w:pPr>
        <w:keepNext w:val="0"/>
        <w:keepLines w:val="0"/>
        <w:pageBreakBefore w:val="0"/>
        <w:tabs>
          <w:tab w:val="left" w:pos="2190"/>
        </w:tabs>
        <w:kinsoku/>
        <w:wordWrap w:val="0"/>
        <w:overflowPunct/>
        <w:topLinePunct w:val="0"/>
        <w:autoSpaceDE/>
        <w:autoSpaceDN/>
        <w:bidi w:val="0"/>
        <w:spacing w:line="370" w:lineRule="exact"/>
        <w:ind w:firstLine="562" w:firstLineChars="200"/>
        <w:jc w:val="center"/>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二、磋商文件</w:t>
      </w:r>
    </w:p>
    <w:p>
      <w:pPr>
        <w:keepNext w:val="0"/>
        <w:keepLines w:val="0"/>
        <w:pageBreakBefore w:val="0"/>
        <w:tabs>
          <w:tab w:val="left" w:pos="2190"/>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9.磋商文件的构成</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（1）竞争性磋商公告；</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（2）供应商须知；</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监理服务需求</w:t>
      </w:r>
      <w:r>
        <w:rPr>
          <w:rFonts w:hint="eastAsia" w:ascii="宋体" w:hAnsi="宋体" w:cs="宋体"/>
          <w:color w:val="auto"/>
          <w:kern w:val="0"/>
          <w:szCs w:val="21"/>
          <w:highlight w:val="none"/>
        </w:rPr>
        <w:t>；</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（4）评审办法；</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（5）政府采购合同（合同主要条款及格式）；</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（6）响应文件（格式）。</w:t>
      </w:r>
    </w:p>
    <w:p>
      <w:pPr>
        <w:keepNext w:val="0"/>
        <w:keepLines w:val="0"/>
        <w:pageBreakBefore w:val="0"/>
        <w:tabs>
          <w:tab w:val="left" w:pos="2190"/>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10.磋商文件的澄清与修改</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10.3澄清或者修改的内容为磋商文件的组成部分。当澄清或者修改通知就同一内容的表述不一致时，以最后发出的书面文件为准。</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10.4 磋商文件的澄清或者修改都应该通过本项目采购代理机构以法定形式发布，采购人非通过本机构，不得擅自澄清、答复、修改或补充磋商文件。</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10.5 采购代理机构可以视采购具体情况，延长响应文件递交截止时间和磋商时间，并在本项目竞争性磋商公告发布的同一媒体上发布变更公告。</w:t>
      </w:r>
    </w:p>
    <w:p>
      <w:pPr>
        <w:keepNext w:val="0"/>
        <w:keepLines w:val="0"/>
        <w:pageBreakBefore w:val="0"/>
        <w:tabs>
          <w:tab w:val="left" w:pos="219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p>
    <w:p>
      <w:pPr>
        <w:keepNext w:val="0"/>
        <w:keepLines w:val="0"/>
        <w:pageBreakBefore w:val="0"/>
        <w:tabs>
          <w:tab w:val="left" w:pos="2190"/>
        </w:tabs>
        <w:kinsoku/>
        <w:wordWrap w:val="0"/>
        <w:overflowPunct/>
        <w:topLinePunct w:val="0"/>
        <w:autoSpaceDE/>
        <w:autoSpaceDN/>
        <w:bidi w:val="0"/>
        <w:spacing w:line="370" w:lineRule="exact"/>
        <w:ind w:firstLine="562" w:firstLineChars="200"/>
        <w:jc w:val="center"/>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三、竞争性磋商响应文件的编制</w:t>
      </w:r>
    </w:p>
    <w:p>
      <w:pPr>
        <w:keepNext w:val="0"/>
        <w:keepLines w:val="0"/>
        <w:pageBreakBefore w:val="0"/>
        <w:tabs>
          <w:tab w:val="left" w:pos="2190"/>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11.竞争性磋商响应文件（以下简称响应文件）的组成及要求</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11.1 响应文件组成【格式见第六章“响应文件（格式）”】</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11.1.1资格性响应证明材料：</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（2）供应商的授权委托书原件、委托代理人身份证正反面复印件以及由县级以上（含县级）社会养老保险经办机构出具的供应商为委托代理人</w:t>
      </w:r>
      <w:r>
        <w:rPr>
          <w:rFonts w:hint="eastAsia" w:ascii="宋体" w:hAnsi="宋体" w:cs="宋体"/>
          <w:color w:val="auto"/>
          <w:szCs w:val="21"/>
          <w:highlight w:val="none"/>
          <w:lang w:eastAsia="zh-CN"/>
        </w:rPr>
        <w:t>2024年以来任意连续三个月缴纳社保的证明材料复印件</w:t>
      </w:r>
      <w:r>
        <w:rPr>
          <w:rFonts w:hint="eastAsia" w:ascii="宋体" w:hAnsi="宋体" w:cs="宋体"/>
          <w:b/>
          <w:bCs/>
          <w:color w:val="auto"/>
          <w:szCs w:val="21"/>
          <w:highlight w:val="none"/>
        </w:rPr>
        <w:t>【属自然人的应提供由县级以上（含县级）社会养老保险经办机构出具的自然人本人及委托代理人</w:t>
      </w:r>
      <w:r>
        <w:rPr>
          <w:rFonts w:hint="eastAsia" w:ascii="宋体" w:hAnsi="宋体" w:cs="宋体"/>
          <w:b/>
          <w:bCs/>
          <w:color w:val="auto"/>
          <w:szCs w:val="21"/>
          <w:highlight w:val="none"/>
          <w:lang w:eastAsia="zh-CN"/>
        </w:rPr>
        <w:t>2024年以来任意连续三个月缴纳社保的证明材料复印件</w:t>
      </w:r>
      <w:r>
        <w:rPr>
          <w:rFonts w:hint="eastAsia" w:ascii="宋体" w:hAnsi="宋体" w:cs="宋体"/>
          <w:color w:val="auto"/>
          <w:szCs w:val="21"/>
          <w:highlight w:val="none"/>
        </w:rPr>
        <w:t>】</w:t>
      </w:r>
      <w:r>
        <w:rPr>
          <w:rFonts w:hint="eastAsia" w:ascii="宋体" w:hAnsi="宋体" w:cs="宋体"/>
          <w:b/>
          <w:bCs/>
          <w:color w:val="auto"/>
          <w:szCs w:val="21"/>
          <w:highlight w:val="none"/>
        </w:rPr>
        <w:t>（委托代理时必须提供）</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供应商为以下三种情形的除外：</w:t>
      </w:r>
      <w:r>
        <w:rPr>
          <w:rFonts w:ascii="宋体" w:hAnsi="宋体" w:cs="宋体"/>
          <w:color w:val="auto"/>
          <w:szCs w:val="21"/>
          <w:highlight w:val="none"/>
        </w:rPr>
        <w:t xml:space="preserve"> </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pPr>
        <w:keepNext w:val="0"/>
        <w:keepLines w:val="0"/>
        <w:pageBreakBefore w:val="0"/>
        <w:kinsoku/>
        <w:wordWrap w:val="0"/>
        <w:overflowPunct/>
        <w:topLinePunct w:val="0"/>
        <w:autoSpaceDE/>
        <w:autoSpaceDN/>
        <w:bidi w:val="0"/>
        <w:spacing w:line="37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（3）供应商的法人或者其他组织营业执照等证明文件复印件</w:t>
      </w:r>
      <w:r>
        <w:rPr>
          <w:rFonts w:hint="eastAsia" w:ascii="宋体" w:hAnsi="宋体" w:cs="宋体"/>
          <w:b/>
          <w:bCs/>
          <w:color w:val="auto"/>
          <w:szCs w:val="21"/>
          <w:highlight w:val="none"/>
        </w:rPr>
        <w:t>（必须提供，自然人除外）；</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keepNext w:val="0"/>
        <w:keepLines w:val="0"/>
        <w:pageBreakBefore w:val="0"/>
        <w:kinsoku/>
        <w:wordWrap w:val="0"/>
        <w:overflowPunct/>
        <w:topLinePunct w:val="0"/>
        <w:autoSpaceDE/>
        <w:autoSpaceDN/>
        <w:bidi w:val="0"/>
        <w:spacing w:line="370" w:lineRule="exact"/>
        <w:textAlignment w:val="auto"/>
        <w:rPr>
          <w:rFonts w:hint="eastAsia" w:ascii="宋体" w:hAnsi="宋体" w:eastAsia="宋体" w:cs="宋体"/>
          <w:b/>
          <w:color w:val="auto"/>
          <w:highlight w:val="none"/>
          <w:lang w:eastAsia="zh-CN"/>
        </w:rPr>
      </w:pPr>
      <w:r>
        <w:rPr>
          <w:rFonts w:hint="eastAsia" w:ascii="宋体" w:hAnsi="宋体" w:cs="宋体"/>
          <w:color w:val="auto"/>
          <w:highlight w:val="none"/>
        </w:rPr>
        <w:t xml:space="preserve">   （4）</w:t>
      </w:r>
      <w:r>
        <w:rPr>
          <w:rFonts w:hint="eastAsia" w:ascii="宋体" w:hAnsi="宋体" w:cs="宋体"/>
          <w:color w:val="auto"/>
          <w:highlight w:val="none"/>
          <w:lang w:eastAsia="zh-CN"/>
        </w:rPr>
        <w:t>供应商的地质灾害防治单位证书监理类甲级资质证书复印件（必须提供）；</w:t>
      </w:r>
    </w:p>
    <w:p>
      <w:pPr>
        <w:keepNext w:val="0"/>
        <w:keepLines w:val="0"/>
        <w:pageBreakBefore w:val="0"/>
        <w:kinsoku/>
        <w:wordWrap w:val="0"/>
        <w:overflowPunct/>
        <w:topLinePunct w:val="0"/>
        <w:autoSpaceDE/>
        <w:autoSpaceDN/>
        <w:bidi w:val="0"/>
        <w:spacing w:line="370" w:lineRule="exact"/>
        <w:textAlignment w:val="auto"/>
        <w:rPr>
          <w:rFonts w:ascii="宋体" w:hAnsi="宋体" w:cs="宋体"/>
          <w:b/>
          <w:color w:val="auto"/>
          <w:highlight w:val="none"/>
        </w:rPr>
      </w:pPr>
      <w:r>
        <w:rPr>
          <w:rFonts w:hint="eastAsia" w:ascii="宋体" w:hAnsi="宋体" w:cs="宋体"/>
          <w:color w:val="auto"/>
          <w:kern w:val="0"/>
          <w:szCs w:val="21"/>
          <w:highlight w:val="none"/>
        </w:rPr>
        <w:t xml:space="preserve">   （5）</w:t>
      </w:r>
      <w:r>
        <w:rPr>
          <w:rFonts w:hint="eastAsia" w:ascii="宋体" w:hAnsi="宋体" w:cs="宋体"/>
          <w:color w:val="auto"/>
          <w:highlight w:val="none"/>
        </w:rPr>
        <w:t>供应商</w:t>
      </w:r>
      <w:r>
        <w:rPr>
          <w:rFonts w:hint="eastAsia" w:ascii="宋体" w:hAnsi="宋体" w:cs="宋体"/>
          <w:color w:val="auto"/>
          <w:kern w:val="0"/>
          <w:szCs w:val="21"/>
          <w:highlight w:val="none"/>
        </w:rPr>
        <w:t>2021年以来任意年度内的财务状况报告复印件或财务报表复印件或2023年以来银行出具的资信证明复印件（若为新成立的企业，请根据实际情况提供</w:t>
      </w:r>
      <w:r>
        <w:rPr>
          <w:rFonts w:ascii="宋体" w:hAnsi="宋体" w:cs="宋体"/>
          <w:color w:val="auto"/>
          <w:kern w:val="0"/>
          <w:szCs w:val="21"/>
          <w:highlight w:val="none"/>
        </w:rPr>
        <w:t>）</w:t>
      </w:r>
      <w:r>
        <w:rPr>
          <w:rFonts w:hint="eastAsia" w:ascii="宋体" w:hAnsi="宋体" w:cs="宋体"/>
          <w:b/>
          <w:color w:val="auto"/>
          <w:kern w:val="0"/>
          <w:szCs w:val="21"/>
          <w:highlight w:val="none"/>
        </w:rPr>
        <w:t>（必须提供）；</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b/>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highlight w:val="none"/>
        </w:rPr>
        <w:t>供应商</w:t>
      </w:r>
      <w:r>
        <w:rPr>
          <w:rFonts w:hint="eastAsia" w:ascii="宋体" w:hAnsi="宋体" w:cs="宋体"/>
          <w:color w:val="auto"/>
          <w:kern w:val="0"/>
          <w:szCs w:val="21"/>
          <w:highlight w:val="none"/>
        </w:rPr>
        <w:t>2023年以来任意一个月依法缴纳税收的相关材料复印件(可以是银行已缴纳税费凭证复印件或第三方有效的相关业务托缴凭证复印件或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所在地税务部门出具的有效证明复印件；无纳税记录的，应提供由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所在地的税务部门出具的依法免税或准予延期缴税的证明，</w:t>
      </w:r>
      <w:r>
        <w:rPr>
          <w:rFonts w:hint="eastAsia" w:hAnsi="宋体"/>
          <w:color w:val="auto"/>
          <w:szCs w:val="21"/>
          <w:highlight w:val="none"/>
        </w:rPr>
        <w:t>若为新成立的企业，请根据实际情况提供</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（必须提供）；</w:t>
      </w:r>
    </w:p>
    <w:p>
      <w:pPr>
        <w:keepNext w:val="0"/>
        <w:keepLines w:val="0"/>
        <w:pageBreakBefore w:val="0"/>
        <w:tabs>
          <w:tab w:val="left" w:pos="1305"/>
        </w:tabs>
        <w:kinsoku/>
        <w:wordWrap w:val="0"/>
        <w:overflowPunct/>
        <w:topLinePunct w:val="0"/>
        <w:autoSpaceDE/>
        <w:autoSpaceDN/>
        <w:bidi w:val="0"/>
        <w:spacing w:line="370" w:lineRule="exact"/>
        <w:textAlignment w:val="auto"/>
        <w:rPr>
          <w:rFonts w:ascii="宋体" w:hAnsi="宋体"/>
          <w:color w:val="auto"/>
          <w:highlight w:val="none"/>
        </w:rPr>
      </w:pPr>
      <w:r>
        <w:rPr>
          <w:rFonts w:hint="eastAsia" w:ascii="宋体" w:hAnsi="宋体"/>
          <w:color w:val="auto"/>
          <w:highlight w:val="none"/>
        </w:rPr>
        <w:t>　</w:t>
      </w:r>
      <w:r>
        <w:rPr>
          <w:rFonts w:hint="eastAsia" w:ascii="宋体" w:hAnsi="宋体"/>
          <w:color w:val="auto"/>
          <w:highlight w:val="none"/>
          <w:lang w:val="en-US" w:eastAsia="zh-CN"/>
        </w:rPr>
        <w:t xml:space="preserve">  </w:t>
      </w:r>
      <w:r>
        <w:rPr>
          <w:rFonts w:hint="eastAsia" w:ascii="宋体" w:hAnsi="宋体"/>
          <w:color w:val="auto"/>
          <w:highlight w:val="none"/>
        </w:rPr>
        <w:t>（7）</w:t>
      </w:r>
      <w:r>
        <w:rPr>
          <w:rFonts w:hint="eastAsia" w:ascii="宋体" w:hAnsi="宋体" w:cs="宋体"/>
          <w:color w:val="auto"/>
          <w:highlight w:val="none"/>
        </w:rPr>
        <w:t>供应商</w:t>
      </w:r>
      <w:r>
        <w:rPr>
          <w:rFonts w:hint="eastAsia" w:ascii="宋体" w:hAnsi="宋体"/>
          <w:color w:val="auto"/>
          <w:highlight w:val="none"/>
        </w:rPr>
        <w:t>2023年以来任意一个月的依法缴纳社会保障资金的相关材料</w:t>
      </w:r>
      <w:r>
        <w:rPr>
          <w:rFonts w:hint="eastAsia" w:hAnsi="宋体"/>
          <w:color w:val="auto"/>
          <w:szCs w:val="21"/>
          <w:highlight w:val="none"/>
        </w:rPr>
        <w:t>（无缴费记录的，应提供由供应商所在地的行政主管部门出具的依法免缴社保费或准予延期缴纳社保费的证明，若为新成立的企业，请根据实际情况提供）</w:t>
      </w:r>
      <w:r>
        <w:rPr>
          <w:rFonts w:hint="eastAsia" w:ascii="宋体" w:hAnsi="宋体"/>
          <w:b/>
          <w:color w:val="auto"/>
          <w:highlight w:val="none"/>
        </w:rPr>
        <w:t>（必须提供）；</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b/>
          <w:color w:val="auto"/>
          <w:kern w:val="0"/>
          <w:szCs w:val="21"/>
          <w:highlight w:val="none"/>
        </w:rPr>
      </w:pPr>
      <w:r>
        <w:rPr>
          <w:rFonts w:hint="eastAsia" w:ascii="宋体" w:hAnsi="宋体" w:cs="宋体"/>
          <w:color w:val="auto"/>
          <w:szCs w:val="21"/>
          <w:highlight w:val="none"/>
        </w:rPr>
        <w:t>（8）供应商参加政府采购活动前3年内在经营活动中没有重大违法记录及有关信用信息的书面声明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 xml:space="preserve"> 11.1.2符合性响应证明材料：</w:t>
      </w:r>
    </w:p>
    <w:p>
      <w:pPr>
        <w:keepNext w:val="0"/>
        <w:keepLines w:val="0"/>
        <w:pageBreakBefore w:val="0"/>
        <w:tabs>
          <w:tab w:val="left" w:pos="567"/>
        </w:tabs>
        <w:kinsoku/>
        <w:wordWrap w:val="0"/>
        <w:overflowPunct/>
        <w:topLinePunct w:val="0"/>
        <w:autoSpaceDE/>
        <w:autoSpaceDN/>
        <w:bidi w:val="0"/>
        <w:spacing w:line="370" w:lineRule="exact"/>
        <w:ind w:left="567" w:leftChars="200" w:hanging="147" w:hangingChars="70"/>
        <w:textAlignment w:val="auto"/>
        <w:rPr>
          <w:rFonts w:ascii="宋体" w:hAnsi="宋体" w:cs="宋体"/>
          <w:color w:val="auto"/>
          <w:szCs w:val="21"/>
          <w:highlight w:val="none"/>
        </w:rPr>
      </w:pPr>
      <w:bookmarkStart w:id="35" w:name="_Toc16312"/>
      <w:bookmarkStart w:id="36" w:name="_Toc28932"/>
      <w:bookmarkStart w:id="37" w:name="_Toc2809"/>
      <w:r>
        <w:rPr>
          <w:rFonts w:hint="eastAsia" w:ascii="宋体" w:hAnsi="宋体" w:cs="宋体"/>
          <w:color w:val="auto"/>
          <w:szCs w:val="21"/>
          <w:highlight w:val="none"/>
        </w:rPr>
        <w:t>（1）响应函（格式见附件）</w:t>
      </w:r>
      <w:r>
        <w:rPr>
          <w:rFonts w:hint="eastAsia" w:ascii="宋体" w:hAnsi="宋体" w:cs="宋体"/>
          <w:b/>
          <w:color w:val="auto"/>
          <w:szCs w:val="21"/>
          <w:highlight w:val="none"/>
        </w:rPr>
        <w:t>（必须提供）</w:t>
      </w:r>
      <w:bookmarkEnd w:id="35"/>
      <w:r>
        <w:rPr>
          <w:rFonts w:hint="eastAsia" w:ascii="宋体" w:hAnsi="宋体" w:cs="宋体"/>
          <w:b/>
          <w:color w:val="auto"/>
          <w:szCs w:val="21"/>
          <w:highlight w:val="none"/>
        </w:rPr>
        <w:t>；</w:t>
      </w:r>
      <w:bookmarkEnd w:id="36"/>
      <w:bookmarkEnd w:id="37"/>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监理服务需求</w:t>
      </w:r>
      <w:r>
        <w:rPr>
          <w:rFonts w:hint="eastAsia" w:ascii="宋体" w:hAnsi="宋体" w:cs="宋体"/>
          <w:color w:val="auto"/>
          <w:szCs w:val="21"/>
          <w:highlight w:val="none"/>
        </w:rPr>
        <w:t>响应表（格式见附件）</w:t>
      </w:r>
      <w:r>
        <w:rPr>
          <w:rFonts w:hint="eastAsia" w:ascii="宋体" w:hAnsi="宋体" w:cs="宋体"/>
          <w:b/>
          <w:bCs/>
          <w:color w:val="auto"/>
          <w:szCs w:val="21"/>
          <w:highlight w:val="none"/>
        </w:rPr>
        <w:t>(必须提供)；</w:t>
      </w:r>
    </w:p>
    <w:p>
      <w:pPr>
        <w:keepNext w:val="0"/>
        <w:keepLines w:val="0"/>
        <w:pageBreakBefore w:val="0"/>
        <w:widowControl/>
        <w:shd w:val="clear" w:color="auto" w:fill="FFFFFF"/>
        <w:kinsoku/>
        <w:wordWrap w:val="0"/>
        <w:overflowPunct/>
        <w:topLinePunct w:val="0"/>
        <w:autoSpaceDE/>
        <w:autoSpaceDN/>
        <w:bidi w:val="0"/>
        <w:spacing w:line="370" w:lineRule="exact"/>
        <w:ind w:firstLine="420"/>
        <w:textAlignment w:val="auto"/>
        <w:rPr>
          <w:rFonts w:hint="eastAsia" w:ascii="宋体" w:hAnsi="宋体" w:eastAsia="宋体"/>
          <w:color w:val="auto"/>
          <w:kern w:val="0"/>
          <w:szCs w:val="21"/>
          <w:highlight w:val="none"/>
          <w:shd w:val="clear" w:color="auto" w:fill="FFFFFF"/>
          <w:lang w:eastAsia="zh-CN"/>
        </w:rPr>
      </w:pPr>
      <w:r>
        <w:rPr>
          <w:rFonts w:hint="eastAsia" w:ascii="宋体" w:hAnsi="宋体"/>
          <w:bCs/>
          <w:color w:val="auto"/>
          <w:kern w:val="0"/>
          <w:highlight w:val="none"/>
        </w:rPr>
        <w:t>（4）</w:t>
      </w:r>
      <w:r>
        <w:rPr>
          <w:rFonts w:hint="eastAsia" w:ascii="宋体" w:hAnsi="宋体"/>
          <w:bCs/>
          <w:color w:val="auto"/>
          <w:kern w:val="0"/>
          <w:highlight w:val="none"/>
          <w:lang w:eastAsia="zh-CN"/>
        </w:rPr>
        <w:t>服务承诺书（由供应商根据本项目服务采购要求、特点及供应商自身的处理能力自行编写，承 诺书内容至少应包括“监理服务需求” 中的所有服务条款）（格式见附件）</w:t>
      </w:r>
      <w:r>
        <w:rPr>
          <w:rFonts w:hint="eastAsia" w:ascii="宋体" w:hAnsi="宋体"/>
          <w:b/>
          <w:bCs w:val="0"/>
          <w:color w:val="auto"/>
          <w:kern w:val="0"/>
          <w:highlight w:val="none"/>
          <w:lang w:eastAsia="zh-CN"/>
        </w:rPr>
        <w:t>（必须提供）</w:t>
      </w:r>
      <w:r>
        <w:rPr>
          <w:rFonts w:hint="eastAsia" w:ascii="宋体" w:hAnsi="宋体"/>
          <w:bCs/>
          <w:color w:val="auto"/>
          <w:kern w:val="0"/>
          <w:highlight w:val="none"/>
          <w:lang w:eastAsia="zh-CN"/>
        </w:rPr>
        <w:t>；</w:t>
      </w:r>
    </w:p>
    <w:p>
      <w:pPr>
        <w:keepNext w:val="0"/>
        <w:keepLines w:val="0"/>
        <w:pageBreakBefore w:val="0"/>
        <w:widowControl/>
        <w:shd w:val="clear" w:color="auto" w:fill="FFFFFF"/>
        <w:kinsoku/>
        <w:wordWrap w:val="0"/>
        <w:overflowPunct/>
        <w:topLinePunct w:val="0"/>
        <w:autoSpaceDE/>
        <w:autoSpaceDN/>
        <w:bidi w:val="0"/>
        <w:spacing w:line="370" w:lineRule="exact"/>
        <w:ind w:firstLine="420"/>
        <w:textAlignment w:val="auto"/>
        <w:rPr>
          <w:rFonts w:hint="eastAsia" w:ascii="宋体" w:hAnsi="宋体"/>
          <w:color w:val="auto"/>
          <w:kern w:val="0"/>
          <w:szCs w:val="21"/>
          <w:highlight w:val="none"/>
          <w:shd w:val="clear" w:color="auto" w:fill="FFFFFF"/>
          <w:lang w:eastAsia="zh-CN"/>
        </w:rPr>
      </w:pPr>
      <w:r>
        <w:rPr>
          <w:rFonts w:hint="eastAsia" w:ascii="宋体" w:hAnsi="宋体"/>
          <w:color w:val="auto"/>
          <w:kern w:val="0"/>
          <w:szCs w:val="21"/>
          <w:highlight w:val="none"/>
          <w:shd w:val="clear" w:color="auto" w:fill="FFFFFF"/>
        </w:rPr>
        <w:t>（</w:t>
      </w:r>
      <w:r>
        <w:rPr>
          <w:rFonts w:hint="eastAsia" w:ascii="宋体" w:hAnsi="宋体"/>
          <w:color w:val="auto"/>
          <w:kern w:val="0"/>
          <w:szCs w:val="21"/>
          <w:highlight w:val="none"/>
          <w:shd w:val="clear" w:color="auto" w:fill="FFFFFF"/>
          <w:lang w:val="en-US" w:eastAsia="zh-CN"/>
        </w:rPr>
        <w:t>5</w:t>
      </w:r>
      <w:r>
        <w:rPr>
          <w:rFonts w:hint="eastAsia" w:ascii="宋体" w:hAnsi="宋体"/>
          <w:color w:val="auto"/>
          <w:kern w:val="0"/>
          <w:szCs w:val="21"/>
          <w:highlight w:val="none"/>
          <w:shd w:val="clear" w:color="auto" w:fill="FFFFFF"/>
        </w:rPr>
        <w:t>）</w:t>
      </w:r>
      <w:r>
        <w:rPr>
          <w:rFonts w:hint="eastAsia" w:ascii="宋体" w:hAnsi="宋体"/>
          <w:color w:val="auto"/>
          <w:kern w:val="0"/>
          <w:szCs w:val="21"/>
          <w:highlight w:val="none"/>
          <w:shd w:val="clear" w:color="auto" w:fill="FFFFFF"/>
          <w:lang w:eastAsia="zh-CN"/>
        </w:rPr>
        <w:t>监理大纲</w:t>
      </w:r>
      <w:r>
        <w:rPr>
          <w:rFonts w:hint="eastAsia" w:ascii="宋体" w:hAnsi="宋体"/>
          <w:b/>
          <w:bCs/>
          <w:color w:val="auto"/>
          <w:kern w:val="0"/>
          <w:szCs w:val="21"/>
          <w:highlight w:val="none"/>
          <w:shd w:val="clear" w:color="auto" w:fill="FFFFFF"/>
          <w:lang w:eastAsia="zh-CN"/>
        </w:rPr>
        <w:t>（必须提供）</w:t>
      </w:r>
      <w:r>
        <w:rPr>
          <w:rFonts w:hint="eastAsia" w:ascii="宋体" w:hAnsi="宋体"/>
          <w:color w:val="auto"/>
          <w:kern w:val="0"/>
          <w:szCs w:val="21"/>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70" w:lineRule="exact"/>
        <w:ind w:left="0" w:firstLine="424" w:firstLineChars="200"/>
        <w:textAlignment w:val="auto"/>
        <w:rPr>
          <w:rFonts w:hint="eastAsia" w:ascii="宋体" w:hAnsi="宋体" w:eastAsia="宋体" w:cs="宋体"/>
          <w:b/>
          <w:bCs/>
          <w:color w:val="auto"/>
          <w:spacing w:val="-4"/>
          <w:sz w:val="21"/>
          <w:szCs w:val="21"/>
          <w:highlight w:val="none"/>
          <w:lang w:val="en-US" w:eastAsia="zh-CN"/>
        </w:rPr>
      </w:pPr>
      <w:r>
        <w:rPr>
          <w:rFonts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6</w:t>
      </w:r>
      <w:r>
        <w:rPr>
          <w:rFonts w:ascii="宋体" w:hAnsi="宋体" w:eastAsia="宋体" w:cs="宋体"/>
          <w:color w:val="auto"/>
          <w:spacing w:val="1"/>
          <w:sz w:val="21"/>
          <w:szCs w:val="21"/>
          <w:highlight w:val="none"/>
        </w:rPr>
        <w:t>）拟投入本工程的监理人员情况表</w:t>
      </w:r>
      <w:r>
        <w:rPr>
          <w:rFonts w:ascii="宋体" w:hAnsi="宋体" w:eastAsia="宋体" w:cs="宋体"/>
          <w:b/>
          <w:bCs/>
          <w:color w:val="auto"/>
          <w:spacing w:val="1"/>
          <w:sz w:val="21"/>
          <w:szCs w:val="21"/>
          <w:highlight w:val="none"/>
        </w:rPr>
        <w:t>【必须提供，并一起提供由县级</w:t>
      </w:r>
      <w:r>
        <w:rPr>
          <w:rFonts w:ascii="宋体" w:hAnsi="宋体" w:eastAsia="宋体" w:cs="宋体"/>
          <w:b/>
          <w:bCs/>
          <w:color w:val="auto"/>
          <w:sz w:val="21"/>
          <w:szCs w:val="21"/>
          <w:highlight w:val="none"/>
        </w:rPr>
        <w:t>以上（含县级）社会养老保</w:t>
      </w:r>
      <w:r>
        <w:rPr>
          <w:rFonts w:ascii="宋体" w:hAnsi="宋体" w:eastAsia="宋体" w:cs="宋体"/>
          <w:b/>
          <w:bCs/>
          <w:color w:val="auto"/>
          <w:spacing w:val="2"/>
          <w:sz w:val="21"/>
          <w:szCs w:val="21"/>
          <w:highlight w:val="none"/>
        </w:rPr>
        <w:t>险经办机构出具的</w:t>
      </w:r>
      <w:r>
        <w:rPr>
          <w:rFonts w:hint="eastAsia" w:ascii="宋体" w:hAnsi="宋体" w:cs="宋体"/>
          <w:b/>
          <w:bCs/>
          <w:color w:val="auto"/>
          <w:spacing w:val="2"/>
          <w:sz w:val="21"/>
          <w:szCs w:val="21"/>
          <w:highlight w:val="none"/>
          <w:lang w:eastAsia="zh-CN"/>
        </w:rPr>
        <w:t>供应商</w:t>
      </w:r>
      <w:r>
        <w:rPr>
          <w:rFonts w:ascii="宋体" w:hAnsi="宋体" w:eastAsia="宋体" w:cs="宋体"/>
          <w:b/>
          <w:bCs/>
          <w:color w:val="auto"/>
          <w:spacing w:val="2"/>
          <w:sz w:val="21"/>
          <w:szCs w:val="21"/>
          <w:highlight w:val="none"/>
        </w:rPr>
        <w:t>为项目实施人员</w:t>
      </w:r>
      <w:r>
        <w:rPr>
          <w:rFonts w:hint="eastAsia" w:ascii="宋体" w:hAnsi="宋体" w:cs="宋体"/>
          <w:b/>
          <w:bCs/>
          <w:color w:val="auto"/>
          <w:spacing w:val="2"/>
          <w:sz w:val="21"/>
          <w:szCs w:val="21"/>
          <w:highlight w:val="none"/>
          <w:lang w:eastAsia="zh-CN"/>
        </w:rPr>
        <w:t>2024年以来任意连续三个月缴纳社保的证明材料复印件</w:t>
      </w:r>
      <w:r>
        <w:rPr>
          <w:rFonts w:ascii="宋体" w:hAnsi="宋体" w:eastAsia="宋体" w:cs="宋体"/>
          <w:b/>
          <w:bCs/>
          <w:color w:val="auto"/>
          <w:spacing w:val="-3"/>
          <w:sz w:val="21"/>
          <w:szCs w:val="21"/>
          <w:highlight w:val="none"/>
        </w:rPr>
        <w:t>（如</w:t>
      </w:r>
      <w:r>
        <w:rPr>
          <w:rFonts w:hint="eastAsia" w:ascii="宋体" w:hAnsi="宋体" w:cs="宋体"/>
          <w:b/>
          <w:bCs/>
          <w:color w:val="auto"/>
          <w:spacing w:val="-3"/>
          <w:sz w:val="21"/>
          <w:szCs w:val="21"/>
          <w:highlight w:val="none"/>
          <w:lang w:eastAsia="zh-CN"/>
        </w:rPr>
        <w:t>供应商</w:t>
      </w:r>
      <w:r>
        <w:rPr>
          <w:rFonts w:ascii="宋体" w:hAnsi="宋体" w:eastAsia="宋体" w:cs="宋体"/>
          <w:b/>
          <w:bCs/>
          <w:color w:val="auto"/>
          <w:spacing w:val="-3"/>
          <w:sz w:val="21"/>
          <w:szCs w:val="21"/>
          <w:highlight w:val="none"/>
        </w:rPr>
        <w:t>为截标时间前</w:t>
      </w:r>
      <w:r>
        <w:rPr>
          <w:rFonts w:ascii="宋体" w:hAnsi="宋体" w:eastAsia="宋体" w:cs="宋体"/>
          <w:color w:val="auto"/>
          <w:spacing w:val="-3"/>
          <w:sz w:val="21"/>
          <w:szCs w:val="21"/>
          <w:highlight w:val="none"/>
        </w:rPr>
        <w:t xml:space="preserve"> </w:t>
      </w:r>
      <w:r>
        <w:rPr>
          <w:rFonts w:ascii="宋体" w:hAnsi="宋体" w:eastAsia="宋体" w:cs="宋体"/>
          <w:b/>
          <w:bCs/>
          <w:color w:val="auto"/>
          <w:spacing w:val="-3"/>
          <w:sz w:val="21"/>
          <w:szCs w:val="21"/>
          <w:highlight w:val="none"/>
        </w:rPr>
        <w:t>60</w:t>
      </w:r>
      <w:r>
        <w:rPr>
          <w:rFonts w:ascii="宋体" w:hAnsi="宋体" w:eastAsia="宋体" w:cs="宋体"/>
          <w:color w:val="auto"/>
          <w:spacing w:val="30"/>
          <w:sz w:val="21"/>
          <w:szCs w:val="21"/>
          <w:highlight w:val="none"/>
        </w:rPr>
        <w:t xml:space="preserve"> </w:t>
      </w:r>
      <w:r>
        <w:rPr>
          <w:rFonts w:ascii="宋体" w:hAnsi="宋体" w:eastAsia="宋体" w:cs="宋体"/>
          <w:b/>
          <w:bCs/>
          <w:color w:val="auto"/>
          <w:spacing w:val="-3"/>
          <w:sz w:val="21"/>
          <w:szCs w:val="21"/>
          <w:highlight w:val="none"/>
        </w:rPr>
        <w:t>日以内成立的公司，可以提供</w:t>
      </w:r>
      <w:r>
        <w:rPr>
          <w:rFonts w:hint="eastAsia" w:ascii="宋体" w:hAnsi="宋体" w:cs="宋体"/>
          <w:b/>
          <w:bCs/>
          <w:color w:val="auto"/>
          <w:spacing w:val="-3"/>
          <w:sz w:val="21"/>
          <w:szCs w:val="21"/>
          <w:highlight w:val="none"/>
          <w:lang w:eastAsia="zh-CN"/>
        </w:rPr>
        <w:t>供应商</w:t>
      </w:r>
      <w:r>
        <w:rPr>
          <w:rFonts w:ascii="宋体" w:hAnsi="宋体" w:eastAsia="宋体" w:cs="宋体"/>
          <w:b/>
          <w:bCs/>
          <w:color w:val="auto"/>
          <w:spacing w:val="-3"/>
          <w:sz w:val="21"/>
          <w:szCs w:val="21"/>
          <w:highlight w:val="none"/>
        </w:rPr>
        <w:t>与项目实施人员签订的劳动合同复</w:t>
      </w:r>
      <w:r>
        <w:rPr>
          <w:rFonts w:ascii="宋体" w:hAnsi="宋体" w:eastAsia="宋体" w:cs="宋体"/>
          <w:b/>
          <w:bCs/>
          <w:color w:val="auto"/>
          <w:spacing w:val="-2"/>
          <w:sz w:val="21"/>
          <w:szCs w:val="21"/>
          <w:highlight w:val="none"/>
        </w:rPr>
        <w:t>印件代替社保证明复印件；项目实施人员为免缴纳社保人员，提供</w:t>
      </w:r>
      <w:r>
        <w:rPr>
          <w:rFonts w:ascii="宋体" w:hAnsi="宋体" w:eastAsia="宋体" w:cs="宋体"/>
          <w:b/>
          <w:bCs/>
          <w:color w:val="auto"/>
          <w:spacing w:val="-3"/>
          <w:sz w:val="21"/>
          <w:szCs w:val="21"/>
          <w:highlight w:val="none"/>
        </w:rPr>
        <w:t>免缴纳社保的证明材料复印件及</w:t>
      </w:r>
      <w:r>
        <w:rPr>
          <w:rFonts w:hint="eastAsia" w:ascii="宋体" w:hAnsi="宋体" w:cs="宋体"/>
          <w:b/>
          <w:bCs/>
          <w:color w:val="auto"/>
          <w:spacing w:val="-3"/>
          <w:sz w:val="21"/>
          <w:szCs w:val="21"/>
          <w:highlight w:val="none"/>
          <w:lang w:eastAsia="zh-CN"/>
        </w:rPr>
        <w:t>供应商</w:t>
      </w:r>
      <w:r>
        <w:rPr>
          <w:rFonts w:ascii="宋体" w:hAnsi="宋体" w:eastAsia="宋体" w:cs="宋体"/>
          <w:b/>
          <w:bCs/>
          <w:color w:val="auto"/>
          <w:spacing w:val="-3"/>
          <w:sz w:val="21"/>
          <w:szCs w:val="21"/>
          <w:highlight w:val="none"/>
        </w:rPr>
        <w:t>与项目实施人员签订的劳动合同复印件代替社保证明复印件）</w:t>
      </w:r>
      <w:r>
        <w:rPr>
          <w:rFonts w:ascii="宋体" w:hAnsi="宋体" w:eastAsia="宋体" w:cs="宋体"/>
          <w:b/>
          <w:bCs/>
          <w:color w:val="auto"/>
          <w:spacing w:val="-4"/>
          <w:sz w:val="21"/>
          <w:szCs w:val="21"/>
          <w:highlight w:val="none"/>
        </w:rPr>
        <w:t>】</w:t>
      </w:r>
      <w:r>
        <w:rPr>
          <w:rFonts w:hint="eastAsia" w:ascii="宋体" w:hAnsi="宋体" w:eastAsia="宋体" w:cs="宋体"/>
          <w:b/>
          <w:bCs/>
          <w:color w:val="auto"/>
          <w:spacing w:val="-4"/>
          <w:sz w:val="21"/>
          <w:szCs w:val="21"/>
          <w:highlight w:val="none"/>
          <w:lang w:eastAsia="zh-CN"/>
        </w:rPr>
        <w:t>。</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 xml:space="preserve"> 11.1.3其它有效证明材料：</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b w:val="0"/>
          <w:bCs w:val="0"/>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监理服务需求</w:t>
      </w:r>
      <w:r>
        <w:rPr>
          <w:rFonts w:hint="eastAsia" w:ascii="宋体" w:hAnsi="宋体" w:cs="宋体"/>
          <w:color w:val="auto"/>
          <w:szCs w:val="21"/>
          <w:highlight w:val="none"/>
        </w:rPr>
        <w:t>”需提供的有效证明文件</w:t>
      </w:r>
      <w:r>
        <w:rPr>
          <w:rFonts w:hint="eastAsia" w:ascii="宋体" w:hAnsi="宋体" w:cs="宋体"/>
          <w:b w:val="0"/>
          <w:bCs w:val="0"/>
          <w:color w:val="auto"/>
          <w:szCs w:val="21"/>
          <w:highlight w:val="none"/>
        </w:rPr>
        <w:t>（如有，请提供）；</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供应商承接过类似项目业绩的相关证明材料（无不良记录，以中标、成交通知书或签订的合同为准， 并能清晰反映项目的名称、采购内容、采购金额、采购时间）（如有，请提供）；</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供应商的《中小企业声明函》(供应商须承接本项目全部服务且为符合政策要求的中小企业)（除监狱企业及残疾人福利性单位外，如有，请提供）；</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如提供服务的</w:t>
      </w:r>
      <w:r>
        <w:rPr>
          <w:rFonts w:hint="eastAsia" w:ascii="宋体" w:hAnsi="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属于监狱企业的，应当提供由省级以上监狱管理局、戒毒管理局等（含新疆生产建设兵团）出具的属于监狱企业的证明文件</w:t>
      </w:r>
      <w:r>
        <w:rPr>
          <w:rFonts w:hint="eastAsia" w:ascii="宋体" w:hAnsi="宋体" w:eastAsia="宋体" w:cs="宋体"/>
          <w:b w:val="0"/>
          <w:bCs w:val="0"/>
          <w:color w:val="auto"/>
          <w:szCs w:val="21"/>
          <w:highlight w:val="none"/>
          <w:lang w:eastAsia="zh-CN"/>
        </w:rPr>
        <w:t>（如</w:t>
      </w:r>
      <w:r>
        <w:rPr>
          <w:rFonts w:hint="eastAsia" w:ascii="宋体" w:hAnsi="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lang w:eastAsia="zh-CN"/>
        </w:rPr>
        <w:t>属于监狱企业的，如有，请提供）</w:t>
      </w:r>
      <w:r>
        <w:rPr>
          <w:rFonts w:hint="eastAsia" w:ascii="宋体" w:hAnsi="宋体" w:eastAsia="宋体" w:cs="宋体"/>
          <w:b w:val="0"/>
          <w:bCs w:val="0"/>
          <w:color w:val="auto"/>
          <w:szCs w:val="21"/>
          <w:highlight w:val="none"/>
        </w:rPr>
        <w:t>；</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符合条件的残疾人福利性单位在参加政府采购活动时，应当提供《残疾人福利性</w:t>
      </w:r>
      <w:r>
        <w:rPr>
          <w:rFonts w:hint="eastAsia" w:ascii="宋体" w:hAnsi="宋体" w:eastAsia="宋体" w:cs="宋体"/>
          <w:color w:val="auto"/>
          <w:szCs w:val="21"/>
          <w:highlight w:val="none"/>
        </w:rPr>
        <w:t>单位声明函》（见附件），并对声明的真实性负责（如</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属于残疾人福利性单位的，如有，请提供）</w:t>
      </w:r>
      <w:r>
        <w:rPr>
          <w:rFonts w:hint="eastAsia" w:ascii="宋体" w:hAnsi="宋体" w:eastAsia="宋体" w:cs="宋体"/>
          <w:color w:val="auto"/>
          <w:szCs w:val="21"/>
          <w:highlight w:val="none"/>
          <w:lang w:eastAsia="zh-CN"/>
        </w:rPr>
        <w:t>；</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lang w:eastAsia="zh-CN"/>
        </w:rPr>
        <w:t>相关获奖证书、认证证书等复印件（如有，请提供）；</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）供应商可结合本项目的评审办法视自身情况自行提交其它相关证明材料。</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广西政府采购云个人CA证书签章的可在响应文件中涉及到签字的位置手写签字后扫描或者拍照做成 PDF 的格式上传，无个人CA证书签章及手写签字的，响应文件按无效处理。</w:t>
      </w:r>
    </w:p>
    <w:p>
      <w:pPr>
        <w:pStyle w:val="19"/>
        <w:keepNext w:val="0"/>
        <w:keepLines w:val="0"/>
        <w:pageBreakBefore w:val="0"/>
        <w:kinsoku/>
        <w:wordWrap w:val="0"/>
        <w:overflowPunct/>
        <w:topLinePunct w:val="0"/>
        <w:autoSpaceDE/>
        <w:autoSpaceDN/>
        <w:bidi w:val="0"/>
        <w:spacing w:line="370" w:lineRule="exact"/>
        <w:ind w:firstLine="420" w:firstLineChars="200"/>
        <w:textAlignment w:val="auto"/>
        <w:rPr>
          <w:color w:val="auto"/>
          <w:szCs w:val="21"/>
          <w:highlight w:val="none"/>
        </w:rPr>
      </w:pPr>
      <w:r>
        <w:rPr>
          <w:rFonts w:hint="eastAsia"/>
          <w:color w:val="auto"/>
          <w:szCs w:val="21"/>
          <w:highlight w:val="none"/>
        </w:rPr>
        <w:t>11.2 供应商应按竞争性磋商文件第六章“响应文件（格式）”编制响应文件。</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12.响应文件的语言及计量</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12.1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b/>
          <w:color w:val="auto"/>
          <w:szCs w:val="21"/>
          <w:highlight w:val="none"/>
        </w:rPr>
      </w:pPr>
      <w:r>
        <w:rPr>
          <w:rFonts w:hint="eastAsia" w:ascii="宋体" w:hAnsi="宋体"/>
          <w:color w:val="auto"/>
          <w:szCs w:val="21"/>
          <w:highlight w:val="none"/>
        </w:rPr>
        <w:t>12.2 响应计量单位，磋商文件已有明确规定的，使用磋商文件规定的计量单位；磋商文件没有规定的，应采用中华人民共和国法定计量单位（货币单位：人民币元），否则视同未响应。</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13.</w:t>
      </w:r>
      <w:r>
        <w:rPr>
          <w:rFonts w:hint="eastAsia" w:ascii="宋体" w:hAnsi="宋体"/>
          <w:color w:val="auto"/>
          <w:szCs w:val="21"/>
          <w:highlight w:val="none"/>
        </w:rPr>
        <w:t>采购预算金额及磋商报价</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b/>
          <w:bCs/>
          <w:color w:val="auto"/>
          <w:szCs w:val="21"/>
          <w:highlight w:val="none"/>
        </w:rPr>
      </w:pPr>
      <w:r>
        <w:rPr>
          <w:rFonts w:hint="eastAsia" w:ascii="宋体" w:hAnsi="宋体"/>
          <w:color w:val="auto"/>
          <w:szCs w:val="21"/>
          <w:highlight w:val="none"/>
        </w:rPr>
        <w:t xml:space="preserve">13.1 </w:t>
      </w:r>
      <w:r>
        <w:rPr>
          <w:rFonts w:hint="eastAsia" w:hAnsi="宋体"/>
          <w:b/>
          <w:bCs/>
          <w:color w:val="auto"/>
          <w:szCs w:val="21"/>
          <w:highlight w:val="none"/>
        </w:rPr>
        <w:t>本项目政府采购预算金额：</w:t>
      </w:r>
      <w:r>
        <w:rPr>
          <w:rFonts w:hint="eastAsia" w:hAnsi="宋体"/>
          <w:b/>
          <w:bCs/>
          <w:color w:val="auto"/>
          <w:szCs w:val="21"/>
          <w:highlight w:val="none"/>
          <w:lang w:eastAsia="zh-CN"/>
        </w:rPr>
        <w:t>壹佰叁拾壹万零贰佰壹拾肆元零贰分</w:t>
      </w:r>
      <w:r>
        <w:rPr>
          <w:rFonts w:hint="eastAsia" w:ascii="宋体" w:hAnsi="宋体"/>
          <w:b/>
          <w:bCs/>
          <w:color w:val="auto"/>
          <w:szCs w:val="21"/>
          <w:highlight w:val="none"/>
        </w:rPr>
        <w:t>（¥</w:t>
      </w:r>
      <w:r>
        <w:rPr>
          <w:rFonts w:hint="eastAsia" w:ascii="宋体" w:hAnsi="宋体"/>
          <w:b/>
          <w:bCs/>
          <w:color w:val="auto"/>
          <w:szCs w:val="21"/>
          <w:highlight w:val="none"/>
          <w:lang w:eastAsia="zh-CN"/>
        </w:rPr>
        <w:t>1310214.02</w:t>
      </w:r>
      <w:r>
        <w:rPr>
          <w:rFonts w:hint="eastAsia" w:ascii="宋体" w:hAnsi="宋体"/>
          <w:b/>
          <w:bCs/>
          <w:color w:val="auto"/>
          <w:szCs w:val="21"/>
          <w:highlight w:val="none"/>
        </w:rPr>
        <w:t>）</w:t>
      </w:r>
      <w:r>
        <w:rPr>
          <w:rFonts w:hint="eastAsia" w:ascii="宋体" w:hAnsi="宋体" w:cs="宋体"/>
          <w:b/>
          <w:color w:val="auto"/>
          <w:szCs w:val="21"/>
          <w:highlight w:val="none"/>
        </w:rPr>
        <w:t>。</w:t>
      </w:r>
      <w:r>
        <w:rPr>
          <w:rFonts w:hint="eastAsia" w:ascii="宋体" w:hAnsi="宋体" w:cs="宋体"/>
          <w:b/>
          <w:bCs/>
          <w:color w:val="auto"/>
          <w:szCs w:val="21"/>
          <w:highlight w:val="none"/>
        </w:rPr>
        <w:t>磋商报价超过</w:t>
      </w:r>
      <w:r>
        <w:rPr>
          <w:rFonts w:hint="eastAsia" w:hAnsi="宋体"/>
          <w:b/>
          <w:bCs/>
          <w:color w:val="auto"/>
          <w:szCs w:val="21"/>
          <w:highlight w:val="none"/>
        </w:rPr>
        <w:t>政府采购预算金额</w:t>
      </w:r>
      <w:r>
        <w:rPr>
          <w:rFonts w:hint="eastAsia" w:ascii="宋体" w:hAnsi="宋体" w:cs="宋体"/>
          <w:b/>
          <w:bCs/>
          <w:color w:val="auto"/>
          <w:szCs w:val="21"/>
          <w:highlight w:val="none"/>
        </w:rPr>
        <w:t>的，响应文件按相应无效处理。</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13.2 </w:t>
      </w:r>
      <w:r>
        <w:rPr>
          <w:rFonts w:hint="eastAsia"/>
          <w:color w:val="auto"/>
          <w:szCs w:val="21"/>
          <w:highlight w:val="none"/>
        </w:rPr>
        <w:t>供应商必须就“</w:t>
      </w:r>
      <w:r>
        <w:rPr>
          <w:rFonts w:hint="eastAsia"/>
          <w:color w:val="auto"/>
          <w:szCs w:val="21"/>
          <w:highlight w:val="none"/>
          <w:lang w:eastAsia="zh-CN"/>
        </w:rPr>
        <w:t>监理服务需求</w:t>
      </w:r>
      <w:r>
        <w:rPr>
          <w:rFonts w:hint="eastAsia"/>
          <w:color w:val="auto"/>
          <w:szCs w:val="21"/>
          <w:highlight w:val="none"/>
        </w:rPr>
        <w:t>”中所有内容作完整唯一报价，否则，其响应将被拒绝；响应文件只允许有一个报价，有选择的或有条件的报价将不予接受。</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13.3</w:t>
      </w:r>
      <w:r>
        <w:rPr>
          <w:rFonts w:hint="eastAsia" w:ascii="宋体" w:hAnsi="宋体"/>
          <w:color w:val="auto"/>
          <w:kern w:val="0"/>
          <w:szCs w:val="21"/>
          <w:highlight w:val="none"/>
        </w:rPr>
        <w:t>未书面退出磋商的供应商必须在规定时间内登录</w:t>
      </w:r>
      <w:r>
        <w:rPr>
          <w:rFonts w:hint="eastAsia" w:ascii="宋体" w:hAnsi="宋体" w:cs="宋体"/>
          <w:bCs/>
          <w:color w:val="auto"/>
          <w:szCs w:val="21"/>
          <w:highlight w:val="none"/>
        </w:rPr>
        <w:t>“广西政府采购云”平台</w:t>
      </w:r>
      <w:r>
        <w:rPr>
          <w:rFonts w:hint="eastAsia" w:ascii="宋体" w:hAnsi="宋体"/>
          <w:color w:val="auto"/>
          <w:kern w:val="0"/>
          <w:szCs w:val="21"/>
          <w:highlight w:val="none"/>
        </w:rPr>
        <w:t>在线提交最后报价，其最后报价不得超出最高限价；磋商过程中磋商文件未作实质性变动的，</w:t>
      </w:r>
      <w:r>
        <w:rPr>
          <w:rFonts w:hint="eastAsia" w:ascii="宋体" w:hAnsi="宋体"/>
          <w:b/>
          <w:color w:val="auto"/>
          <w:kern w:val="0"/>
          <w:szCs w:val="21"/>
          <w:highlight w:val="none"/>
        </w:rPr>
        <w:t>最后报价不得超过首次报价</w:t>
      </w:r>
      <w:r>
        <w:rPr>
          <w:rFonts w:hint="eastAsia" w:ascii="宋体" w:hAnsi="宋体"/>
          <w:color w:val="auto"/>
          <w:kern w:val="0"/>
          <w:szCs w:val="21"/>
          <w:highlight w:val="none"/>
        </w:rPr>
        <w:t>。</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cs="宋体"/>
          <w:b/>
          <w:color w:val="auto"/>
          <w:kern w:val="0"/>
          <w:szCs w:val="21"/>
          <w:highlight w:val="none"/>
        </w:rPr>
      </w:pPr>
      <w:r>
        <w:rPr>
          <w:rFonts w:hint="eastAsia" w:ascii="宋体" w:hAnsi="宋体"/>
          <w:color w:val="auto"/>
          <w:szCs w:val="21"/>
          <w:highlight w:val="none"/>
        </w:rPr>
        <w:t>13.4</w:t>
      </w:r>
      <w:r>
        <w:rPr>
          <w:rFonts w:hint="eastAsia" w:ascii="宋体" w:hAnsi="宋体" w:cs="宋体"/>
          <w:color w:val="auto"/>
          <w:kern w:val="0"/>
          <w:szCs w:val="21"/>
          <w:highlight w:val="none"/>
        </w:rPr>
        <w:t>磋商报价包含执行本项目服务</w:t>
      </w:r>
      <w:r>
        <w:rPr>
          <w:rFonts w:hint="eastAsia" w:ascii="宋体" w:hAnsi="宋体" w:cs="宋体"/>
          <w:color w:val="auto"/>
          <w:szCs w:val="21"/>
          <w:highlight w:val="none"/>
        </w:rPr>
        <w:t>范围内服务价款、人员工资、加班、奖金、福利、社会保险、其它保险、工作服装、安保装备、招标代理服务费、利润、税金等所有费用总和（工资和社会保险不得低于当年当月桂林市最低工资标准和其应承担的为劳动者所缴纳的最低社会保障费用）,供应商综合考虑在报价中</w:t>
      </w:r>
      <w:r>
        <w:rPr>
          <w:rFonts w:hint="eastAsia" w:ascii="宋体" w:hAnsi="宋体"/>
          <w:color w:val="auto"/>
          <w:szCs w:val="21"/>
          <w:highlight w:val="none"/>
        </w:rPr>
        <w:t>。</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14.响应文件有效期</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14.1响应文件有效期：自响应文件提交截止时间之日起90天，有效期不足的响应文件将被拒绝。</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14.2出现特殊情况下，需要延长响应文件有效期的，采购代理机构以书面形式通知供应商延长响应文件有效期。供应商同意延长的，不能修改响应文件。供应商拒绝延长的，其响应无效。</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15. 电子响应文件的制作、加密要求</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15.1</w:t>
      </w:r>
      <w:r>
        <w:rPr>
          <w:rFonts w:hint="eastAsia" w:ascii="宋体" w:hAnsi="宋体" w:cs="宋体"/>
          <w:bCs/>
          <w:color w:val="auto"/>
          <w:szCs w:val="21"/>
          <w:highlight w:val="none"/>
        </w:rPr>
        <w:t>供应商制作电子响应文件前，应</w:t>
      </w:r>
      <w:r>
        <w:rPr>
          <w:rFonts w:hint="eastAsia" w:ascii="宋体" w:hAnsi="宋体" w:cs="宋体"/>
          <w:bCs/>
          <w:color w:val="auto"/>
          <w:szCs w:val="21"/>
          <w:highlight w:val="none"/>
          <w:lang w:eastAsia="zh-CN"/>
        </w:rPr>
        <w:t>登录</w:t>
      </w:r>
      <w:r>
        <w:rPr>
          <w:rFonts w:hint="eastAsia" w:ascii="宋体" w:hAnsi="宋体" w:cs="宋体"/>
          <w:bCs/>
          <w:color w:val="auto"/>
          <w:szCs w:val="21"/>
          <w:highlight w:val="none"/>
        </w:rPr>
        <w:t>“广西政府采购云”平台进行“申请获取采购文件”操作，否则，有可能导致无法在线编制响应文件并参与竞标，其不利后果由供应商自行承担</w:t>
      </w:r>
      <w:r>
        <w:rPr>
          <w:rFonts w:hint="eastAsia" w:ascii="宋体" w:hAnsi="宋体" w:cs="宋体"/>
          <w:color w:val="auto"/>
          <w:highlight w:val="none"/>
        </w:rPr>
        <w:t>。</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15.2供应商下载或获取竞争性磋商文件后，登录“广西政府采购云电子投标客户端”，按照本磋商文件规定的响应文件格式、顺序以及“广西政府采购云”平台的要求，通过“广西政府采购云电子投标客户端”编制电子响应文件。</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15.3</w:t>
      </w:r>
      <w:r>
        <w:rPr>
          <w:rFonts w:hint="eastAsia"/>
          <w:color w:val="auto"/>
          <w:highlight w:val="none"/>
        </w:rPr>
        <w:t>供应商</w:t>
      </w:r>
      <w:r>
        <w:rPr>
          <w:color w:val="auto"/>
          <w:highlight w:val="none"/>
        </w:rPr>
        <w:t>应按“广西政府采购云电子投标客户端”载明的“标书关联”功能进行电子</w:t>
      </w:r>
      <w:r>
        <w:rPr>
          <w:rFonts w:hint="eastAsia"/>
          <w:color w:val="auto"/>
          <w:highlight w:val="none"/>
        </w:rPr>
        <w:t>响应</w:t>
      </w:r>
      <w:r>
        <w:rPr>
          <w:color w:val="auto"/>
          <w:highlight w:val="none"/>
        </w:rPr>
        <w:t>文件的关联定位，以便</w:t>
      </w:r>
      <w:r>
        <w:rPr>
          <w:rFonts w:hint="eastAsia"/>
          <w:color w:val="auto"/>
          <w:highlight w:val="none"/>
        </w:rPr>
        <w:t>磋商小组</w:t>
      </w:r>
      <w:r>
        <w:rPr>
          <w:color w:val="auto"/>
          <w:highlight w:val="none"/>
        </w:rPr>
        <w:t>在评审时点击相应评审项可直接定位到该评审内容；如</w:t>
      </w:r>
      <w:r>
        <w:rPr>
          <w:rFonts w:hint="eastAsia"/>
          <w:color w:val="auto"/>
          <w:highlight w:val="none"/>
        </w:rPr>
        <w:t>供应商</w:t>
      </w:r>
      <w:r>
        <w:rPr>
          <w:color w:val="auto"/>
          <w:highlight w:val="none"/>
        </w:rPr>
        <w:t>的电子</w:t>
      </w:r>
      <w:r>
        <w:rPr>
          <w:rFonts w:hint="eastAsia"/>
          <w:color w:val="auto"/>
          <w:highlight w:val="none"/>
        </w:rPr>
        <w:t>响应</w:t>
      </w:r>
      <w:r>
        <w:rPr>
          <w:color w:val="auto"/>
          <w:highlight w:val="none"/>
        </w:rPr>
        <w:t>文件未能关联定位相应内容，或者关联定位的内容与该评审项不符，导致</w:t>
      </w:r>
      <w:r>
        <w:rPr>
          <w:rFonts w:hint="eastAsia"/>
          <w:color w:val="auto"/>
          <w:highlight w:val="none"/>
        </w:rPr>
        <w:t>磋商小组</w:t>
      </w:r>
      <w:r>
        <w:rPr>
          <w:color w:val="auto"/>
          <w:highlight w:val="none"/>
        </w:rPr>
        <w:t>无法查询并做出对</w:t>
      </w:r>
      <w:r>
        <w:rPr>
          <w:rFonts w:hint="eastAsia"/>
          <w:color w:val="auto"/>
          <w:highlight w:val="none"/>
        </w:rPr>
        <w:t>供应商</w:t>
      </w:r>
      <w:r>
        <w:rPr>
          <w:color w:val="auto"/>
          <w:highlight w:val="none"/>
        </w:rPr>
        <w:t>不利的评审，相关后果由</w:t>
      </w:r>
      <w:r>
        <w:rPr>
          <w:rFonts w:hint="eastAsia"/>
          <w:color w:val="auto"/>
          <w:highlight w:val="none"/>
        </w:rPr>
        <w:t>供应商</w:t>
      </w:r>
      <w:r>
        <w:rPr>
          <w:color w:val="auto"/>
          <w:highlight w:val="none"/>
        </w:rPr>
        <w:t>自行承担。</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15.4电子响应文件不得涂改，若有修改错漏处，须由法定代表人（负责人、自然人）或授权委托代理人通过“广西政府采购云电子投标客户端”采用广西政府采购云个人CA证书签章，没有办理广西政府采购云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15.5供应商编制、生成电子响应文件后应当加密响应文件。供应商未按规定编制并加密的响应文件，“广西政府采购云”平台将予以拒收。</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b/>
          <w:color w:val="auto"/>
          <w:kern w:val="0"/>
          <w:szCs w:val="21"/>
          <w:highlight w:val="none"/>
        </w:rPr>
      </w:pPr>
      <w:r>
        <w:rPr>
          <w:rFonts w:hint="eastAsia" w:ascii="宋体" w:hAnsi="宋体" w:cs="宋体"/>
          <w:color w:val="auto"/>
          <w:kern w:val="0"/>
          <w:szCs w:val="21"/>
          <w:highlight w:val="none"/>
        </w:rPr>
        <w:t>15.6</w:t>
      </w:r>
      <w:r>
        <w:rPr>
          <w:rFonts w:hint="eastAsia" w:ascii="宋体" w:hAnsi="宋体" w:cs="宋体"/>
          <w:b/>
          <w:color w:val="auto"/>
          <w:kern w:val="0"/>
          <w:szCs w:val="21"/>
          <w:highlight w:val="none"/>
        </w:rPr>
        <w:t>供应商公章及签字</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15.6.1本竞争性磋商文件中描述供应商的“公章”是指供应商通过指定电子化政府采购平台办理数字证书（CA认证证书）获得的以法定主体行为名称制作的电子印章。</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15.6.2本竞争性磋商文件中要求供应商对其电子响应文件的相关内容加盖公章的，均指采用CA证书签章。</w:t>
      </w:r>
    </w:p>
    <w:p>
      <w:pPr>
        <w:keepNext w:val="0"/>
        <w:keepLines w:val="0"/>
        <w:pageBreakBefore w:val="0"/>
        <w:kinsoku/>
        <w:wordWrap w:val="0"/>
        <w:overflowPunct/>
        <w:topLinePunct w:val="0"/>
        <w:autoSpaceDE/>
        <w:autoSpaceDN/>
        <w:bidi w:val="0"/>
        <w:snapToGrid w:val="0"/>
        <w:spacing w:line="37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16. 首次响应文件的提交、撤回、修改</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16.1响应文件的提交截止时间：</w:t>
      </w:r>
      <w:r>
        <w:rPr>
          <w:rFonts w:hint="eastAsia" w:ascii="宋体" w:hAnsi="宋体" w:cs="宋体"/>
          <w:color w:val="auto"/>
          <w:szCs w:val="21"/>
          <w:highlight w:val="none"/>
          <w:lang w:eastAsia="zh-CN"/>
        </w:rPr>
        <w:t>2024年6月13日9:30</w:t>
      </w:r>
      <w:r>
        <w:rPr>
          <w:rFonts w:hint="eastAsia" w:ascii="宋体" w:hAnsi="宋体" w:cs="宋体"/>
          <w:bCs/>
          <w:color w:val="auto"/>
          <w:szCs w:val="21"/>
          <w:highlight w:val="none"/>
        </w:rPr>
        <w:t>（北京时间）</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16.2地点：通过“广西政府采购云”平台在线提交。</w:t>
      </w:r>
    </w:p>
    <w:p>
      <w:pPr>
        <w:keepNext w:val="0"/>
        <w:keepLines w:val="0"/>
        <w:pageBreakBefore w:val="0"/>
        <w:kinsoku/>
        <w:wordWrap w:val="0"/>
        <w:overflowPunct/>
        <w:topLinePunct w:val="0"/>
        <w:autoSpaceDE/>
        <w:autoSpaceDN/>
        <w:bidi w:val="0"/>
        <w:adjustRightInd w:val="0"/>
        <w:snapToGrid w:val="0"/>
        <w:spacing w:line="37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color w:val="auto"/>
          <w:kern w:val="0"/>
          <w:szCs w:val="21"/>
          <w:highlight w:val="none"/>
        </w:rPr>
        <w:t>在响应文件提交截止时间后的响应文件有效期内，供应商不得撤回其响应文件。</w:t>
      </w:r>
      <w:r>
        <w:rPr>
          <w:rFonts w:hint="eastAsia" w:ascii="宋体" w:hAnsi="宋体" w:cs="宋体"/>
          <w:bCs/>
          <w:color w:val="auto"/>
          <w:szCs w:val="21"/>
          <w:highlight w:val="none"/>
        </w:rPr>
        <w:t>响应文件提交截止时间前未成功将电子响应文件上传“广西政府采购云”平台的，视为未提交响应文件。</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16.4除竞争性磋商文件另有规定外，供应商所提交的响应文件不予退还。</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Style w:val="102"/>
          <w:rFonts w:hint="default"/>
          <w:color w:val="auto"/>
          <w:highlight w:val="none"/>
        </w:rPr>
      </w:pPr>
      <w:r>
        <w:rPr>
          <w:rFonts w:hint="eastAsia" w:ascii="宋体" w:hAnsi="宋体" w:cs="宋体"/>
          <w:b/>
          <w:color w:val="auto"/>
          <w:kern w:val="0"/>
          <w:szCs w:val="21"/>
          <w:highlight w:val="none"/>
        </w:rPr>
        <w:t>17.响应文件的解密</w:t>
      </w:r>
    </w:p>
    <w:p>
      <w:pPr>
        <w:keepNext w:val="0"/>
        <w:keepLines w:val="0"/>
        <w:pageBreakBefore w:val="0"/>
        <w:tabs>
          <w:tab w:val="left" w:pos="1305"/>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ascii="宋体" w:hAnsi="宋体" w:cs="宋体"/>
          <w:color w:val="auto"/>
          <w:kern w:val="0"/>
          <w:szCs w:val="21"/>
          <w:highlight w:val="none"/>
        </w:rPr>
        <w:t>响应文件提交截止时间后，采购代理机构开启解密响应文件操作，“广西政府采购云”平台向各供应商发出电子加密响应文件解密通知，由供应商在系统发出解密通知后30分钟内自行使用加密的CA通过“项目采购-开标评标”功能对响应文件进行解密。若供应商在上述规定的时间内无法解密或解密失败的，可以在响应文件解密截止时间后30分钟内向采购代理机构现场提交电子备份响应文件【现场提交电子</w:t>
      </w:r>
      <w:r>
        <w:rPr>
          <w:rFonts w:hint="eastAsia" w:ascii="宋体" w:hAnsi="宋体" w:cs="宋体"/>
          <w:color w:val="auto"/>
          <w:kern w:val="0"/>
          <w:szCs w:val="21"/>
          <w:highlight w:val="none"/>
        </w:rPr>
        <w:t>备份</w:t>
      </w:r>
      <w:r>
        <w:rPr>
          <w:rFonts w:ascii="宋体" w:hAnsi="宋体" w:cs="宋体"/>
          <w:color w:val="auto"/>
          <w:kern w:val="0"/>
          <w:szCs w:val="21"/>
          <w:highlight w:val="none"/>
        </w:rPr>
        <w:t>响应文件地址：桂林市公共资源交易中心</w:t>
      </w:r>
      <w:r>
        <w:rPr>
          <w:rFonts w:hint="eastAsia" w:ascii="宋体" w:hAnsi="宋体" w:cs="宋体"/>
          <w:color w:val="auto"/>
          <w:kern w:val="0"/>
          <w:szCs w:val="21"/>
          <w:highlight w:val="none"/>
          <w:u w:val="single"/>
          <w:lang w:eastAsia="zh-CN"/>
        </w:rPr>
        <w:t>11号开标室</w:t>
      </w:r>
      <w:r>
        <w:rPr>
          <w:rFonts w:ascii="宋体" w:hAnsi="宋体" w:cs="宋体"/>
          <w:color w:val="auto"/>
          <w:kern w:val="0"/>
          <w:szCs w:val="21"/>
          <w:highlight w:val="none"/>
        </w:rPr>
        <w:t>（广西桂林市临桂区西城中路69号创业大厦西辅楼4楼北区）】</w:t>
      </w:r>
      <w:r>
        <w:rPr>
          <w:rFonts w:hint="eastAsia" w:ascii="宋体" w:hAnsi="宋体" w:cs="宋体"/>
          <w:color w:val="auto"/>
          <w:kern w:val="0"/>
          <w:szCs w:val="21"/>
          <w:highlight w:val="none"/>
        </w:rPr>
        <w:t>，</w:t>
      </w:r>
      <w:r>
        <w:rPr>
          <w:rFonts w:ascii="宋体" w:hAnsi="宋体" w:cs="宋体"/>
          <w:color w:val="auto"/>
          <w:kern w:val="0"/>
          <w:szCs w:val="21"/>
          <w:highlight w:val="none"/>
        </w:rPr>
        <w:t>或以电子邮件的形式提交电子备份响应文件（</w:t>
      </w:r>
      <w:r>
        <w:rPr>
          <w:rFonts w:hint="eastAsia" w:ascii="宋体" w:hAnsi="宋体"/>
          <w:color w:val="auto"/>
          <w:highlight w:val="none"/>
        </w:rPr>
        <w:t>接收电子备份</w:t>
      </w:r>
      <w:r>
        <w:rPr>
          <w:rFonts w:ascii="宋体" w:hAnsi="宋体" w:cs="宋体"/>
          <w:color w:val="auto"/>
          <w:kern w:val="0"/>
          <w:szCs w:val="21"/>
          <w:highlight w:val="none"/>
        </w:rPr>
        <w:t>响应</w:t>
      </w:r>
      <w:r>
        <w:rPr>
          <w:rFonts w:hint="eastAsia" w:ascii="宋体" w:hAnsi="宋体"/>
          <w:color w:val="auto"/>
          <w:highlight w:val="none"/>
        </w:rPr>
        <w:t>文件的电子邮箱为：以现场通知为准</w:t>
      </w:r>
      <w:r>
        <w:rPr>
          <w:rFonts w:ascii="宋体" w:hAnsi="宋体" w:cs="宋体"/>
          <w:color w:val="auto"/>
          <w:kern w:val="0"/>
          <w:szCs w:val="21"/>
          <w:highlight w:val="none"/>
        </w:rPr>
        <w:t>）</w:t>
      </w:r>
      <w:r>
        <w:rPr>
          <w:rFonts w:hint="eastAsia" w:ascii="宋体" w:hAnsi="宋体" w:cs="宋体"/>
          <w:color w:val="auto"/>
          <w:kern w:val="0"/>
          <w:szCs w:val="21"/>
          <w:highlight w:val="none"/>
        </w:rPr>
        <w:t>；供应商未在上述规定的时间、地点（电子邮箱）提交的电子备份响应文件，采购代理机构不予接收或承认。</w:t>
      </w:r>
      <w:r>
        <w:rPr>
          <w:rFonts w:ascii="宋体" w:hAnsi="宋体" w:cs="宋体"/>
          <w:color w:val="auto"/>
          <w:kern w:val="0"/>
          <w:szCs w:val="21"/>
          <w:highlight w:val="none"/>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Cs w:val="21"/>
          <w:highlight w:val="none"/>
        </w:rPr>
        <w:t>磋商。</w:t>
      </w:r>
    </w:p>
    <w:p>
      <w:pPr>
        <w:keepNext w:val="0"/>
        <w:keepLines w:val="0"/>
        <w:pageBreakBefore w:val="0"/>
        <w:tabs>
          <w:tab w:val="left" w:pos="1305"/>
        </w:tabs>
        <w:kinsoku/>
        <w:wordWrap w:val="0"/>
        <w:overflowPunct/>
        <w:topLinePunct w:val="0"/>
        <w:autoSpaceDE/>
        <w:autoSpaceDN/>
        <w:bidi w:val="0"/>
        <w:spacing w:line="370" w:lineRule="exact"/>
        <w:ind w:firstLine="562" w:firstLineChars="200"/>
        <w:jc w:val="center"/>
        <w:textAlignment w:val="auto"/>
        <w:rPr>
          <w:rFonts w:ascii="宋体" w:hAnsi="宋体" w:cs="宋体"/>
          <w:b/>
          <w:color w:val="auto"/>
          <w:kern w:val="0"/>
          <w:sz w:val="28"/>
          <w:szCs w:val="28"/>
          <w:highlight w:val="none"/>
        </w:rPr>
      </w:pPr>
    </w:p>
    <w:p>
      <w:pPr>
        <w:keepNext w:val="0"/>
        <w:keepLines w:val="0"/>
        <w:pageBreakBefore w:val="0"/>
        <w:tabs>
          <w:tab w:val="left" w:pos="1305"/>
        </w:tabs>
        <w:kinsoku/>
        <w:wordWrap w:val="0"/>
        <w:overflowPunct/>
        <w:topLinePunct w:val="0"/>
        <w:autoSpaceDE/>
        <w:autoSpaceDN/>
        <w:bidi w:val="0"/>
        <w:spacing w:line="370" w:lineRule="exact"/>
        <w:ind w:firstLine="562" w:firstLineChars="200"/>
        <w:jc w:val="center"/>
        <w:textAlignment w:val="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四、竞争性磋商（简称磋商）与评审</w:t>
      </w:r>
    </w:p>
    <w:p>
      <w:pPr>
        <w:keepNext w:val="0"/>
        <w:keepLines w:val="0"/>
        <w:pageBreakBefore w:val="0"/>
        <w:tabs>
          <w:tab w:val="center" w:pos="4411"/>
          <w:tab w:val="left" w:pos="5475"/>
        </w:tabs>
        <w:kinsoku/>
        <w:wordWrap w:val="0"/>
        <w:overflowPunct/>
        <w:topLinePunct w:val="0"/>
        <w:autoSpaceDE/>
        <w:autoSpaceDN/>
        <w:bidi w:val="0"/>
        <w:spacing w:line="370" w:lineRule="exact"/>
        <w:ind w:firstLine="422" w:firstLineChars="200"/>
        <w:jc w:val="left"/>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18.磋商小组组成及磋商时间、地点、人员</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18.1 磋商小组组成：</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磋商及评审组织工作由采购代理机构负责，具体磋商、评审工作由依法组建的磋商小组负责，</w:t>
      </w:r>
      <w:r>
        <w:rPr>
          <w:rFonts w:hint="eastAsia" w:ascii="宋体" w:hAnsi="宋体" w:cs="宋体"/>
          <w:color w:val="auto"/>
          <w:kern w:val="0"/>
          <w:highlight w:val="none"/>
        </w:rPr>
        <w:t>本项目的磋商小组</w:t>
      </w:r>
      <w:r>
        <w:rPr>
          <w:rFonts w:hint="eastAsia" w:ascii="宋体" w:hAnsi="宋体" w:cs="宋体"/>
          <w:color w:val="auto"/>
          <w:kern w:val="0"/>
          <w:szCs w:val="21"/>
          <w:highlight w:val="none"/>
        </w:rPr>
        <w:t>由有关方面的专家组成。磋商小组的构成：3人</w:t>
      </w:r>
      <w:r>
        <w:rPr>
          <w:rFonts w:hint="eastAsia" w:ascii="宋体" w:hAnsi="宋体" w:cs="宋体"/>
          <w:color w:val="auto"/>
          <w:szCs w:val="21"/>
          <w:highlight w:val="none"/>
        </w:rPr>
        <w:t>。</w:t>
      </w:r>
    </w:p>
    <w:p>
      <w:pPr>
        <w:keepNext w:val="0"/>
        <w:keepLines w:val="0"/>
        <w:pageBreakBefore w:val="0"/>
        <w:tabs>
          <w:tab w:val="left" w:pos="1305"/>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18.2 磋商时间、地点、人员：</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18.2.1 磋商时间：首次响应文件递交截止时间后。</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bCs/>
          <w:color w:val="auto"/>
          <w:szCs w:val="21"/>
          <w:highlight w:val="none"/>
        </w:rPr>
      </w:pPr>
      <w:r>
        <w:rPr>
          <w:rFonts w:hint="eastAsia" w:ascii="宋体" w:hAnsi="宋体" w:cs="宋体"/>
          <w:color w:val="auto"/>
          <w:kern w:val="0"/>
          <w:szCs w:val="21"/>
          <w:highlight w:val="none"/>
        </w:rPr>
        <w:t>18.2.2 磋商地点：</w:t>
      </w:r>
      <w:r>
        <w:rPr>
          <w:rFonts w:hint="eastAsia" w:ascii="宋体" w:hAnsi="宋体" w:cs="宋体"/>
          <w:bCs/>
          <w:color w:val="auto"/>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rPr>
        <w:t>18.2.3 磋商参加人员：</w:t>
      </w:r>
      <w:r>
        <w:rPr>
          <w:rFonts w:hint="eastAsia" w:ascii="宋体" w:hAnsi="宋体" w:cs="宋体"/>
          <w:color w:val="auto"/>
          <w:szCs w:val="21"/>
          <w:highlight w:val="none"/>
        </w:rPr>
        <w:t>供应商法定代表人(负责人、自然人)或相应的委托代理人参加磋商。请</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bCs/>
          <w:color w:val="auto"/>
          <w:szCs w:val="21"/>
          <w:highlight w:val="none"/>
        </w:rPr>
        <w:t>实时登录“广西政府采购云”平台</w:t>
      </w:r>
      <w:r>
        <w:rPr>
          <w:rFonts w:hint="eastAsia" w:ascii="宋体" w:hAnsi="宋体" w:cs="宋体"/>
          <w:color w:val="auto"/>
          <w:szCs w:val="21"/>
          <w:highlight w:val="none"/>
        </w:rPr>
        <w:t>等候在线磋商。</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18.2.4 首次响应文件提交截止时间后，登录</w:t>
      </w:r>
      <w:r>
        <w:rPr>
          <w:rFonts w:hint="eastAsia" w:ascii="宋体" w:hAnsi="宋体" w:cs="宋体"/>
          <w:bCs/>
          <w:color w:val="auto"/>
          <w:szCs w:val="21"/>
          <w:highlight w:val="none"/>
        </w:rPr>
        <w:t>“广西政府采购云”平台</w:t>
      </w:r>
      <w:r>
        <w:rPr>
          <w:rFonts w:hint="eastAsia" w:ascii="宋体" w:hAnsi="宋体" w:cs="宋体"/>
          <w:color w:val="auto"/>
          <w:szCs w:val="21"/>
          <w:highlight w:val="none"/>
        </w:rPr>
        <w:t>在线解密开启。</w:t>
      </w:r>
    </w:p>
    <w:p>
      <w:pPr>
        <w:keepNext w:val="0"/>
        <w:keepLines w:val="0"/>
        <w:pageBreakBefore w:val="0"/>
        <w:tabs>
          <w:tab w:val="left" w:pos="1140"/>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19.评审原则和评审办法</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0"/>
          <w:highlight w:val="none"/>
        </w:rPr>
        <w:t xml:space="preserve">19.1 </w:t>
      </w:r>
      <w:r>
        <w:rPr>
          <w:rFonts w:hint="eastAsia" w:ascii="宋体" w:hAnsi="宋体" w:cs="宋体"/>
          <w:color w:val="auto"/>
          <w:kern w:val="0"/>
          <w:szCs w:val="21"/>
          <w:highlight w:val="none"/>
        </w:rPr>
        <w:t>磋商小组必须坚持公平、公正、科学和择优的原则。</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0"/>
          <w:highlight w:val="none"/>
        </w:rPr>
        <w:t xml:space="preserve">19.2 </w:t>
      </w:r>
      <w:r>
        <w:rPr>
          <w:rFonts w:hint="eastAsia" w:ascii="宋体" w:hAnsi="宋体" w:cs="宋体"/>
          <w:color w:val="auto"/>
          <w:kern w:val="0"/>
          <w:szCs w:val="21"/>
          <w:highlight w:val="none"/>
        </w:rPr>
        <w:t>评审办法：综合评分法，具体详见“第四章 评审办法”。</w:t>
      </w:r>
    </w:p>
    <w:p>
      <w:pPr>
        <w:pStyle w:val="19"/>
        <w:keepNext w:val="0"/>
        <w:keepLines w:val="0"/>
        <w:pageBreakBefore w:val="0"/>
        <w:kinsoku/>
        <w:wordWrap w:val="0"/>
        <w:overflowPunct/>
        <w:topLinePunct w:val="0"/>
        <w:autoSpaceDE/>
        <w:autoSpaceDN/>
        <w:bidi w:val="0"/>
        <w:spacing w:line="370" w:lineRule="exact"/>
        <w:ind w:firstLine="420" w:firstLineChars="200"/>
        <w:textAlignment w:val="auto"/>
        <w:rPr>
          <w:rFonts w:hAnsi="宋体" w:cs="宋体"/>
          <w:color w:val="auto"/>
          <w:kern w:val="0"/>
          <w:szCs w:val="21"/>
          <w:highlight w:val="none"/>
        </w:rPr>
      </w:pPr>
      <w:r>
        <w:rPr>
          <w:rFonts w:hint="eastAsia" w:hAnsi="宋体" w:cs="宋体"/>
          <w:color w:val="auto"/>
          <w:kern w:val="0"/>
          <w:szCs w:val="21"/>
          <w:highlight w:val="none"/>
        </w:rPr>
        <w:t>19.3 磋商小组应按磋商文件进行评审，不得擅自更改评审办法。</w:t>
      </w:r>
    </w:p>
    <w:p>
      <w:pPr>
        <w:pStyle w:val="19"/>
        <w:keepNext w:val="0"/>
        <w:keepLines w:val="0"/>
        <w:pageBreakBefore w:val="0"/>
        <w:kinsoku/>
        <w:wordWrap w:val="0"/>
        <w:overflowPunct/>
        <w:topLinePunct w:val="0"/>
        <w:autoSpaceDE/>
        <w:autoSpaceDN/>
        <w:bidi w:val="0"/>
        <w:spacing w:line="370" w:lineRule="exact"/>
        <w:ind w:firstLine="420" w:firstLineChars="200"/>
        <w:textAlignment w:val="auto"/>
        <w:rPr>
          <w:rFonts w:hAnsi="宋体" w:cs="宋体"/>
          <w:color w:val="auto"/>
          <w:kern w:val="0"/>
          <w:szCs w:val="21"/>
          <w:highlight w:val="none"/>
        </w:rPr>
      </w:pPr>
      <w:r>
        <w:rPr>
          <w:rFonts w:hint="eastAsia" w:hAnsi="宋体" w:cs="宋体"/>
          <w:color w:val="auto"/>
          <w:kern w:val="0"/>
          <w:szCs w:val="21"/>
          <w:highlight w:val="none"/>
        </w:rPr>
        <w:t>19.4 在评审过程中，磋商小组任何人不得对某个供应商发表任何倾向性意见，不得向其他磋商小组成员明示或者暗示自己的评审意见。</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19.5 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tabs>
          <w:tab w:val="left" w:pos="1140"/>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20.评审程序及磋商要求</w:t>
      </w:r>
    </w:p>
    <w:p>
      <w:pPr>
        <w:pStyle w:val="19"/>
        <w:keepNext w:val="0"/>
        <w:keepLines w:val="0"/>
        <w:pageBreakBefore w:val="0"/>
        <w:kinsoku/>
        <w:wordWrap w:val="0"/>
        <w:overflowPunct/>
        <w:topLinePunct w:val="0"/>
        <w:autoSpaceDE/>
        <w:autoSpaceDN/>
        <w:bidi w:val="0"/>
        <w:spacing w:line="370" w:lineRule="exact"/>
        <w:ind w:firstLine="420" w:firstLineChars="200"/>
        <w:textAlignment w:val="auto"/>
        <w:rPr>
          <w:rFonts w:hAnsi="宋体" w:cs="宋体"/>
          <w:color w:val="auto"/>
          <w:kern w:val="0"/>
          <w:szCs w:val="21"/>
          <w:highlight w:val="none"/>
        </w:rPr>
      </w:pPr>
      <w:r>
        <w:rPr>
          <w:rFonts w:hint="eastAsia" w:hAnsi="宋体" w:cs="宋体"/>
          <w:color w:val="auto"/>
          <w:kern w:val="0"/>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20.2 磋商小组应当审查供应商的响应文件并作出评价；要求供应商解释或者澄清其响应文件；编写评审报告；告知采购人、采购代理机构在评审过程中发现的供应商的违法违规行为。</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20.3 磋商小组依据法律法规和竞争性磋商文件的规定，</w:t>
      </w:r>
      <w:r>
        <w:rPr>
          <w:rFonts w:hint="eastAsia" w:ascii="宋体" w:hAnsi="宋体" w:cs="宋体"/>
          <w:color w:val="auto"/>
          <w:kern w:val="0"/>
          <w:highlight w:val="none"/>
        </w:rPr>
        <w:t>首先对响应文件进行资格性审查，</w:t>
      </w:r>
      <w:r>
        <w:rPr>
          <w:rFonts w:hint="eastAsia" w:ascii="宋体" w:hAnsi="宋体" w:cs="宋体"/>
          <w:color w:val="auto"/>
          <w:kern w:val="0"/>
          <w:szCs w:val="21"/>
          <w:highlight w:val="none"/>
        </w:rPr>
        <w:t>以确定供应商是否具备供应商资格；再对通过资格性审查的供应商响应文件的有效性、完整性和对磋商文件的响应程度进行符合性审查，以确定是否对磋商文件的实质性要求做出响应。</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20.4.1查询渠道：《国家企业信用信息公示系统》（网址：</w:t>
      </w:r>
      <w:r>
        <w:rPr>
          <w:rFonts w:hint="eastAsia" w:ascii="宋体" w:hAnsi="宋体" w:cs="宋体"/>
          <w:color w:val="auto"/>
          <w:highlight w:val="none"/>
        </w:rPr>
        <w:t>https://</w:t>
      </w:r>
      <w:r>
        <w:rPr>
          <w:rFonts w:hint="eastAsia" w:ascii="宋体" w:hAnsi="宋体" w:cs="宋体"/>
          <w:color w:val="auto"/>
          <w:kern w:val="0"/>
          <w:highlight w:val="none"/>
        </w:rPr>
        <w:t>www.gsxt.gov.cn/index.html</w:t>
      </w:r>
      <w:r>
        <w:rPr>
          <w:rFonts w:hint="eastAsia" w:ascii="宋体" w:hAnsi="宋体" w:cs="宋体"/>
          <w:color w:val="auto"/>
          <w:kern w:val="0"/>
          <w:szCs w:val="21"/>
          <w:highlight w:val="none"/>
        </w:rPr>
        <w:t>）</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20.4.2审查流程：</w:t>
      </w:r>
    </w:p>
    <w:p>
      <w:pPr>
        <w:keepNext w:val="0"/>
        <w:keepLines w:val="0"/>
        <w:pageBreakBefore w:val="0"/>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（1）进入《国家企业信用信息公示系统》（网址：</w:t>
      </w:r>
      <w:r>
        <w:rPr>
          <w:rFonts w:hint="eastAsia" w:ascii="宋体" w:hAnsi="宋体" w:cs="宋体"/>
          <w:color w:val="auto"/>
          <w:highlight w:val="none"/>
        </w:rPr>
        <w:t>https://</w:t>
      </w:r>
      <w:r>
        <w:rPr>
          <w:rFonts w:hint="eastAsia" w:ascii="宋体" w:hAnsi="宋体" w:cs="宋体"/>
          <w:color w:val="auto"/>
          <w:kern w:val="0"/>
          <w:szCs w:val="21"/>
          <w:highlight w:val="none"/>
        </w:rPr>
        <w:t>www.gsxt.gov.cn/index.html），输入企业名称，进入企业信息主页面；</w:t>
      </w:r>
    </w:p>
    <w:p>
      <w:pPr>
        <w:keepNext w:val="0"/>
        <w:keepLines w:val="0"/>
        <w:pageBreakBefore w:val="0"/>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（2）查看主页“股东及出资信息”栏，或年报中的“股东及出资信息”栏信息；</w:t>
      </w:r>
    </w:p>
    <w:p>
      <w:pPr>
        <w:keepNext w:val="0"/>
        <w:keepLines w:val="0"/>
        <w:pageBreakBefore w:val="0"/>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（3）将各供应商的股东及出资信息进行比对，得出审查结论；</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highlight w:val="none"/>
        </w:rPr>
      </w:pPr>
      <w:r>
        <w:rPr>
          <w:rFonts w:hint="eastAsia" w:ascii="宋体" w:hAnsi="宋体" w:cs="宋体"/>
          <w:color w:val="auto"/>
          <w:kern w:val="0"/>
          <w:highlight w:val="none"/>
        </w:rPr>
        <w:t xml:space="preserve">   （4）将相关资料作为评审资料打印存档。</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rPr>
        <w:t>20.5磋商小组在对响应文件的有效性、完整性和响应程度进行审查时，可以要求供应商对</w:t>
      </w:r>
      <w:r>
        <w:rPr>
          <w:rFonts w:hint="eastAsia" w:ascii="宋体" w:hAnsi="宋体" w:cs="宋体"/>
          <w:color w:val="auto"/>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Cs w:val="21"/>
          <w:highlight w:val="none"/>
        </w:rPr>
        <w:t>“广西政府采购云”平台</w:t>
      </w:r>
      <w:r>
        <w:rPr>
          <w:rFonts w:hint="eastAsia" w:ascii="宋体" w:hAnsi="宋体" w:cs="宋体"/>
          <w:color w:val="auto"/>
          <w:szCs w:val="21"/>
          <w:highlight w:val="none"/>
        </w:rPr>
        <w:t>采用在线书面形式，并加盖公章（CA证书签章），或者由法定代表人（负责人）或其授权委托代理人个人CA证书签章（没有办理广西政府采购云个人CA证书签章的可在响应文件中涉及到签字的位置手写签字后扫描或者拍照做成 PDF 的格式上传），供应商为自然人的，应当由本人个人CA证书签章（没有办理广西政府采购云个人CA证书签章的可在响应文件中涉及到签字的位置手写签字后扫描或者拍照做成 PDF 的格式上传）并附身份证明。</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磋商小组所有成员应当按已确定的磋商顺序集中与单一供应商分别进行磋商，并给予所有实质性响应竞争性磋商文件要求的供应商平等的磋商机会。</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磋商中，磋商小组不得透露与磋商有关的其他供应商的技术资料、价格和其他信息。</w:t>
      </w:r>
    </w:p>
    <w:p>
      <w:pPr>
        <w:keepNext w:val="0"/>
        <w:keepLines w:val="0"/>
        <w:pageBreakBefore w:val="0"/>
        <w:widowControl/>
        <w:tabs>
          <w:tab w:val="left" w:pos="540"/>
        </w:tabs>
        <w:kinsoku/>
        <w:wordWrap w:val="0"/>
        <w:overflowPunct/>
        <w:topLinePunct w:val="0"/>
        <w:autoSpaceDE/>
        <w:autoSpaceDN/>
        <w:bidi w:val="0"/>
        <w:spacing w:line="37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采购代理机构（磋商小组）对磋商过程和重要磋商内容进行记录，磋商双方在记录上签字确认</w:t>
      </w:r>
      <w:r>
        <w:rPr>
          <w:rFonts w:hint="eastAsia" w:ascii="宋体" w:hAnsi="宋体" w:cs="宋体"/>
          <w:color w:val="auto"/>
          <w:szCs w:val="21"/>
          <w:highlight w:val="none"/>
        </w:rPr>
        <w:t>（或CA证书签章）</w:t>
      </w:r>
      <w:r>
        <w:rPr>
          <w:rFonts w:hint="eastAsia" w:ascii="宋体" w:hAnsi="宋体" w:cs="宋体"/>
          <w:color w:val="auto"/>
          <w:kern w:val="0"/>
          <w:szCs w:val="21"/>
          <w:highlight w:val="none"/>
        </w:rPr>
        <w:t>。</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20.6在磋商过程中，磋商小组可以根据磋商文件和磋商情况实质性变动</w:t>
      </w:r>
      <w:r>
        <w:rPr>
          <w:rFonts w:hint="eastAsia" w:ascii="宋体" w:hAnsi="宋体" w:cs="宋体"/>
          <w:color w:val="auto"/>
          <w:kern w:val="0"/>
          <w:szCs w:val="21"/>
          <w:highlight w:val="none"/>
          <w:lang w:eastAsia="zh-CN"/>
        </w:rPr>
        <w:t>监理服务需求</w:t>
      </w:r>
      <w:r>
        <w:rPr>
          <w:rFonts w:hint="eastAsia" w:ascii="宋体" w:hAnsi="宋体" w:cs="宋体"/>
          <w:color w:val="auto"/>
          <w:kern w:val="0"/>
          <w:szCs w:val="21"/>
          <w:highlight w:val="none"/>
        </w:rPr>
        <w:t>中的技术、服务要求以及合同草案条款，但不得变动磋商文件中的其他内容。实质性变动的内容，须经采购人代表确认。</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对磋商文件作出的实质性变动是磋商文件的有效组成部分，磋商小组应当及时通过“广西政府采购云”平台以书面形式同时通知所有参加磋商的供应商。</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供应商必须按照磋商文件的变动情况和磋商小组的要求重新提交响应文件，并由其法定代表人(负责人、自然人)或相应的授权委托代表个人CA证书签章（没有办理广西政府采购云个人CA证书签章的可在响应文件中涉及到签字的位置手写签字后扫描或者拍照做成 PDF 的格式上传）或者加盖供应商公章（CA证书签章）。逾时不交的，视同放弃磋商。</w:t>
      </w:r>
    </w:p>
    <w:p>
      <w:pPr>
        <w:keepNext w:val="0"/>
        <w:keepLines w:val="0"/>
        <w:pageBreakBefore w:val="0"/>
        <w:widowControl/>
        <w:kinsoku/>
        <w:wordWrap w:val="0"/>
        <w:overflowPunct/>
        <w:topLinePunct w:val="0"/>
        <w:autoSpaceDE/>
        <w:autoSpaceDN/>
        <w:bidi w:val="0"/>
        <w:spacing w:line="37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20.7最后报价</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20.7.3最后报价是供应商响应文件的有效组成部分。</w:t>
      </w:r>
    </w:p>
    <w:p>
      <w:pPr>
        <w:keepNext w:val="0"/>
        <w:keepLines w:val="0"/>
        <w:pageBreakBefore w:val="0"/>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20.8已提交响应文件的供应商，在提交最后报价之前，可以根据磋商情况书面退出磋商。</w:t>
      </w:r>
    </w:p>
    <w:p>
      <w:pPr>
        <w:keepNext w:val="0"/>
        <w:keepLines w:val="0"/>
        <w:pageBreakBefore w:val="0"/>
        <w:widowControl/>
        <w:tabs>
          <w:tab w:val="left" w:pos="540"/>
        </w:tabs>
        <w:kinsoku/>
        <w:wordWrap w:val="0"/>
        <w:overflowPunct/>
        <w:topLinePunct w:val="0"/>
        <w:autoSpaceDE/>
        <w:autoSpaceDN/>
        <w:bidi w:val="0"/>
        <w:spacing w:line="37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未书面退出磋商的供应商必须在规定时间内通过“广西政府采购云”平台在线提交最后报价；磋商过程中磋商文件未作实质性变动的，</w:t>
      </w:r>
      <w:r>
        <w:rPr>
          <w:rFonts w:hint="eastAsia" w:ascii="宋体" w:hAnsi="宋体"/>
          <w:color w:val="auto"/>
          <w:szCs w:val="21"/>
          <w:highlight w:val="none"/>
        </w:rPr>
        <w:t>最后报价不得超过首次报价</w:t>
      </w:r>
      <w:r>
        <w:rPr>
          <w:rFonts w:hint="eastAsia" w:ascii="宋体" w:hAnsi="宋体" w:cs="宋体"/>
          <w:color w:val="auto"/>
          <w:kern w:val="0"/>
          <w:szCs w:val="21"/>
          <w:highlight w:val="none"/>
        </w:rPr>
        <w:t>。</w:t>
      </w:r>
    </w:p>
    <w:p>
      <w:pPr>
        <w:keepNext w:val="0"/>
        <w:keepLines w:val="0"/>
        <w:pageBreakBefore w:val="0"/>
        <w:widowControl/>
        <w:tabs>
          <w:tab w:val="left" w:pos="540"/>
        </w:tabs>
        <w:kinsoku/>
        <w:wordWrap w:val="0"/>
        <w:overflowPunct/>
        <w:topLinePunct w:val="0"/>
        <w:autoSpaceDE/>
        <w:autoSpaceDN/>
        <w:bidi w:val="0"/>
        <w:spacing w:line="37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20.9综合比较与评价：</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21.9.1 磋商小组按竞争性磋商文件中规定的评审办法，对资格性审查和符合性审查合格的响应文件进行商务和技术评估，综合比较与评价。</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20.9.2磋商小组成员应当独立对每个供应商的响应文件进行评价，最终汇总每个供应商的得分。各供应商的得分为所有磋商小组的有效评分的算术平均数。</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20.9.3采购代理机构对评审数据进行校对、核对，对畸高、畸低的重大差异评分提示磋商小组复核或书面说明理由。</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20.10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20.11采购代理机构发现磋商小组有明显的违规倾向或歧视现象，或不按评审办法进行，或其他不正常行为的，应当及时制止。如制止无效，应及时向桂林市政府采购监督管理机构报告。</w:t>
      </w:r>
    </w:p>
    <w:p>
      <w:pPr>
        <w:pStyle w:val="19"/>
        <w:keepNext w:val="0"/>
        <w:keepLines w:val="0"/>
        <w:pageBreakBefore w:val="0"/>
        <w:kinsoku/>
        <w:wordWrap w:val="0"/>
        <w:overflowPunct/>
        <w:topLinePunct w:val="0"/>
        <w:autoSpaceDE/>
        <w:autoSpaceDN/>
        <w:bidi w:val="0"/>
        <w:spacing w:line="370" w:lineRule="exact"/>
        <w:ind w:firstLine="422" w:firstLineChars="200"/>
        <w:textAlignment w:val="auto"/>
        <w:rPr>
          <w:rFonts w:hAnsi="宋体" w:cs="宋体"/>
          <w:b/>
          <w:bCs/>
          <w:color w:val="auto"/>
          <w:kern w:val="0"/>
          <w:szCs w:val="21"/>
          <w:highlight w:val="none"/>
        </w:rPr>
      </w:pPr>
      <w:r>
        <w:rPr>
          <w:rFonts w:hint="eastAsia" w:hAnsi="宋体" w:cs="宋体"/>
          <w:b/>
          <w:bCs/>
          <w:color w:val="auto"/>
          <w:kern w:val="0"/>
          <w:szCs w:val="21"/>
          <w:highlight w:val="none"/>
        </w:rPr>
        <w:t>21.</w:t>
      </w:r>
      <w:r>
        <w:rPr>
          <w:rFonts w:hint="eastAsia" w:hAnsi="宋体" w:cs="宋体"/>
          <w:b/>
          <w:color w:val="auto"/>
          <w:kern w:val="0"/>
          <w:highlight w:val="none"/>
        </w:rPr>
        <w:t>推荐及确定成交候选供应商原则</w:t>
      </w:r>
    </w:p>
    <w:p>
      <w:pPr>
        <w:keepNext w:val="0"/>
        <w:keepLines w:val="0"/>
        <w:pageBreakBefore w:val="0"/>
        <w:tabs>
          <w:tab w:val="left" w:pos="114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项目</w:t>
      </w:r>
      <w:r>
        <w:rPr>
          <w:rFonts w:hint="eastAsia" w:ascii="宋体" w:hAnsi="宋体" w:cs="宋体"/>
          <w:color w:val="auto"/>
          <w:kern w:val="0"/>
          <w:szCs w:val="21"/>
          <w:highlight w:val="none"/>
          <w:lang w:eastAsia="zh-CN"/>
        </w:rPr>
        <w:t>监理大纲分</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监理服务承诺分、信誉业绩分</w:t>
      </w:r>
      <w:r>
        <w:rPr>
          <w:rFonts w:hint="eastAsia" w:ascii="宋体" w:hAnsi="宋体" w:cs="宋体"/>
          <w:color w:val="auto"/>
          <w:kern w:val="0"/>
          <w:szCs w:val="21"/>
          <w:highlight w:val="none"/>
        </w:rPr>
        <w:t>由高到低顺序排列并推荐成交候选供应商。</w:t>
      </w:r>
    </w:p>
    <w:p>
      <w:pPr>
        <w:keepNext w:val="0"/>
        <w:keepLines w:val="0"/>
        <w:pageBreakBefore w:val="0"/>
        <w:tabs>
          <w:tab w:val="left" w:pos="114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（2）本项目确定一名成交供应商。采购单位应当确定磋商小组推荐排名第一的成交候选供应商为成交供应商。</w:t>
      </w:r>
    </w:p>
    <w:p>
      <w:pPr>
        <w:keepNext w:val="0"/>
        <w:keepLines w:val="0"/>
        <w:pageBreakBefore w:val="0"/>
        <w:tabs>
          <w:tab w:val="left" w:pos="114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pPr>
        <w:keepNext w:val="0"/>
        <w:keepLines w:val="0"/>
        <w:pageBreakBefore w:val="0"/>
        <w:tabs>
          <w:tab w:val="left" w:pos="114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（4）排名第二的成交候选供应商因前款规定的同样原因不能签订合同的，采购单位可以确定排名第三的成交候选人为成交供应商。以此类推。</w:t>
      </w:r>
    </w:p>
    <w:p>
      <w:pPr>
        <w:keepNext w:val="0"/>
        <w:keepLines w:val="0"/>
        <w:pageBreakBefore w:val="0"/>
        <w:tabs>
          <w:tab w:val="left" w:pos="1140"/>
        </w:tabs>
        <w:kinsoku/>
        <w:wordWrap w:val="0"/>
        <w:overflowPunct/>
        <w:topLinePunct w:val="0"/>
        <w:autoSpaceDE/>
        <w:autoSpaceDN/>
        <w:bidi w:val="0"/>
        <w:spacing w:line="370" w:lineRule="exact"/>
        <w:ind w:firstLine="422" w:firstLineChars="20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22.属于下列情况之一者，响应文件无效：</w:t>
      </w:r>
    </w:p>
    <w:p>
      <w:pPr>
        <w:keepNext w:val="0"/>
        <w:keepLines w:val="0"/>
        <w:pageBreakBefore w:val="0"/>
        <w:tabs>
          <w:tab w:val="left" w:pos="1140"/>
        </w:tabs>
        <w:kinsoku/>
        <w:wordWrap w:val="0"/>
        <w:overflowPunct/>
        <w:topLinePunct w:val="0"/>
        <w:autoSpaceDE/>
        <w:autoSpaceDN/>
        <w:bidi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（1）未按磋商文件规定完整提交响应文件或未按规定要求签字、盖章的，或未提供授权委托书（委托代理的）；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（2）超越了行政审批的经营范围的；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（3）不具备磋商文件规定的资格要求的</w:t>
      </w:r>
      <w:r>
        <w:rPr>
          <w:rFonts w:hint="eastAsia" w:ascii="宋体" w:hAnsi="宋体" w:cs="宋体"/>
          <w:color w:val="auto"/>
          <w:kern w:val="0"/>
          <w:highlight w:val="none"/>
        </w:rPr>
        <w:t>；</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（4）响应文件未按磋商文件的内容和要求编制，或提供虚假材料的；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（5）响应文件有效期、服务时间、服务承诺不能满足磋商文件要求的；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（6）</w:t>
      </w:r>
      <w:r>
        <w:rPr>
          <w:rFonts w:hint="eastAsia" w:ascii="宋体" w:hAnsi="宋体" w:cs="宋体"/>
          <w:color w:val="auto"/>
          <w:kern w:val="0"/>
          <w:highlight w:val="none"/>
        </w:rPr>
        <w:t>供应商</w:t>
      </w:r>
      <w:r>
        <w:rPr>
          <w:rFonts w:hint="eastAsia" w:ascii="宋体" w:hAnsi="宋体" w:cs="宋体"/>
          <w:color w:val="auto"/>
          <w:kern w:val="0"/>
          <w:szCs w:val="21"/>
          <w:highlight w:val="none"/>
        </w:rPr>
        <w:t>未就“</w:t>
      </w:r>
      <w:r>
        <w:rPr>
          <w:rFonts w:hint="eastAsia" w:ascii="宋体" w:hAnsi="宋体" w:cs="宋体"/>
          <w:color w:val="auto"/>
          <w:kern w:val="0"/>
          <w:szCs w:val="21"/>
          <w:highlight w:val="none"/>
          <w:lang w:eastAsia="zh-CN"/>
        </w:rPr>
        <w:t>监理服务需求</w:t>
      </w:r>
      <w:r>
        <w:rPr>
          <w:rFonts w:hint="eastAsia" w:ascii="宋体" w:hAnsi="宋体" w:cs="宋体"/>
          <w:color w:val="auto"/>
          <w:kern w:val="0"/>
          <w:szCs w:val="21"/>
          <w:highlight w:val="none"/>
        </w:rPr>
        <w:t>”中的所有服务内容作完整唯一报价的，或报价超出政府采购预算金额的</w:t>
      </w:r>
      <w:r>
        <w:rPr>
          <w:rFonts w:hint="eastAsia" w:ascii="宋体" w:hAnsi="宋体" w:cs="宋体"/>
          <w:color w:val="auto"/>
          <w:kern w:val="0"/>
          <w:highlight w:val="none"/>
        </w:rPr>
        <w:t>；</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highlight w:val="none"/>
        </w:rPr>
      </w:pPr>
      <w:r>
        <w:rPr>
          <w:rFonts w:hint="eastAsia" w:ascii="宋体" w:hAnsi="宋体" w:cs="宋体"/>
          <w:color w:val="auto"/>
          <w:kern w:val="0"/>
          <w:highlight w:val="none"/>
        </w:rPr>
        <w:t xml:space="preserve">   （7）</w:t>
      </w:r>
      <w:r>
        <w:rPr>
          <w:rFonts w:hint="eastAsia" w:ascii="宋体" w:hAnsi="宋体" w:cs="宋体"/>
          <w:color w:val="auto"/>
          <w:kern w:val="0"/>
          <w:szCs w:val="21"/>
          <w:highlight w:val="none"/>
        </w:rPr>
        <w:t>未在磋商小组规定的时间内重新提交响应文件的；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（8）未满足磋商文件实质性要求的；或者响应文件有采购人不能接受的附加条件的；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（9）磋商文件未作实质性变动，供应商最后报价高于首次报价的；</w:t>
      </w:r>
    </w:p>
    <w:p>
      <w:pPr>
        <w:pStyle w:val="19"/>
        <w:keepNext w:val="0"/>
        <w:keepLines w:val="0"/>
        <w:pageBreakBefore w:val="0"/>
        <w:kinsoku/>
        <w:wordWrap w:val="0"/>
        <w:overflowPunct/>
        <w:topLinePunct w:val="0"/>
        <w:autoSpaceDE/>
        <w:autoSpaceDN/>
        <w:bidi w:val="0"/>
        <w:spacing w:line="370" w:lineRule="exact"/>
        <w:textAlignment w:val="auto"/>
        <w:rPr>
          <w:rFonts w:hAnsi="宋体" w:cs="宋体"/>
          <w:color w:val="auto"/>
          <w:kern w:val="0"/>
          <w:szCs w:val="21"/>
          <w:highlight w:val="none"/>
        </w:rPr>
      </w:pPr>
      <w:r>
        <w:rPr>
          <w:rFonts w:hint="eastAsia" w:hAnsi="宋体" w:cs="宋体"/>
          <w:color w:val="auto"/>
          <w:kern w:val="0"/>
          <w:highlight w:val="none"/>
        </w:rPr>
        <w:t xml:space="preserve">   （10）</w:t>
      </w:r>
      <w:r>
        <w:rPr>
          <w:rFonts w:hint="eastAsia" w:hAnsi="宋体" w:cs="宋体"/>
          <w:color w:val="auto"/>
          <w:kern w:val="0"/>
          <w:szCs w:val="21"/>
          <w:highlight w:val="none"/>
        </w:rPr>
        <w:t>不符合法律、法规和磋商文件规定的其他实质性要求和条件的。</w:t>
      </w:r>
    </w:p>
    <w:p>
      <w:pPr>
        <w:keepNext w:val="0"/>
        <w:keepLines w:val="0"/>
        <w:pageBreakBefore w:val="0"/>
        <w:kinsoku/>
        <w:wordWrap w:val="0"/>
        <w:overflowPunct/>
        <w:topLinePunct w:val="0"/>
        <w:autoSpaceDE/>
        <w:autoSpaceDN/>
        <w:bidi w:val="0"/>
        <w:snapToGrid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供应商有下列情形之一的，视为串通参与磋商，响应文件将被视为无效：</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highlight w:val="none"/>
        </w:rPr>
      </w:pPr>
      <w:r>
        <w:rPr>
          <w:rFonts w:hint="eastAsia" w:ascii="宋体" w:hAnsi="宋体" w:cs="宋体"/>
          <w:color w:val="auto"/>
          <w:kern w:val="0"/>
          <w:highlight w:val="none"/>
        </w:rPr>
        <w:t xml:space="preserve">   （1）不同供应商的响应文件由同一单位或者个人编制的；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highlight w:val="none"/>
        </w:rPr>
      </w:pPr>
      <w:r>
        <w:rPr>
          <w:rFonts w:hint="eastAsia" w:ascii="宋体" w:hAnsi="宋体" w:cs="宋体"/>
          <w:color w:val="auto"/>
          <w:kern w:val="0"/>
          <w:highlight w:val="none"/>
        </w:rPr>
        <w:t xml:space="preserve">   （2）不同供应商委托同一单位或者个人办理磋商事宜的；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highlight w:val="none"/>
        </w:rPr>
      </w:pPr>
      <w:r>
        <w:rPr>
          <w:rFonts w:hint="eastAsia" w:ascii="宋体" w:hAnsi="宋体" w:cs="宋体"/>
          <w:color w:val="auto"/>
          <w:kern w:val="0"/>
          <w:highlight w:val="none"/>
        </w:rPr>
        <w:t xml:space="preserve">   （3）不同的供应商的响应文件载明的项目管理员为同一个人的；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highlight w:val="none"/>
        </w:rPr>
      </w:pPr>
      <w:r>
        <w:rPr>
          <w:rFonts w:hint="eastAsia" w:ascii="宋体" w:hAnsi="宋体" w:cs="宋体"/>
          <w:color w:val="auto"/>
          <w:kern w:val="0"/>
          <w:highlight w:val="none"/>
        </w:rPr>
        <w:t xml:space="preserve">   （4）不同供应商的响应文件异常一致或最后报价呈规律性差异的。</w:t>
      </w:r>
    </w:p>
    <w:p>
      <w:pPr>
        <w:keepNext w:val="0"/>
        <w:keepLines w:val="0"/>
        <w:pageBreakBefore w:val="0"/>
        <w:kinsoku/>
        <w:wordWrap w:val="0"/>
        <w:overflowPunct/>
        <w:topLinePunct w:val="0"/>
        <w:autoSpaceDE/>
        <w:autoSpaceDN/>
        <w:bidi w:val="0"/>
        <w:snapToGrid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23.出现下列情形之一的，采购人或者采购代理机构应当终止竞争性磋商采购活动，发布项目终止公告并说明原因，重新开展采购活动：</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（1）因情况变化，不再符合规定的竞争性磋商采购方式适用情形的；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（2）出现影响采购公正的违法、违规行为的；</w:t>
      </w:r>
    </w:p>
    <w:p>
      <w:pPr>
        <w:keepNext w:val="0"/>
        <w:keepLines w:val="0"/>
        <w:pageBreakBefore w:val="0"/>
        <w:widowControl/>
        <w:kinsoku/>
        <w:wordWrap w:val="0"/>
        <w:overflowPunct/>
        <w:topLinePunct w:val="0"/>
        <w:autoSpaceDE/>
        <w:autoSpaceDN/>
        <w:bidi w:val="0"/>
        <w:spacing w:line="37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（3）除本须知第20.7.2条及法律法规规定的情形外，在采购过程中符合要求的供应商或者报价未超过采购预算的供应商不足3家的。</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pPr>
        <w:keepNext w:val="0"/>
        <w:keepLines w:val="0"/>
        <w:pageBreakBefore w:val="0"/>
        <w:kinsoku/>
        <w:wordWrap w:val="0"/>
        <w:overflowPunct/>
        <w:topLinePunct w:val="0"/>
        <w:autoSpaceDE/>
        <w:autoSpaceDN/>
        <w:bidi w:val="0"/>
        <w:snapToGrid w:val="0"/>
        <w:spacing w:line="370" w:lineRule="exact"/>
        <w:ind w:firstLine="422" w:firstLineChars="200"/>
        <w:textAlignment w:val="auto"/>
        <w:rPr>
          <w:rFonts w:ascii="宋体" w:hAnsi="宋体" w:cs="宋体"/>
          <w:b/>
          <w:color w:val="auto"/>
          <w:kern w:val="0"/>
          <w:highlight w:val="none"/>
        </w:rPr>
      </w:pPr>
      <w:r>
        <w:rPr>
          <w:rFonts w:hint="eastAsia" w:ascii="宋体" w:hAnsi="宋体" w:cs="宋体"/>
          <w:b/>
          <w:color w:val="auto"/>
          <w:kern w:val="0"/>
          <w:highlight w:val="none"/>
        </w:rPr>
        <w:t>25.磋商过程的监控</w:t>
      </w:r>
    </w:p>
    <w:p>
      <w:pPr>
        <w:pStyle w:val="19"/>
        <w:keepNext w:val="0"/>
        <w:keepLines w:val="0"/>
        <w:pageBreakBefore w:val="0"/>
        <w:kinsoku/>
        <w:wordWrap w:val="0"/>
        <w:overflowPunct/>
        <w:topLinePunct w:val="0"/>
        <w:autoSpaceDE/>
        <w:autoSpaceDN/>
        <w:bidi w:val="0"/>
        <w:spacing w:line="370" w:lineRule="exact"/>
        <w:ind w:firstLine="420" w:firstLineChars="200"/>
        <w:textAlignment w:val="auto"/>
        <w:rPr>
          <w:rFonts w:hAnsi="宋体" w:cs="宋体"/>
          <w:color w:val="auto"/>
          <w:kern w:val="0"/>
          <w:highlight w:val="none"/>
        </w:rPr>
      </w:pPr>
      <w:r>
        <w:rPr>
          <w:rFonts w:hint="eastAsia" w:hAnsi="宋体" w:cs="宋体"/>
          <w:color w:val="auto"/>
          <w:kern w:val="0"/>
          <w:highlight w:val="none"/>
        </w:rPr>
        <w:t>本项目磋商过程实行全程录音、录像监控，供应商在磋商过程中所进行的试图影响磋商结果的不公正活动，可能导致其</w:t>
      </w:r>
      <w:r>
        <w:rPr>
          <w:rFonts w:hint="eastAsia" w:hAnsi="宋体" w:cs="宋体"/>
          <w:color w:val="auto"/>
          <w:kern w:val="0"/>
          <w:szCs w:val="21"/>
          <w:highlight w:val="none"/>
        </w:rPr>
        <w:t>响应</w:t>
      </w:r>
      <w:r>
        <w:rPr>
          <w:rFonts w:hint="eastAsia" w:hAnsi="宋体" w:cs="宋体"/>
          <w:color w:val="auto"/>
          <w:kern w:val="0"/>
          <w:highlight w:val="none"/>
        </w:rPr>
        <w:t>被拒绝。</w:t>
      </w:r>
    </w:p>
    <w:p>
      <w:pPr>
        <w:keepNext w:val="0"/>
        <w:keepLines w:val="0"/>
        <w:pageBreakBefore w:val="0"/>
        <w:kinsoku/>
        <w:wordWrap w:val="0"/>
        <w:overflowPunct/>
        <w:topLinePunct w:val="0"/>
        <w:autoSpaceDE/>
        <w:autoSpaceDN/>
        <w:bidi w:val="0"/>
        <w:snapToGrid w:val="0"/>
        <w:spacing w:line="370" w:lineRule="exact"/>
        <w:ind w:firstLine="422" w:firstLineChars="200"/>
        <w:textAlignment w:val="auto"/>
        <w:rPr>
          <w:rFonts w:ascii="宋体" w:hAnsi="宋体" w:cs="宋体"/>
          <w:b/>
          <w:color w:val="auto"/>
          <w:kern w:val="0"/>
          <w:highlight w:val="none"/>
        </w:rPr>
      </w:pPr>
      <w:r>
        <w:rPr>
          <w:rFonts w:hint="eastAsia" w:ascii="宋体" w:hAnsi="宋体" w:cs="宋体"/>
          <w:b/>
          <w:color w:val="auto"/>
          <w:kern w:val="0"/>
          <w:highlight w:val="none"/>
        </w:rPr>
        <w:t xml:space="preserve"> 26. 信用查询 </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根据《关于做好政府采购有关信用主体标识码登记及在政府采购活动中查询使用信用记录有关问题的通知》（桂财采〔2016〕37），由采购代理机构对第一成交候选人进行信用查询：</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⑴查询渠道：“信用中国”网站(</w:t>
      </w:r>
      <w:r>
        <w:rPr>
          <w:rFonts w:hint="eastAsia" w:ascii="宋体" w:hAnsi="宋体" w:cs="宋体"/>
          <w:color w:val="auto"/>
          <w:highlight w:val="none"/>
        </w:rPr>
        <w:t>https://</w:t>
      </w:r>
      <w:r>
        <w:rPr>
          <w:rFonts w:hint="eastAsia" w:ascii="宋体" w:hAnsi="宋体" w:cs="宋体"/>
          <w:color w:val="auto"/>
          <w:kern w:val="0"/>
          <w:szCs w:val="21"/>
          <w:highlight w:val="none"/>
        </w:rPr>
        <w:t>www.creditchina.gov.cn)、中国政府采购网(</w:t>
      </w:r>
      <w:r>
        <w:rPr>
          <w:rFonts w:hint="eastAsia" w:ascii="宋体" w:hAnsi="宋体" w:cs="宋体"/>
          <w:color w:val="auto"/>
          <w:highlight w:val="none"/>
        </w:rPr>
        <w:t>https://</w:t>
      </w:r>
      <w:r>
        <w:rPr>
          <w:rFonts w:hint="eastAsia" w:ascii="宋体" w:hAnsi="宋体" w:cs="宋体"/>
          <w:color w:val="auto"/>
          <w:kern w:val="0"/>
          <w:szCs w:val="21"/>
          <w:highlight w:val="none"/>
        </w:rPr>
        <w:t>www.ccgp.gov.cn)等；</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⑵查询截止时间：成交通知书发出前；</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⑶信用信息查询记录和证据留存方式：在查询网站中直接打印查询记录，打印材料作为采购活动资料保存；</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⑷信用信息使用规则：对在“信用中国”网站(</w:t>
      </w:r>
      <w:r>
        <w:rPr>
          <w:rFonts w:hint="eastAsia" w:ascii="宋体" w:hAnsi="宋体" w:cs="宋体"/>
          <w:color w:val="auto"/>
          <w:highlight w:val="none"/>
        </w:rPr>
        <w:t>https://</w:t>
      </w:r>
      <w:r>
        <w:rPr>
          <w:rFonts w:hint="eastAsia" w:ascii="宋体" w:hAnsi="宋体" w:cs="宋体"/>
          <w:color w:val="auto"/>
          <w:kern w:val="0"/>
          <w:szCs w:val="21"/>
          <w:highlight w:val="none"/>
        </w:rPr>
        <w:t>www.creditchina.gov.cn)、中国政府采购网(</w:t>
      </w:r>
      <w:r>
        <w:rPr>
          <w:rFonts w:hint="eastAsia" w:ascii="宋体" w:hAnsi="宋体" w:cs="宋体"/>
          <w:color w:val="auto"/>
          <w:highlight w:val="none"/>
        </w:rPr>
        <w:t>https://</w:t>
      </w:r>
      <w:r>
        <w:rPr>
          <w:rFonts w:hint="eastAsia" w:ascii="宋体" w:hAnsi="宋体" w:cs="宋体"/>
          <w:color w:val="auto"/>
          <w:kern w:val="0"/>
          <w:szCs w:val="21"/>
          <w:highlight w:val="none"/>
        </w:rPr>
        <w:t>www.ccgp.gov.cn)等渠道列入失信被执行人、</w:t>
      </w:r>
      <w:r>
        <w:rPr>
          <w:rFonts w:hint="eastAsia" w:ascii="宋体" w:hAnsi="宋体" w:cs="宋体"/>
          <w:color w:val="auto"/>
          <w:highlight w:val="none"/>
        </w:rPr>
        <w:t>重大税收违法失信主体</w:t>
      </w:r>
      <w:r>
        <w:rPr>
          <w:rFonts w:hint="eastAsia" w:ascii="宋体" w:hAnsi="宋体" w:cs="宋体"/>
          <w:color w:val="auto"/>
          <w:kern w:val="0"/>
          <w:szCs w:val="21"/>
          <w:highlight w:val="none"/>
        </w:rPr>
        <w:t xml:space="preserve">、政府采购严重违法失信行为记录名单及其他不符合《中华人民共和国政府采购法》第二十二条规定条件的供应商，取消其成交候选人资格。    </w:t>
      </w:r>
    </w:p>
    <w:p>
      <w:pPr>
        <w:pStyle w:val="19"/>
        <w:keepNext w:val="0"/>
        <w:keepLines w:val="0"/>
        <w:pageBreakBefore w:val="0"/>
        <w:kinsoku/>
        <w:wordWrap w:val="0"/>
        <w:overflowPunct/>
        <w:topLinePunct w:val="0"/>
        <w:autoSpaceDE/>
        <w:autoSpaceDN/>
        <w:bidi w:val="0"/>
        <w:spacing w:line="370" w:lineRule="exact"/>
        <w:ind w:firstLine="422" w:firstLineChars="200"/>
        <w:textAlignment w:val="auto"/>
        <w:rPr>
          <w:rFonts w:hAnsi="宋体" w:cs="宋体"/>
          <w:b/>
          <w:color w:val="auto"/>
          <w:kern w:val="0"/>
          <w:highlight w:val="none"/>
        </w:rPr>
      </w:pPr>
      <w:r>
        <w:rPr>
          <w:rFonts w:hint="eastAsia" w:hAnsi="宋体" w:cs="宋体"/>
          <w:b/>
          <w:color w:val="auto"/>
          <w:kern w:val="0"/>
          <w:highlight w:val="none"/>
        </w:rPr>
        <w:t>27</w:t>
      </w:r>
      <w:r>
        <w:rPr>
          <w:rFonts w:hint="eastAsia" w:hAnsi="宋体" w:cs="宋体"/>
          <w:b/>
          <w:color w:val="auto"/>
          <w:kern w:val="0"/>
          <w:szCs w:val="21"/>
          <w:highlight w:val="none"/>
        </w:rPr>
        <w:t>.</w:t>
      </w:r>
      <w:r>
        <w:rPr>
          <w:rFonts w:hint="eastAsia" w:hAnsi="宋体" w:cs="宋体"/>
          <w:b/>
          <w:color w:val="auto"/>
          <w:kern w:val="0"/>
          <w:szCs w:val="24"/>
          <w:highlight w:val="none"/>
        </w:rPr>
        <w:t>成交公告及成交通知书</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27.2中小企业在政府采购活动过程中，请根据自己的真实情况出具《中小企业声明函》。采购人或采购代理机构在公告成交结果时，同时公告其</w:t>
      </w:r>
      <w:r>
        <w:rPr>
          <w:color w:val="auto"/>
          <w:spacing w:val="12"/>
          <w:highlight w:val="none"/>
        </w:rPr>
        <w:t>《中小企业声明函》或《残疾人福利性单位声明函》或监狱企业</w:t>
      </w:r>
      <w:r>
        <w:rPr>
          <w:color w:val="auto"/>
          <w:spacing w:val="9"/>
          <w:highlight w:val="none"/>
        </w:rPr>
        <w:t>的证明文件，</w:t>
      </w:r>
      <w:r>
        <w:rPr>
          <w:rFonts w:hint="eastAsia" w:ascii="宋体" w:hAnsi="宋体" w:cs="宋体"/>
          <w:color w:val="auto"/>
          <w:kern w:val="0"/>
          <w:szCs w:val="21"/>
          <w:highlight w:val="none"/>
        </w:rPr>
        <w:t>接受社会监督。</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27.3在发布成交公告的同时，采购代理机构向成交供应商发出成交通知书。成交供应商应自接到通知之日起七个工作日内，办理成交通知书领取手续。</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27.4采购代理机构无义务向未成交的供应商解释未成交原因和退还响应文件。</w:t>
      </w:r>
    </w:p>
    <w:p>
      <w:pPr>
        <w:pStyle w:val="19"/>
        <w:keepNext w:val="0"/>
        <w:keepLines w:val="0"/>
        <w:pageBreakBefore w:val="0"/>
        <w:kinsoku/>
        <w:wordWrap w:val="0"/>
        <w:overflowPunct/>
        <w:topLinePunct w:val="0"/>
        <w:autoSpaceDE/>
        <w:autoSpaceDN/>
        <w:bidi w:val="0"/>
        <w:spacing w:line="370" w:lineRule="exact"/>
        <w:ind w:firstLine="562" w:firstLineChars="200"/>
        <w:jc w:val="center"/>
        <w:textAlignment w:val="auto"/>
        <w:rPr>
          <w:rFonts w:hAnsi="宋体" w:cs="宋体"/>
          <w:b/>
          <w:color w:val="auto"/>
          <w:kern w:val="0"/>
          <w:sz w:val="28"/>
          <w:szCs w:val="28"/>
          <w:highlight w:val="none"/>
        </w:rPr>
      </w:pPr>
    </w:p>
    <w:p>
      <w:pPr>
        <w:pStyle w:val="19"/>
        <w:keepNext w:val="0"/>
        <w:keepLines w:val="0"/>
        <w:pageBreakBefore w:val="0"/>
        <w:kinsoku/>
        <w:wordWrap w:val="0"/>
        <w:overflowPunct/>
        <w:topLinePunct w:val="0"/>
        <w:autoSpaceDE/>
        <w:autoSpaceDN/>
        <w:bidi w:val="0"/>
        <w:spacing w:line="370" w:lineRule="exact"/>
        <w:ind w:firstLine="562" w:firstLineChars="200"/>
        <w:jc w:val="center"/>
        <w:textAlignment w:val="auto"/>
        <w:rPr>
          <w:rFonts w:hAnsi="宋体" w:cs="宋体"/>
          <w:b/>
          <w:color w:val="auto"/>
          <w:kern w:val="0"/>
          <w:sz w:val="28"/>
          <w:szCs w:val="28"/>
          <w:highlight w:val="none"/>
        </w:rPr>
      </w:pPr>
      <w:r>
        <w:rPr>
          <w:rFonts w:hint="eastAsia" w:hAnsi="宋体" w:cs="宋体"/>
          <w:b/>
          <w:color w:val="auto"/>
          <w:kern w:val="0"/>
          <w:sz w:val="28"/>
          <w:szCs w:val="28"/>
          <w:highlight w:val="none"/>
        </w:rPr>
        <w:t>五、签订合同</w:t>
      </w:r>
    </w:p>
    <w:p>
      <w:pPr>
        <w:keepNext w:val="0"/>
        <w:keepLines w:val="0"/>
        <w:pageBreakBefore w:val="0"/>
        <w:kinsoku/>
        <w:wordWrap w:val="0"/>
        <w:overflowPunct/>
        <w:topLinePunct w:val="0"/>
        <w:autoSpaceDE/>
        <w:autoSpaceDN/>
        <w:bidi w:val="0"/>
        <w:spacing w:line="370" w:lineRule="exact"/>
        <w:ind w:firstLine="422" w:firstLineChars="200"/>
        <w:textAlignment w:val="auto"/>
        <w:rPr>
          <w:rFonts w:ascii="宋体" w:hAnsi="宋体" w:cs="宋体"/>
          <w:b/>
          <w:color w:val="auto"/>
          <w:kern w:val="0"/>
          <w:highlight w:val="none"/>
        </w:rPr>
      </w:pPr>
      <w:r>
        <w:rPr>
          <w:rFonts w:hint="eastAsia" w:ascii="宋体" w:hAnsi="宋体" w:cs="宋体"/>
          <w:b/>
          <w:color w:val="auto"/>
          <w:kern w:val="0"/>
          <w:highlight w:val="none"/>
        </w:rPr>
        <w:t>28</w:t>
      </w:r>
      <w:r>
        <w:rPr>
          <w:rFonts w:hint="eastAsia" w:ascii="宋体" w:hAnsi="宋体" w:cs="宋体"/>
          <w:b/>
          <w:color w:val="auto"/>
          <w:kern w:val="0"/>
          <w:szCs w:val="21"/>
          <w:highlight w:val="none"/>
        </w:rPr>
        <w:t>.</w:t>
      </w:r>
      <w:r>
        <w:rPr>
          <w:rFonts w:hint="eastAsia" w:ascii="宋体" w:hAnsi="宋体" w:cs="宋体"/>
          <w:b/>
          <w:color w:val="auto"/>
          <w:kern w:val="0"/>
          <w:highlight w:val="none"/>
        </w:rPr>
        <w:t>履约保证金</w:t>
      </w:r>
    </w:p>
    <w:p>
      <w:pPr>
        <w:keepNext w:val="0"/>
        <w:keepLines w:val="0"/>
        <w:pageBreakBefore w:val="0"/>
        <w:tabs>
          <w:tab w:val="left" w:pos="1140"/>
        </w:tabs>
        <w:kinsoku/>
        <w:wordWrap w:val="0"/>
        <w:overflowPunct/>
        <w:topLinePunct w:val="0"/>
        <w:autoSpaceDE/>
        <w:autoSpaceDN/>
        <w:bidi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本项目不收取履约保证金。</w:t>
      </w:r>
    </w:p>
    <w:p>
      <w:pPr>
        <w:keepNext w:val="0"/>
        <w:keepLines w:val="0"/>
        <w:pageBreakBefore w:val="0"/>
        <w:tabs>
          <w:tab w:val="left" w:pos="1140"/>
        </w:tabs>
        <w:kinsoku/>
        <w:wordWrap w:val="0"/>
        <w:overflowPunct/>
        <w:topLinePunct w:val="0"/>
        <w:autoSpaceDE/>
        <w:autoSpaceDN/>
        <w:bidi w:val="0"/>
        <w:spacing w:line="37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29.签订合同</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highlight w:val="none"/>
        </w:rPr>
        <w:t xml:space="preserve">29.1 </w:t>
      </w:r>
      <w:r>
        <w:rPr>
          <w:rFonts w:hint="eastAsia" w:ascii="宋体" w:hAnsi="宋体" w:cs="宋体"/>
          <w:color w:val="auto"/>
          <w:kern w:val="0"/>
          <w:szCs w:val="21"/>
          <w:highlight w:val="none"/>
        </w:rPr>
        <w:t>签订合同时间：成交通知书发出之日起8个工</w:t>
      </w:r>
      <w:r>
        <w:rPr>
          <w:rFonts w:hint="eastAsia" w:ascii="宋体" w:hAnsi="宋体" w:cs="宋体"/>
          <w:color w:val="auto"/>
          <w:kern w:val="0"/>
          <w:szCs w:val="21"/>
          <w:highlight w:val="none"/>
          <w:lang w:eastAsia="zh-CN"/>
        </w:rPr>
        <w:t>作日</w:t>
      </w:r>
      <w:r>
        <w:rPr>
          <w:rFonts w:hint="eastAsia" w:ascii="宋体" w:hAnsi="宋体" w:cs="宋体"/>
          <w:color w:val="auto"/>
          <w:kern w:val="0"/>
          <w:szCs w:val="21"/>
          <w:highlight w:val="none"/>
        </w:rPr>
        <w:t>内。成交供应商领取成交通知书后，应按规定与采购人签订合同。</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（1）成交后不与采购人签订合同的（不可抗力除外）；</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（2）将成交项目转让给他人，或者在响应文件中未说明，且未经采购人同意，将成交项目分包给他人的；</w:t>
      </w:r>
    </w:p>
    <w:p>
      <w:pPr>
        <w:keepNext w:val="0"/>
        <w:keepLines w:val="0"/>
        <w:pageBreakBefore w:val="0"/>
        <w:kinsoku/>
        <w:wordWrap w:val="0"/>
        <w:overflowPunct/>
        <w:topLinePunct w:val="0"/>
        <w:autoSpaceDE/>
        <w:autoSpaceDN/>
        <w:bidi w:val="0"/>
        <w:snapToGrid w:val="0"/>
        <w:spacing w:line="37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（3）拒绝履行合同义务的。</w:t>
      </w:r>
    </w:p>
    <w:p>
      <w:pPr>
        <w:keepNext w:val="0"/>
        <w:keepLines w:val="0"/>
        <w:pageBreakBefore w:val="0"/>
        <w:kinsoku/>
        <w:wordWrap w:val="0"/>
        <w:overflowPunct/>
        <w:topLinePunct w:val="0"/>
        <w:autoSpaceDE/>
        <w:autoSpaceDN/>
        <w:bidi w:val="0"/>
        <w:snapToGrid w:val="0"/>
        <w:spacing w:line="37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财政局备案，一份由采购代理机构存档。</w:t>
      </w:r>
    </w:p>
    <w:p>
      <w:pPr>
        <w:pStyle w:val="19"/>
        <w:keepNext w:val="0"/>
        <w:keepLines w:val="0"/>
        <w:pageBreakBefore w:val="0"/>
        <w:kinsoku/>
        <w:wordWrap w:val="0"/>
        <w:overflowPunct/>
        <w:topLinePunct w:val="0"/>
        <w:autoSpaceDE/>
        <w:autoSpaceDN/>
        <w:bidi w:val="0"/>
        <w:spacing w:line="370" w:lineRule="exact"/>
        <w:ind w:firstLine="562" w:firstLineChars="200"/>
        <w:jc w:val="center"/>
        <w:textAlignment w:val="auto"/>
        <w:rPr>
          <w:rFonts w:hAnsi="宋体" w:cs="宋体"/>
          <w:b/>
          <w:color w:val="auto"/>
          <w:kern w:val="0"/>
          <w:sz w:val="28"/>
          <w:szCs w:val="28"/>
          <w:highlight w:val="none"/>
        </w:rPr>
      </w:pPr>
    </w:p>
    <w:p>
      <w:pPr>
        <w:pStyle w:val="19"/>
        <w:pageBreakBefore w:val="0"/>
        <w:kinsoku/>
        <w:wordWrap w:val="0"/>
        <w:topLinePunct w:val="0"/>
        <w:bidi w:val="0"/>
        <w:spacing w:line="380" w:lineRule="exact"/>
        <w:ind w:firstLine="562" w:firstLineChars="200"/>
        <w:jc w:val="center"/>
        <w:rPr>
          <w:rFonts w:hAnsi="宋体" w:cs="宋体"/>
          <w:b/>
          <w:color w:val="auto"/>
          <w:kern w:val="0"/>
          <w:sz w:val="28"/>
          <w:szCs w:val="28"/>
          <w:highlight w:val="none"/>
        </w:rPr>
      </w:pPr>
      <w:r>
        <w:rPr>
          <w:rFonts w:hint="eastAsia" w:hAnsi="宋体" w:cs="宋体"/>
          <w:b/>
          <w:color w:val="auto"/>
          <w:kern w:val="0"/>
          <w:sz w:val="28"/>
          <w:szCs w:val="28"/>
          <w:highlight w:val="none"/>
        </w:rPr>
        <w:t>六、其他事项</w:t>
      </w:r>
    </w:p>
    <w:p>
      <w:pPr>
        <w:pageBreakBefore w:val="0"/>
        <w:kinsoku/>
        <w:wordWrap w:val="0"/>
        <w:topLinePunct w:val="0"/>
        <w:bidi w:val="0"/>
        <w:spacing w:line="380" w:lineRule="exact"/>
        <w:ind w:firstLine="422" w:firstLineChars="200"/>
        <w:rPr>
          <w:rFonts w:ascii="宋体" w:hAnsi="宋体" w:cs="宋体"/>
          <w:b/>
          <w:color w:val="auto"/>
          <w:kern w:val="0"/>
          <w:highlight w:val="none"/>
        </w:rPr>
      </w:pPr>
      <w:r>
        <w:rPr>
          <w:rFonts w:hint="eastAsia" w:ascii="宋体" w:hAnsi="宋体" w:cs="宋体"/>
          <w:b/>
          <w:color w:val="auto"/>
          <w:kern w:val="0"/>
          <w:highlight w:val="none"/>
        </w:rPr>
        <w:t>30</w:t>
      </w:r>
      <w:r>
        <w:rPr>
          <w:rFonts w:hint="eastAsia" w:ascii="宋体" w:hAnsi="宋体" w:cs="宋体"/>
          <w:b/>
          <w:color w:val="auto"/>
          <w:kern w:val="0"/>
          <w:szCs w:val="21"/>
          <w:highlight w:val="none"/>
        </w:rPr>
        <w:t>.采购</w:t>
      </w:r>
      <w:r>
        <w:rPr>
          <w:rFonts w:hint="eastAsia" w:ascii="宋体" w:hAnsi="宋体" w:cs="宋体"/>
          <w:b/>
          <w:color w:val="auto"/>
          <w:kern w:val="0"/>
          <w:highlight w:val="none"/>
        </w:rPr>
        <w:t>代理服务费</w:t>
      </w:r>
    </w:p>
    <w:p>
      <w:pPr>
        <w:pageBreakBefore w:val="0"/>
        <w:kinsoku/>
        <w:wordWrap w:val="0"/>
        <w:topLinePunct w:val="0"/>
        <w:bidi w:val="0"/>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30.1本项目代理服务费按本须知第30.2条“代理服务收费标准”中服务类收费标准计算，由成交供应商在领取成交通知书前，向采购代理机构一次性支付。</w:t>
      </w:r>
    </w:p>
    <w:p>
      <w:pPr>
        <w:pageBreakBefore w:val="0"/>
        <w:kinsoku/>
        <w:wordWrap w:val="0"/>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30.2代理服务收费标准：</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pPr>
              <w:pStyle w:val="19"/>
              <w:pageBreakBefore w:val="0"/>
              <w:kinsoku/>
              <w:wordWrap w:val="0"/>
              <w:topLinePunct w:val="0"/>
              <w:bidi w:val="0"/>
              <w:spacing w:line="340" w:lineRule="exact"/>
              <w:ind w:left="25"/>
              <w:rPr>
                <w:rFonts w:hAnsi="宋体" w:cs="宋体"/>
                <w:color w:val="auto"/>
                <w:kern w:val="0"/>
                <w:highlight w:val="none"/>
              </w:rPr>
            </w:pPr>
            <w:r>
              <w:rPr>
                <w:rFonts w:hAnsi="宋体" w:cs="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iGS9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Nn3PmwNKFP37/8fjz&#10;F5tNF1mdPmBNQXduG0cPwzZmqsc22vwnEuxYFD2dFVXHxARtzq6XV8u3C84EnS0XV9ezAlr9zQ4R&#10;0wflLctGw412mTHUcPiIiSpS6J+QvG0c6xt+s5hnTKDxa+naybSBKKDbl1z0Rst7bUzOwLjf3ZnI&#10;DpBHoHyZF+E+C8tFNoDdEFeOhuHoFMj3TrJ0CiSOozfBcwtWSc6MoieULQKEOoE2l0RSaeNygioD&#10;OvLMQg/SZmvn5akoXmWPLr90PA5qnq6nPtlPH+f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DIhkva7AEAAOQDAAAOAAAAAAAAAAEAIAAAACUBAABkcnMvZTJvRG9jLnhtbFBLBQYAAAAABgAG&#10;AFkBAACDBQAAAAA=&#10;">
                      <v:fill on="f" focussize="0,0"/>
                      <v:stroke color="#000000" joinstyle="round"/>
                      <v:imagedata o:title=""/>
                      <o:lock v:ext="edit" aspectratio="f"/>
                    </v:line>
                  </w:pict>
                </mc:Fallback>
              </mc:AlternateContent>
            </w:r>
            <w:r>
              <w:rPr>
                <w:rFonts w:hint="eastAsia" w:hAnsi="宋体" w:cs="宋体"/>
                <w:color w:val="auto"/>
                <w:kern w:val="0"/>
                <w:highlight w:val="none"/>
              </w:rPr>
              <w:t>费率           服务类型</w:t>
            </w:r>
          </w:p>
          <w:p>
            <w:pPr>
              <w:pStyle w:val="19"/>
              <w:pageBreakBefore w:val="0"/>
              <w:kinsoku/>
              <w:wordWrap w:val="0"/>
              <w:topLinePunct w:val="0"/>
              <w:bidi w:val="0"/>
              <w:spacing w:line="340" w:lineRule="exact"/>
              <w:ind w:left="25"/>
              <w:rPr>
                <w:rFonts w:hAnsi="宋体" w:cs="宋体"/>
                <w:color w:val="auto"/>
                <w:kern w:val="0"/>
                <w:highlight w:val="none"/>
              </w:rPr>
            </w:pPr>
            <w:r>
              <w:rPr>
                <w:rFonts w:hAnsi="宋体" w:cs="宋体"/>
                <w:color w:val="auto"/>
                <w:kern w:val="0"/>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q9E1gAAAAgBAAAPAAAAAAAAAAEAIAAAACIAAABkcnMvZG93bnJldi54bWxQSwECFAAUAAAACACH&#10;TuJA7mCHPe0BAADkAwAADgAAAAAAAAABACAAAAAlAQAAZHJzL2Uyb0RvYy54bWxQSwUGAAAAAAYA&#10;BgBZAQAAhAUAAAAA&#10;">
                      <v:fill on="f" focussize="0,0"/>
                      <v:stroke color="#000000" joinstyle="round"/>
                      <v:imagedata o:title=""/>
                      <o:lock v:ext="edit" aspectratio="f"/>
                    </v:line>
                  </w:pict>
                </mc:Fallback>
              </mc:AlternateContent>
            </w:r>
          </w:p>
          <w:p>
            <w:pPr>
              <w:pStyle w:val="19"/>
              <w:pageBreakBefore w:val="0"/>
              <w:kinsoku/>
              <w:wordWrap w:val="0"/>
              <w:topLinePunct w:val="0"/>
              <w:bidi w:val="0"/>
              <w:spacing w:line="340" w:lineRule="exact"/>
              <w:ind w:left="25"/>
              <w:rPr>
                <w:rFonts w:hAnsi="宋体" w:cs="宋体"/>
                <w:color w:val="auto"/>
                <w:kern w:val="0"/>
                <w:highlight w:val="none"/>
              </w:rPr>
            </w:pPr>
            <w:r>
              <w:rPr>
                <w:rFonts w:hint="eastAsia" w:hAnsi="宋体" w:cs="宋体"/>
                <w:color w:val="auto"/>
                <w:kern w:val="0"/>
                <w:highlight w:val="none"/>
              </w:rPr>
              <w:t>成交金额</w:t>
            </w:r>
          </w:p>
        </w:tc>
        <w:tc>
          <w:tcPr>
            <w:tcW w:w="1858" w:type="dxa"/>
            <w:vAlign w:val="center"/>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货物采购</w:t>
            </w:r>
          </w:p>
        </w:tc>
        <w:tc>
          <w:tcPr>
            <w:tcW w:w="2012" w:type="dxa"/>
            <w:vAlign w:val="center"/>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服务采购</w:t>
            </w:r>
          </w:p>
        </w:tc>
        <w:tc>
          <w:tcPr>
            <w:tcW w:w="2315" w:type="dxa"/>
            <w:vAlign w:val="center"/>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pPr>
              <w:pStyle w:val="19"/>
              <w:pageBreakBefore w:val="0"/>
              <w:kinsoku/>
              <w:wordWrap w:val="0"/>
              <w:topLinePunct w:val="0"/>
              <w:bidi w:val="0"/>
              <w:spacing w:line="340" w:lineRule="exact"/>
              <w:ind w:left="25"/>
              <w:rPr>
                <w:rFonts w:hAnsi="宋体" w:cs="宋体"/>
                <w:color w:val="auto"/>
                <w:kern w:val="0"/>
                <w:highlight w:val="none"/>
              </w:rPr>
            </w:pPr>
            <w:r>
              <w:rPr>
                <w:rFonts w:hint="eastAsia" w:hAnsi="宋体" w:cs="宋体"/>
                <w:color w:val="auto"/>
                <w:kern w:val="0"/>
                <w:highlight w:val="none"/>
              </w:rPr>
              <w:t>100万元以下</w:t>
            </w:r>
          </w:p>
        </w:tc>
        <w:tc>
          <w:tcPr>
            <w:tcW w:w="1858" w:type="dxa"/>
          </w:tcPr>
          <w:p>
            <w:pPr>
              <w:pStyle w:val="142"/>
              <w:pageBreakBefore w:val="0"/>
              <w:kinsoku/>
              <w:wordWrap w:val="0"/>
              <w:topLinePunct w:val="0"/>
              <w:bidi w:val="0"/>
              <w:spacing w:line="340" w:lineRule="exact"/>
              <w:ind w:left="25"/>
              <w:jc w:val="center"/>
              <w:rPr>
                <w:rFonts w:ascii="宋体" w:hAnsi="宋体" w:cs="宋体"/>
                <w:color w:val="auto"/>
                <w:kern w:val="0"/>
                <w:highlight w:val="none"/>
              </w:rPr>
            </w:pPr>
            <w:r>
              <w:rPr>
                <w:rFonts w:hint="eastAsia" w:ascii="宋体" w:hAnsi="宋体" w:cs="宋体"/>
                <w:color w:val="auto"/>
                <w:kern w:val="0"/>
                <w:highlight w:val="none"/>
              </w:rPr>
              <w:t>1.5%</w:t>
            </w:r>
          </w:p>
        </w:tc>
        <w:tc>
          <w:tcPr>
            <w:tcW w:w="2012" w:type="dxa"/>
          </w:tcPr>
          <w:p>
            <w:pPr>
              <w:pStyle w:val="142"/>
              <w:pageBreakBefore w:val="0"/>
              <w:kinsoku/>
              <w:wordWrap w:val="0"/>
              <w:topLinePunct w:val="0"/>
              <w:bidi w:val="0"/>
              <w:spacing w:line="340" w:lineRule="exact"/>
              <w:ind w:left="25"/>
              <w:jc w:val="center"/>
              <w:rPr>
                <w:rFonts w:ascii="宋体" w:hAnsi="宋体" w:cs="宋体"/>
                <w:color w:val="auto"/>
                <w:kern w:val="0"/>
                <w:highlight w:val="none"/>
              </w:rPr>
            </w:pPr>
            <w:r>
              <w:rPr>
                <w:rFonts w:hint="eastAsia" w:ascii="宋体" w:hAnsi="宋体" w:cs="宋体"/>
                <w:color w:val="auto"/>
                <w:kern w:val="0"/>
                <w:highlight w:val="none"/>
              </w:rPr>
              <w:t>1.5%</w:t>
            </w:r>
          </w:p>
        </w:tc>
        <w:tc>
          <w:tcPr>
            <w:tcW w:w="2315" w:type="dxa"/>
          </w:tcPr>
          <w:p>
            <w:pPr>
              <w:pStyle w:val="142"/>
              <w:pageBreakBefore w:val="0"/>
              <w:kinsoku/>
              <w:wordWrap w:val="0"/>
              <w:topLinePunct w:val="0"/>
              <w:bidi w:val="0"/>
              <w:spacing w:line="340" w:lineRule="exact"/>
              <w:ind w:left="25"/>
              <w:jc w:val="center"/>
              <w:rPr>
                <w:rFonts w:ascii="宋体" w:hAnsi="宋体" w:cs="宋体"/>
                <w:color w:val="auto"/>
                <w:kern w:val="0"/>
                <w:highlight w:val="none"/>
              </w:rPr>
            </w:pPr>
            <w:r>
              <w:rPr>
                <w:rFonts w:hint="eastAsia" w:ascii="宋体" w:hAnsi="宋体" w:cs="宋体"/>
                <w:color w:val="auto"/>
                <w:kern w:val="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pPr>
              <w:pStyle w:val="19"/>
              <w:pageBreakBefore w:val="0"/>
              <w:kinsoku/>
              <w:wordWrap w:val="0"/>
              <w:topLinePunct w:val="0"/>
              <w:bidi w:val="0"/>
              <w:spacing w:line="340" w:lineRule="exact"/>
              <w:ind w:left="25"/>
              <w:rPr>
                <w:rFonts w:hAnsi="宋体" w:cs="宋体"/>
                <w:color w:val="auto"/>
                <w:kern w:val="0"/>
                <w:highlight w:val="none"/>
              </w:rPr>
            </w:pPr>
            <w:r>
              <w:rPr>
                <w:rFonts w:hint="eastAsia" w:hAnsi="宋体" w:cs="宋体"/>
                <w:color w:val="auto"/>
                <w:kern w:val="0"/>
                <w:highlight w:val="none"/>
              </w:rPr>
              <w:t>100～500万元</w:t>
            </w:r>
          </w:p>
        </w:tc>
        <w:tc>
          <w:tcPr>
            <w:tcW w:w="1858" w:type="dxa"/>
          </w:tcPr>
          <w:p>
            <w:pPr>
              <w:pStyle w:val="142"/>
              <w:pageBreakBefore w:val="0"/>
              <w:kinsoku/>
              <w:wordWrap w:val="0"/>
              <w:topLinePunct w:val="0"/>
              <w:bidi w:val="0"/>
              <w:spacing w:line="340" w:lineRule="exact"/>
              <w:ind w:left="25"/>
              <w:jc w:val="center"/>
              <w:rPr>
                <w:rFonts w:ascii="宋体" w:hAnsi="宋体" w:cs="宋体"/>
                <w:color w:val="auto"/>
                <w:kern w:val="0"/>
                <w:highlight w:val="none"/>
              </w:rPr>
            </w:pPr>
            <w:r>
              <w:rPr>
                <w:rFonts w:hint="eastAsia" w:ascii="宋体" w:hAnsi="宋体" w:cs="宋体"/>
                <w:color w:val="auto"/>
                <w:kern w:val="0"/>
                <w:highlight w:val="none"/>
              </w:rPr>
              <w:t>1.1%</w:t>
            </w:r>
          </w:p>
        </w:tc>
        <w:tc>
          <w:tcPr>
            <w:tcW w:w="2012" w:type="dxa"/>
          </w:tcPr>
          <w:p>
            <w:pPr>
              <w:pStyle w:val="142"/>
              <w:pageBreakBefore w:val="0"/>
              <w:kinsoku/>
              <w:wordWrap w:val="0"/>
              <w:topLinePunct w:val="0"/>
              <w:bidi w:val="0"/>
              <w:spacing w:line="340" w:lineRule="exact"/>
              <w:ind w:left="25"/>
              <w:jc w:val="center"/>
              <w:rPr>
                <w:rFonts w:ascii="宋体" w:hAnsi="宋体" w:cs="宋体"/>
                <w:color w:val="auto"/>
                <w:kern w:val="0"/>
                <w:highlight w:val="none"/>
              </w:rPr>
            </w:pPr>
            <w:r>
              <w:rPr>
                <w:rFonts w:hint="eastAsia" w:ascii="宋体" w:hAnsi="宋体" w:cs="宋体"/>
                <w:color w:val="auto"/>
                <w:kern w:val="0"/>
                <w:highlight w:val="none"/>
              </w:rPr>
              <w:t>0.8%</w:t>
            </w:r>
          </w:p>
        </w:tc>
        <w:tc>
          <w:tcPr>
            <w:tcW w:w="2315" w:type="dxa"/>
          </w:tcPr>
          <w:p>
            <w:pPr>
              <w:pStyle w:val="142"/>
              <w:pageBreakBefore w:val="0"/>
              <w:kinsoku/>
              <w:wordWrap w:val="0"/>
              <w:topLinePunct w:val="0"/>
              <w:bidi w:val="0"/>
              <w:spacing w:line="340" w:lineRule="exact"/>
              <w:ind w:left="25"/>
              <w:jc w:val="center"/>
              <w:rPr>
                <w:rFonts w:ascii="宋体" w:hAnsi="宋体" w:cs="宋体"/>
                <w:color w:val="auto"/>
                <w:kern w:val="0"/>
                <w:highlight w:val="none"/>
              </w:rPr>
            </w:pPr>
            <w:r>
              <w:rPr>
                <w:rFonts w:hint="eastAsia" w:ascii="宋体" w:hAnsi="宋体" w:cs="宋体"/>
                <w:color w:val="auto"/>
                <w:kern w:val="0"/>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pageBreakBefore w:val="0"/>
              <w:kinsoku/>
              <w:wordWrap w:val="0"/>
              <w:topLinePunct w:val="0"/>
              <w:bidi w:val="0"/>
              <w:spacing w:line="340" w:lineRule="exact"/>
              <w:ind w:left="25"/>
              <w:rPr>
                <w:rFonts w:hAnsi="宋体" w:cs="宋体"/>
                <w:color w:val="auto"/>
                <w:kern w:val="0"/>
                <w:highlight w:val="none"/>
              </w:rPr>
            </w:pPr>
            <w:r>
              <w:rPr>
                <w:rFonts w:hint="eastAsia" w:hAnsi="宋体" w:cs="宋体"/>
                <w:color w:val="auto"/>
                <w:kern w:val="0"/>
                <w:highlight w:val="none"/>
              </w:rPr>
              <w:t>500～1000万元</w:t>
            </w:r>
          </w:p>
        </w:tc>
        <w:tc>
          <w:tcPr>
            <w:tcW w:w="1858"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0.8%</w:t>
            </w:r>
          </w:p>
        </w:tc>
        <w:tc>
          <w:tcPr>
            <w:tcW w:w="2012"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0.45%</w:t>
            </w:r>
          </w:p>
        </w:tc>
        <w:tc>
          <w:tcPr>
            <w:tcW w:w="2315"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pageBreakBefore w:val="0"/>
              <w:kinsoku/>
              <w:wordWrap w:val="0"/>
              <w:topLinePunct w:val="0"/>
              <w:bidi w:val="0"/>
              <w:spacing w:line="340" w:lineRule="exact"/>
              <w:ind w:left="25"/>
              <w:rPr>
                <w:rFonts w:hAnsi="宋体" w:cs="宋体"/>
                <w:color w:val="auto"/>
                <w:kern w:val="0"/>
                <w:highlight w:val="none"/>
              </w:rPr>
            </w:pPr>
            <w:r>
              <w:rPr>
                <w:rFonts w:hint="eastAsia" w:hAnsi="宋体" w:cs="宋体"/>
                <w:color w:val="auto"/>
                <w:kern w:val="0"/>
                <w:highlight w:val="none"/>
                <w:lang w:eastAsia="zh-CN"/>
              </w:rPr>
              <w:t>1000万～5000万</w:t>
            </w:r>
            <w:r>
              <w:rPr>
                <w:rFonts w:hint="eastAsia" w:hAnsi="宋体" w:cs="宋体"/>
                <w:color w:val="auto"/>
                <w:kern w:val="0"/>
                <w:highlight w:val="none"/>
              </w:rPr>
              <w:t>元</w:t>
            </w:r>
          </w:p>
        </w:tc>
        <w:tc>
          <w:tcPr>
            <w:tcW w:w="1858"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0.5%</w:t>
            </w:r>
          </w:p>
        </w:tc>
        <w:tc>
          <w:tcPr>
            <w:tcW w:w="2012"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0.25%</w:t>
            </w:r>
          </w:p>
        </w:tc>
        <w:tc>
          <w:tcPr>
            <w:tcW w:w="2315"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pPr>
              <w:pStyle w:val="19"/>
              <w:pageBreakBefore w:val="0"/>
              <w:kinsoku/>
              <w:wordWrap w:val="0"/>
              <w:topLinePunct w:val="0"/>
              <w:bidi w:val="0"/>
              <w:spacing w:line="340" w:lineRule="exact"/>
              <w:ind w:left="25"/>
              <w:rPr>
                <w:rFonts w:hAnsi="宋体" w:cs="宋体"/>
                <w:color w:val="auto"/>
                <w:kern w:val="0"/>
                <w:highlight w:val="none"/>
              </w:rPr>
            </w:pPr>
            <w:r>
              <w:rPr>
                <w:rFonts w:hint="eastAsia" w:hAnsi="宋体" w:cs="宋体"/>
                <w:color w:val="auto"/>
                <w:kern w:val="0"/>
                <w:highlight w:val="none"/>
              </w:rPr>
              <w:t>5000万元～1亿元</w:t>
            </w:r>
          </w:p>
        </w:tc>
        <w:tc>
          <w:tcPr>
            <w:tcW w:w="1858"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0.25%</w:t>
            </w:r>
          </w:p>
        </w:tc>
        <w:tc>
          <w:tcPr>
            <w:tcW w:w="2012"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0.1%</w:t>
            </w:r>
          </w:p>
        </w:tc>
        <w:tc>
          <w:tcPr>
            <w:tcW w:w="2315" w:type="dxa"/>
          </w:tcPr>
          <w:p>
            <w:pPr>
              <w:pStyle w:val="19"/>
              <w:pageBreakBefore w:val="0"/>
              <w:kinsoku/>
              <w:wordWrap w:val="0"/>
              <w:topLinePunct w:val="0"/>
              <w:bidi w:val="0"/>
              <w:spacing w:line="340" w:lineRule="exact"/>
              <w:ind w:left="25"/>
              <w:jc w:val="center"/>
              <w:rPr>
                <w:rFonts w:hAnsi="宋体" w:cs="宋体"/>
                <w:color w:val="auto"/>
                <w:kern w:val="0"/>
                <w:highlight w:val="none"/>
              </w:rPr>
            </w:pPr>
            <w:r>
              <w:rPr>
                <w:rFonts w:hint="eastAsia" w:hAnsi="宋体" w:cs="宋体"/>
                <w:color w:val="auto"/>
                <w:kern w:val="0"/>
                <w:highlight w:val="none"/>
              </w:rPr>
              <w:t>0.2%</w:t>
            </w:r>
          </w:p>
        </w:tc>
      </w:tr>
    </w:tbl>
    <w:p>
      <w:pPr>
        <w:pStyle w:val="19"/>
        <w:keepNext w:val="0"/>
        <w:keepLines w:val="0"/>
        <w:pageBreakBefore w:val="0"/>
        <w:widowControl w:val="0"/>
        <w:kinsoku/>
        <w:wordWrap w:val="0"/>
        <w:overflowPunct/>
        <w:topLinePunct w:val="0"/>
        <w:autoSpaceDE/>
        <w:autoSpaceDN/>
        <w:bidi w:val="0"/>
        <w:adjustRightInd/>
        <w:snapToGrid/>
        <w:spacing w:line="370" w:lineRule="exact"/>
        <w:ind w:left="25"/>
        <w:textAlignment w:val="auto"/>
        <w:rPr>
          <w:rFonts w:hAnsi="宋体" w:cs="宋体"/>
          <w:color w:val="auto"/>
          <w:kern w:val="0"/>
          <w:highlight w:val="none"/>
        </w:rPr>
      </w:pPr>
      <w:r>
        <w:rPr>
          <w:rFonts w:hint="eastAsia" w:hAnsi="宋体" w:cs="宋体"/>
          <w:color w:val="auto"/>
          <w:kern w:val="0"/>
          <w:highlight w:val="none"/>
        </w:rPr>
        <w:t xml:space="preserve">    注：代理服务收费按差额定率累进法计算。</w:t>
      </w:r>
    </w:p>
    <w:p>
      <w:pPr>
        <w:keepNext w:val="0"/>
        <w:keepLines w:val="0"/>
        <w:pageBreakBefore w:val="0"/>
        <w:widowControl w:val="0"/>
        <w:kinsoku/>
        <w:wordWrap w:val="0"/>
        <w:overflowPunct/>
        <w:topLinePunct w:val="0"/>
        <w:autoSpaceDE/>
        <w:autoSpaceDN/>
        <w:bidi w:val="0"/>
        <w:adjustRightInd/>
        <w:snapToGrid/>
        <w:spacing w:line="370" w:lineRule="exact"/>
        <w:ind w:firstLine="422" w:firstLineChars="200"/>
        <w:textAlignment w:val="auto"/>
        <w:rPr>
          <w:rFonts w:ascii="宋体" w:hAnsi="宋体" w:cs="宋体"/>
          <w:b/>
          <w:color w:val="auto"/>
          <w:kern w:val="0"/>
          <w:highlight w:val="none"/>
        </w:rPr>
      </w:pPr>
      <w:r>
        <w:rPr>
          <w:rFonts w:hint="eastAsia" w:ascii="宋体" w:hAnsi="宋体" w:cs="宋体"/>
          <w:b/>
          <w:color w:val="auto"/>
          <w:kern w:val="0"/>
          <w:highlight w:val="none"/>
        </w:rPr>
        <w:t>31.采购代理机构银行账户（用于缴纳采购代理服务费）：</w:t>
      </w:r>
    </w:p>
    <w:p>
      <w:pPr>
        <w:keepNext w:val="0"/>
        <w:keepLines w:val="0"/>
        <w:pageBreakBefore w:val="0"/>
        <w:widowControl w:val="0"/>
        <w:kinsoku/>
        <w:wordWrap w:val="0"/>
        <w:overflowPunct/>
        <w:topLinePunct w:val="0"/>
        <w:autoSpaceDE/>
        <w:autoSpaceDN/>
        <w:bidi w:val="0"/>
        <w:adjustRightInd/>
        <w:snapToGrid/>
        <w:spacing w:line="370" w:lineRule="exact"/>
        <w:textAlignment w:val="auto"/>
        <w:rPr>
          <w:rFonts w:ascii="宋体" w:hAnsi="宋体"/>
          <w:color w:val="auto"/>
          <w:szCs w:val="21"/>
          <w:highlight w:val="none"/>
        </w:rPr>
      </w:pPr>
      <w:r>
        <w:rPr>
          <w:rFonts w:hint="eastAsia" w:ascii="宋体" w:hAnsi="宋体"/>
          <w:color w:val="auto"/>
          <w:szCs w:val="21"/>
          <w:highlight w:val="none"/>
        </w:rPr>
        <w:t>　　开户名称：广西华诚达建设项目管理有限公司桂林分公司</w:t>
      </w:r>
    </w:p>
    <w:p>
      <w:pPr>
        <w:keepNext w:val="0"/>
        <w:keepLines w:val="0"/>
        <w:pageBreakBefore w:val="0"/>
        <w:widowControl w:val="0"/>
        <w:kinsoku/>
        <w:wordWrap w:val="0"/>
        <w:overflowPunct/>
        <w:topLinePunct w:val="0"/>
        <w:autoSpaceDE/>
        <w:autoSpaceDN/>
        <w:bidi w:val="0"/>
        <w:adjustRightInd/>
        <w:snapToGrid/>
        <w:spacing w:line="370" w:lineRule="exact"/>
        <w:textAlignment w:val="auto"/>
        <w:rPr>
          <w:rFonts w:ascii="宋体" w:hAnsi="宋体" w:cs="宋体"/>
          <w:color w:val="auto"/>
          <w:kern w:val="0"/>
          <w:szCs w:val="20"/>
          <w:highlight w:val="none"/>
        </w:rPr>
      </w:pPr>
      <w:r>
        <w:rPr>
          <w:rFonts w:hint="eastAsia" w:ascii="宋体" w:hAnsi="宋体"/>
          <w:color w:val="auto"/>
          <w:szCs w:val="22"/>
          <w:highlight w:val="none"/>
        </w:rPr>
        <w:t xml:space="preserve">    开户银行：桂林银行七星支行</w:t>
      </w:r>
    </w:p>
    <w:p>
      <w:pPr>
        <w:keepNext w:val="0"/>
        <w:keepLines w:val="0"/>
        <w:pageBreakBefore w:val="0"/>
        <w:widowControl w:val="0"/>
        <w:kinsoku/>
        <w:wordWrap w:val="0"/>
        <w:overflowPunct/>
        <w:topLinePunct w:val="0"/>
        <w:autoSpaceDE/>
        <w:autoSpaceDN/>
        <w:bidi w:val="0"/>
        <w:adjustRightInd/>
        <w:snapToGrid/>
        <w:spacing w:line="370" w:lineRule="exact"/>
        <w:ind w:firstLine="420" w:firstLineChars="200"/>
        <w:textAlignment w:val="auto"/>
        <w:rPr>
          <w:rFonts w:ascii="宋体" w:hAnsi="宋体" w:cs="宋体"/>
          <w:color w:val="auto"/>
          <w:kern w:val="0"/>
          <w:szCs w:val="20"/>
          <w:highlight w:val="none"/>
        </w:rPr>
      </w:pPr>
      <w:r>
        <w:rPr>
          <w:rFonts w:hint="eastAsia" w:hAnsi="宋体"/>
          <w:color w:val="auto"/>
          <w:highlight w:val="none"/>
        </w:rPr>
        <w:t>银行账号：</w:t>
      </w:r>
      <w:r>
        <w:rPr>
          <w:rFonts w:ascii="宋体" w:hAnsi="宋体"/>
          <w:color w:val="auto"/>
          <w:highlight w:val="none"/>
        </w:rPr>
        <w:t>660011049661800010</w:t>
      </w:r>
    </w:p>
    <w:p>
      <w:pPr>
        <w:keepNext w:val="0"/>
        <w:keepLines w:val="0"/>
        <w:pageBreakBefore w:val="0"/>
        <w:widowControl w:val="0"/>
        <w:kinsoku/>
        <w:wordWrap w:val="0"/>
        <w:overflowPunct/>
        <w:topLinePunct w:val="0"/>
        <w:autoSpaceDE/>
        <w:autoSpaceDN/>
        <w:bidi w:val="0"/>
        <w:adjustRightInd/>
        <w:snapToGrid/>
        <w:spacing w:line="370" w:lineRule="exact"/>
        <w:ind w:firstLine="422"/>
        <w:textAlignment w:val="auto"/>
        <w:rPr>
          <w:rFonts w:ascii="宋体" w:hAnsi="宋体" w:cs="宋体"/>
          <w:b/>
          <w:color w:val="auto"/>
          <w:kern w:val="0"/>
          <w:highlight w:val="none"/>
        </w:rPr>
      </w:pPr>
      <w:r>
        <w:rPr>
          <w:rFonts w:hint="eastAsia" w:ascii="宋体" w:hAnsi="宋体" w:cs="宋体"/>
          <w:b/>
          <w:color w:val="auto"/>
          <w:kern w:val="0"/>
          <w:highlight w:val="none"/>
        </w:rPr>
        <w:t>32.广西线上“政采贷”政策详见附表3。</w:t>
      </w:r>
    </w:p>
    <w:p>
      <w:pPr>
        <w:keepNext w:val="0"/>
        <w:keepLines w:val="0"/>
        <w:pageBreakBefore w:val="0"/>
        <w:widowControl w:val="0"/>
        <w:kinsoku/>
        <w:wordWrap w:val="0"/>
        <w:overflowPunct/>
        <w:topLinePunct w:val="0"/>
        <w:autoSpaceDE/>
        <w:autoSpaceDN/>
        <w:bidi w:val="0"/>
        <w:adjustRightInd/>
        <w:snapToGrid/>
        <w:spacing w:line="370" w:lineRule="exact"/>
        <w:ind w:firstLine="422" w:firstLineChars="200"/>
        <w:textAlignment w:val="auto"/>
        <w:rPr>
          <w:rFonts w:ascii="宋体" w:hAnsi="宋体" w:cs="宋体"/>
          <w:color w:val="auto"/>
          <w:kern w:val="0"/>
          <w:szCs w:val="21"/>
          <w:highlight w:val="none"/>
        </w:rPr>
      </w:pPr>
      <w:r>
        <w:rPr>
          <w:rFonts w:hint="eastAsia" w:ascii="宋体" w:hAnsi="宋体" w:cs="宋体"/>
          <w:b/>
          <w:color w:val="auto"/>
          <w:kern w:val="0"/>
          <w:highlight w:val="none"/>
        </w:rPr>
        <w:t>33.解释权：</w:t>
      </w:r>
      <w:r>
        <w:rPr>
          <w:rFonts w:hint="eastAsia" w:ascii="宋体" w:hAnsi="宋体" w:cs="宋体"/>
          <w:color w:val="auto"/>
          <w:kern w:val="0"/>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pPr>
        <w:pageBreakBefore w:val="0"/>
        <w:kinsoku/>
        <w:wordWrap w:val="0"/>
        <w:topLinePunct w:val="0"/>
        <w:bidi w:val="0"/>
        <w:spacing w:line="360" w:lineRule="exact"/>
        <w:ind w:firstLine="422"/>
        <w:rPr>
          <w:rFonts w:ascii="宋体" w:hAnsi="宋体" w:cs="宋体"/>
          <w:color w:val="auto"/>
          <w:kern w:val="0"/>
          <w:szCs w:val="21"/>
          <w:highlight w:val="none"/>
        </w:rPr>
      </w:pPr>
      <w:r>
        <w:rPr>
          <w:rFonts w:hint="eastAsia" w:ascii="宋体" w:hAnsi="宋体" w:cs="宋体"/>
          <w:b/>
          <w:color w:val="auto"/>
          <w:kern w:val="0"/>
          <w:highlight w:val="none"/>
        </w:rPr>
        <w:t xml:space="preserve">    34.监督管理机构：</w:t>
      </w:r>
      <w:r>
        <w:rPr>
          <w:rFonts w:hint="eastAsia" w:ascii="宋体" w:hAnsi="宋体" w:cs="宋体"/>
          <w:color w:val="auto"/>
          <w:kern w:val="0"/>
          <w:szCs w:val="21"/>
          <w:highlight w:val="none"/>
        </w:rPr>
        <w:t>桂林市财政局</w:t>
      </w:r>
      <w:r>
        <w:rPr>
          <w:rFonts w:hint="eastAsia" w:ascii="宋体" w:hAnsi="宋体" w:cs="宋体"/>
          <w:color w:val="auto"/>
          <w:kern w:val="0"/>
          <w:highlight w:val="none"/>
        </w:rPr>
        <w:t>；电话：</w:t>
      </w:r>
      <w:r>
        <w:rPr>
          <w:rFonts w:hint="eastAsia" w:ascii="宋体" w:hAnsi="宋体" w:cs="宋体"/>
          <w:color w:val="auto"/>
          <w:kern w:val="0"/>
          <w:szCs w:val="21"/>
          <w:highlight w:val="none"/>
        </w:rPr>
        <w:t>0773-2862142</w:t>
      </w:r>
    </w:p>
    <w:p>
      <w:pPr>
        <w:pageBreakBefore w:val="0"/>
        <w:kinsoku/>
        <w:wordWrap w:val="0"/>
        <w:topLinePunct w:val="0"/>
        <w:bidi w:val="0"/>
        <w:rPr>
          <w:rFonts w:hAnsi="宋体" w:cs="宋体"/>
          <w:b/>
          <w:color w:val="auto"/>
          <w:sz w:val="24"/>
          <w:highlight w:val="none"/>
        </w:rPr>
      </w:pPr>
      <w:r>
        <w:rPr>
          <w:rFonts w:hint="eastAsia" w:ascii="宋体" w:hAnsi="宋体" w:cs="宋体"/>
          <w:color w:val="auto"/>
          <w:kern w:val="0"/>
          <w:szCs w:val="21"/>
          <w:highlight w:val="none"/>
        </w:rPr>
        <w:br w:type="page"/>
      </w:r>
      <w:r>
        <w:rPr>
          <w:rFonts w:hint="eastAsia" w:hAnsi="宋体" w:cs="宋体"/>
          <w:b/>
          <w:color w:val="auto"/>
          <w:sz w:val="24"/>
          <w:highlight w:val="none"/>
        </w:rPr>
        <w:t>附表1：</w:t>
      </w:r>
    </w:p>
    <w:p>
      <w:pPr>
        <w:pageBreakBefore w:val="0"/>
        <w:kinsoku/>
        <w:wordWrap w:val="0"/>
        <w:topLinePunct w:val="0"/>
        <w:bidi w:val="0"/>
        <w:spacing w:line="460" w:lineRule="exact"/>
        <w:ind w:firstLine="880"/>
        <w:jc w:val="center"/>
        <w:rPr>
          <w:rFonts w:ascii="宋体" w:hAnsi="宋体" w:cs="宋体"/>
          <w:color w:val="auto"/>
          <w:sz w:val="44"/>
          <w:highlight w:val="none"/>
        </w:rPr>
      </w:pPr>
      <w:r>
        <w:rPr>
          <w:rFonts w:hint="eastAsia" w:ascii="宋体" w:hAnsi="宋体" w:cs="宋体"/>
          <w:color w:val="auto"/>
          <w:sz w:val="44"/>
          <w:highlight w:val="none"/>
        </w:rPr>
        <w:t>质疑函（格式）</w:t>
      </w:r>
    </w:p>
    <w:p>
      <w:pPr>
        <w:pStyle w:val="19"/>
        <w:pageBreakBefore w:val="0"/>
        <w:kinsoku/>
        <w:wordWrap w:val="0"/>
        <w:topLinePunct w:val="0"/>
        <w:bidi w:val="0"/>
        <w:snapToGrid w:val="0"/>
        <w:spacing w:line="360" w:lineRule="exact"/>
        <w:ind w:firstLine="422" w:firstLineChars="200"/>
        <w:rPr>
          <w:rFonts w:hAnsi="宋体" w:cs="宋体"/>
          <w:b/>
          <w:bCs/>
          <w:color w:val="auto"/>
          <w:highlight w:val="none"/>
        </w:rPr>
      </w:pPr>
      <w:r>
        <w:rPr>
          <w:rFonts w:hint="eastAsia" w:hAnsi="宋体" w:cs="宋体"/>
          <w:b/>
          <w:bCs/>
          <w:color w:val="auto"/>
          <w:highlight w:val="none"/>
        </w:rPr>
        <w:t>一、质疑供应商基本信息：</w:t>
      </w:r>
    </w:p>
    <w:p>
      <w:pPr>
        <w:pStyle w:val="19"/>
        <w:pageBreakBefore w:val="0"/>
        <w:kinsoku/>
        <w:wordWrap w:val="0"/>
        <w:topLinePunct w:val="0"/>
        <w:bidi w:val="0"/>
        <w:snapToGrid w:val="0"/>
        <w:spacing w:line="360" w:lineRule="exact"/>
        <w:ind w:firstLine="420" w:firstLineChars="200"/>
        <w:rPr>
          <w:rFonts w:hAnsi="宋体" w:cs="宋体"/>
          <w:bCs/>
          <w:color w:val="auto"/>
          <w:highlight w:val="none"/>
          <w:u w:val="single"/>
        </w:rPr>
      </w:pPr>
      <w:r>
        <w:rPr>
          <w:rFonts w:hint="eastAsia" w:hAnsi="宋体" w:cs="宋体"/>
          <w:bCs/>
          <w:color w:val="auto"/>
          <w:highlight w:val="none"/>
        </w:rPr>
        <w:t>质疑供应商：</w:t>
      </w:r>
    </w:p>
    <w:p>
      <w:pPr>
        <w:pStyle w:val="19"/>
        <w:pageBreakBefore w:val="0"/>
        <w:kinsoku/>
        <w:wordWrap w:val="0"/>
        <w:topLinePunct w:val="0"/>
        <w:bidi w:val="0"/>
        <w:snapToGrid w:val="0"/>
        <w:spacing w:line="360" w:lineRule="exact"/>
        <w:ind w:firstLine="420" w:firstLineChars="200"/>
        <w:rPr>
          <w:rFonts w:hAnsi="宋体" w:cs="宋体"/>
          <w:bCs/>
          <w:color w:val="auto"/>
          <w:highlight w:val="none"/>
        </w:rPr>
      </w:pPr>
      <w:r>
        <w:rPr>
          <w:rFonts w:hint="eastAsia" w:hAnsi="宋体" w:cs="宋体"/>
          <w:bCs/>
          <w:color w:val="auto"/>
          <w:highlight w:val="none"/>
        </w:rPr>
        <w:t>地址：邮编：</w:t>
      </w:r>
    </w:p>
    <w:p>
      <w:pPr>
        <w:pStyle w:val="19"/>
        <w:pageBreakBefore w:val="0"/>
        <w:kinsoku/>
        <w:wordWrap w:val="0"/>
        <w:topLinePunct w:val="0"/>
        <w:bidi w:val="0"/>
        <w:snapToGrid w:val="0"/>
        <w:spacing w:line="360" w:lineRule="exact"/>
        <w:ind w:firstLine="420" w:firstLineChars="200"/>
        <w:rPr>
          <w:rFonts w:hAnsi="宋体" w:cs="宋体"/>
          <w:bCs/>
          <w:color w:val="auto"/>
          <w:highlight w:val="none"/>
        </w:rPr>
      </w:pPr>
      <w:r>
        <w:rPr>
          <w:rFonts w:hint="eastAsia" w:hAnsi="宋体" w:cs="宋体"/>
          <w:bCs/>
          <w:color w:val="auto"/>
          <w:highlight w:val="none"/>
        </w:rPr>
        <w:t>联系人：联系电话：</w:t>
      </w:r>
    </w:p>
    <w:p>
      <w:pPr>
        <w:pStyle w:val="19"/>
        <w:pageBreakBefore w:val="0"/>
        <w:kinsoku/>
        <w:wordWrap w:val="0"/>
        <w:topLinePunct w:val="0"/>
        <w:bidi w:val="0"/>
        <w:snapToGrid w:val="0"/>
        <w:spacing w:line="360" w:lineRule="exact"/>
        <w:ind w:firstLine="420" w:firstLineChars="200"/>
        <w:rPr>
          <w:rFonts w:hAnsi="宋体" w:cs="宋体"/>
          <w:bCs/>
          <w:color w:val="auto"/>
          <w:highlight w:val="none"/>
        </w:rPr>
      </w:pPr>
      <w:r>
        <w:rPr>
          <w:rFonts w:hint="eastAsia" w:hAnsi="宋体" w:cs="宋体"/>
          <w:bCs/>
          <w:color w:val="auto"/>
          <w:highlight w:val="none"/>
        </w:rPr>
        <w:t>授权代表：</w:t>
      </w:r>
    </w:p>
    <w:p>
      <w:pPr>
        <w:pStyle w:val="19"/>
        <w:pageBreakBefore w:val="0"/>
        <w:kinsoku/>
        <w:wordWrap w:val="0"/>
        <w:topLinePunct w:val="0"/>
        <w:bidi w:val="0"/>
        <w:snapToGrid w:val="0"/>
        <w:spacing w:line="360" w:lineRule="exact"/>
        <w:ind w:firstLine="420" w:firstLineChars="200"/>
        <w:rPr>
          <w:rFonts w:hAnsi="宋体" w:cs="宋体"/>
          <w:bCs/>
          <w:color w:val="auto"/>
          <w:highlight w:val="none"/>
          <w:u w:val="single"/>
        </w:rPr>
      </w:pPr>
      <w:r>
        <w:rPr>
          <w:rFonts w:hint="eastAsia" w:hAnsi="宋体" w:cs="宋体"/>
          <w:bCs/>
          <w:color w:val="auto"/>
          <w:highlight w:val="none"/>
        </w:rPr>
        <w:t>联系电话：</w:t>
      </w:r>
    </w:p>
    <w:p>
      <w:pPr>
        <w:pStyle w:val="19"/>
        <w:pageBreakBefore w:val="0"/>
        <w:kinsoku/>
        <w:wordWrap w:val="0"/>
        <w:topLinePunct w:val="0"/>
        <w:bidi w:val="0"/>
        <w:snapToGrid w:val="0"/>
        <w:spacing w:line="360" w:lineRule="exact"/>
        <w:ind w:firstLine="420" w:firstLineChars="200"/>
        <w:rPr>
          <w:rFonts w:hAnsi="宋体" w:cs="宋体"/>
          <w:bCs/>
          <w:color w:val="auto"/>
          <w:highlight w:val="none"/>
        </w:rPr>
      </w:pPr>
      <w:r>
        <w:rPr>
          <w:rFonts w:hint="eastAsia" w:hAnsi="宋体" w:cs="宋体"/>
          <w:bCs/>
          <w:color w:val="auto"/>
          <w:highlight w:val="none"/>
        </w:rPr>
        <w:t>地址：邮编：</w:t>
      </w:r>
    </w:p>
    <w:p>
      <w:pPr>
        <w:pStyle w:val="19"/>
        <w:pageBreakBefore w:val="0"/>
        <w:kinsoku/>
        <w:wordWrap w:val="0"/>
        <w:topLinePunct w:val="0"/>
        <w:bidi w:val="0"/>
        <w:snapToGrid w:val="0"/>
        <w:spacing w:line="360" w:lineRule="exact"/>
        <w:ind w:firstLine="422" w:firstLineChars="200"/>
        <w:rPr>
          <w:rFonts w:hAnsi="宋体" w:cs="宋体"/>
          <w:b/>
          <w:bCs/>
          <w:color w:val="auto"/>
          <w:highlight w:val="none"/>
        </w:rPr>
      </w:pPr>
      <w:r>
        <w:rPr>
          <w:rFonts w:hint="eastAsia" w:hAnsi="宋体" w:cs="宋体"/>
          <w:b/>
          <w:bCs/>
          <w:color w:val="auto"/>
          <w:highlight w:val="none"/>
        </w:rPr>
        <w:t>二、质疑项目基本情况：</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bCs/>
          <w:color w:val="auto"/>
          <w:highlight w:val="none"/>
        </w:rPr>
        <w:t>质疑</w:t>
      </w:r>
      <w:r>
        <w:rPr>
          <w:rFonts w:hint="eastAsia" w:hAnsi="宋体" w:cs="宋体"/>
          <w:color w:val="auto"/>
          <w:szCs w:val="21"/>
          <w:highlight w:val="none"/>
        </w:rPr>
        <w:t>项目的名称：</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bCs/>
          <w:color w:val="auto"/>
          <w:highlight w:val="none"/>
        </w:rPr>
        <w:t>质疑</w:t>
      </w:r>
      <w:r>
        <w:rPr>
          <w:rFonts w:hint="eastAsia" w:hAnsi="宋体" w:cs="宋体"/>
          <w:color w:val="auto"/>
          <w:szCs w:val="21"/>
          <w:highlight w:val="none"/>
        </w:rPr>
        <w:t>项目的编号：</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采购人名称：</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质疑事项：</w:t>
      </w:r>
    </w:p>
    <w:p>
      <w:pPr>
        <w:pStyle w:val="19"/>
        <w:pageBreakBefore w:val="0"/>
        <w:kinsoku/>
        <w:wordWrap w:val="0"/>
        <w:topLinePunct w:val="0"/>
        <w:bidi w:val="0"/>
        <w:spacing w:line="360" w:lineRule="exact"/>
        <w:ind w:left="25" w:leftChars="12" w:firstLine="441" w:firstLineChars="147"/>
        <w:rPr>
          <w:rFonts w:hAnsi="宋体" w:cs="宋体"/>
          <w:color w:val="auto"/>
          <w:szCs w:val="21"/>
          <w:highlight w:val="none"/>
        </w:rPr>
      </w:pPr>
      <w:r>
        <w:rPr>
          <w:rFonts w:hint="eastAsia" w:hAnsi="宋体" w:cs="宋体"/>
          <w:color w:val="auto"/>
          <w:sz w:val="30"/>
          <w:szCs w:val="30"/>
          <w:highlight w:val="none"/>
        </w:rPr>
        <w:t>□</w:t>
      </w:r>
      <w:r>
        <w:rPr>
          <w:rFonts w:hint="eastAsia" w:hAnsi="宋体" w:cs="宋体"/>
          <w:color w:val="auto"/>
          <w:szCs w:val="21"/>
          <w:highlight w:val="none"/>
        </w:rPr>
        <w:t>磋商文件   磋商文件获取日期：</w:t>
      </w:r>
    </w:p>
    <w:p>
      <w:pPr>
        <w:pStyle w:val="19"/>
        <w:pageBreakBefore w:val="0"/>
        <w:kinsoku/>
        <w:wordWrap w:val="0"/>
        <w:topLinePunct w:val="0"/>
        <w:bidi w:val="0"/>
        <w:spacing w:line="360" w:lineRule="exact"/>
        <w:ind w:left="25" w:leftChars="12" w:firstLine="441" w:firstLineChars="147"/>
        <w:rPr>
          <w:rFonts w:hAnsi="宋体" w:cs="宋体"/>
          <w:color w:val="auto"/>
          <w:szCs w:val="21"/>
          <w:highlight w:val="none"/>
        </w:rPr>
      </w:pPr>
      <w:r>
        <w:rPr>
          <w:rFonts w:hint="eastAsia" w:hAnsi="宋体" w:cs="宋体"/>
          <w:color w:val="auto"/>
          <w:sz w:val="30"/>
          <w:szCs w:val="30"/>
          <w:highlight w:val="none"/>
        </w:rPr>
        <w:t>□</w:t>
      </w:r>
      <w:r>
        <w:rPr>
          <w:rFonts w:hint="eastAsia" w:hAnsi="宋体" w:cs="宋体"/>
          <w:color w:val="auto"/>
          <w:szCs w:val="21"/>
          <w:highlight w:val="none"/>
        </w:rPr>
        <w:t xml:space="preserve">采购过程   </w:t>
      </w:r>
    </w:p>
    <w:p>
      <w:pPr>
        <w:pStyle w:val="19"/>
        <w:pageBreakBefore w:val="0"/>
        <w:kinsoku/>
        <w:wordWrap w:val="0"/>
        <w:topLinePunct w:val="0"/>
        <w:bidi w:val="0"/>
        <w:spacing w:line="360" w:lineRule="exact"/>
        <w:ind w:left="25" w:leftChars="12" w:firstLine="441" w:firstLineChars="147"/>
        <w:rPr>
          <w:rFonts w:hAnsi="宋体" w:cs="宋体"/>
          <w:bCs/>
          <w:color w:val="auto"/>
          <w:highlight w:val="none"/>
          <w:u w:val="single"/>
        </w:rPr>
      </w:pPr>
      <w:r>
        <w:rPr>
          <w:rFonts w:hint="eastAsia" w:hAnsi="宋体" w:cs="宋体"/>
          <w:color w:val="auto"/>
          <w:sz w:val="30"/>
          <w:szCs w:val="30"/>
          <w:highlight w:val="none"/>
        </w:rPr>
        <w:t>□</w:t>
      </w:r>
      <w:r>
        <w:rPr>
          <w:rFonts w:hint="eastAsia" w:hAnsi="宋体" w:cs="宋体"/>
          <w:color w:val="auto"/>
          <w:szCs w:val="21"/>
          <w:highlight w:val="none"/>
        </w:rPr>
        <w:t xml:space="preserve">成交结果   </w:t>
      </w:r>
    </w:p>
    <w:p>
      <w:pPr>
        <w:pStyle w:val="19"/>
        <w:pageBreakBefore w:val="0"/>
        <w:kinsoku/>
        <w:wordWrap w:val="0"/>
        <w:topLinePunct w:val="0"/>
        <w:bidi w:val="0"/>
        <w:spacing w:line="360" w:lineRule="exact"/>
        <w:ind w:left="25" w:leftChars="12" w:firstLine="413" w:firstLineChars="196"/>
        <w:rPr>
          <w:rFonts w:hAnsi="宋体" w:cs="宋体"/>
          <w:b/>
          <w:color w:val="auto"/>
          <w:szCs w:val="21"/>
          <w:highlight w:val="none"/>
        </w:rPr>
      </w:pPr>
      <w:r>
        <w:rPr>
          <w:rFonts w:hint="eastAsia" w:hAnsi="宋体" w:cs="宋体"/>
          <w:b/>
          <w:color w:val="auto"/>
          <w:szCs w:val="21"/>
          <w:highlight w:val="none"/>
        </w:rPr>
        <w:t>三、质疑事项具体内容</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质疑事项1：</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事实依据：</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法律依据：</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质疑事项2</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四、与质疑事项相关的质疑请求：</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请求：</w:t>
      </w:r>
    </w:p>
    <w:p>
      <w:pPr>
        <w:pStyle w:val="19"/>
        <w:pageBreakBefore w:val="0"/>
        <w:kinsoku/>
        <w:wordWrap w:val="0"/>
        <w:topLinePunct w:val="0"/>
        <w:bidi w:val="0"/>
        <w:spacing w:line="360" w:lineRule="exact"/>
        <w:ind w:left="25" w:leftChars="12" w:firstLine="308" w:firstLineChars="147"/>
        <w:rPr>
          <w:rFonts w:hAnsi="宋体" w:cs="宋体"/>
          <w:color w:val="auto"/>
          <w:szCs w:val="21"/>
          <w:highlight w:val="none"/>
        </w:rPr>
      </w:pP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签字（签章）：                                       公章：</w:t>
      </w:r>
    </w:p>
    <w:p>
      <w:pPr>
        <w:pStyle w:val="19"/>
        <w:pageBreakBefore w:val="0"/>
        <w:kinsoku/>
        <w:wordWrap w:val="0"/>
        <w:topLinePunct w:val="0"/>
        <w:bidi w:val="0"/>
        <w:spacing w:line="360" w:lineRule="exact"/>
        <w:ind w:left="25" w:leftChars="12" w:firstLine="308" w:firstLineChars="147"/>
        <w:rPr>
          <w:rFonts w:hAnsi="宋体" w:cs="宋体"/>
          <w:color w:val="auto"/>
          <w:szCs w:val="21"/>
          <w:highlight w:val="none"/>
        </w:rPr>
      </w:pP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日期：</w:t>
      </w:r>
    </w:p>
    <w:p>
      <w:pPr>
        <w:pStyle w:val="19"/>
        <w:pageBreakBefore w:val="0"/>
        <w:kinsoku/>
        <w:wordWrap w:val="0"/>
        <w:topLinePunct w:val="0"/>
        <w:bidi w:val="0"/>
        <w:snapToGrid w:val="0"/>
        <w:spacing w:line="340" w:lineRule="exact"/>
        <w:ind w:firstLine="422"/>
        <w:rPr>
          <w:rFonts w:hAnsi="宋体" w:cs="宋体"/>
          <w:b/>
          <w:color w:val="auto"/>
          <w:szCs w:val="21"/>
          <w:highlight w:val="none"/>
        </w:rPr>
      </w:pPr>
      <w:r>
        <w:rPr>
          <w:rFonts w:hint="eastAsia" w:hAnsi="宋体" w:cs="宋体"/>
          <w:b/>
          <w:color w:val="auto"/>
          <w:szCs w:val="21"/>
          <w:highlight w:val="none"/>
        </w:rPr>
        <w:t>说明：</w:t>
      </w:r>
    </w:p>
    <w:p>
      <w:pPr>
        <w:pStyle w:val="19"/>
        <w:pageBreakBefore w:val="0"/>
        <w:kinsoku/>
        <w:wordWrap w:val="0"/>
        <w:topLinePunct w:val="0"/>
        <w:bidi w:val="0"/>
        <w:snapToGrid w:val="0"/>
        <w:spacing w:line="340" w:lineRule="exact"/>
        <w:ind w:firstLine="422"/>
        <w:rPr>
          <w:rFonts w:hAnsi="宋体" w:cs="宋体"/>
          <w:b/>
          <w:color w:val="auto"/>
          <w:szCs w:val="21"/>
          <w:highlight w:val="none"/>
        </w:rPr>
      </w:pPr>
      <w:r>
        <w:rPr>
          <w:rFonts w:hint="eastAsia" w:hAnsi="宋体" w:cs="宋体"/>
          <w:b/>
          <w:color w:val="auto"/>
          <w:szCs w:val="21"/>
          <w:highlight w:val="none"/>
        </w:rPr>
        <w:t>1.供应商提出质疑时，应提交质疑函和必要的证明材料。</w:t>
      </w:r>
    </w:p>
    <w:p>
      <w:pPr>
        <w:pStyle w:val="19"/>
        <w:pageBreakBefore w:val="0"/>
        <w:kinsoku/>
        <w:wordWrap w:val="0"/>
        <w:topLinePunct w:val="0"/>
        <w:bidi w:val="0"/>
        <w:snapToGrid w:val="0"/>
        <w:spacing w:line="340" w:lineRule="exact"/>
        <w:ind w:firstLine="422"/>
        <w:rPr>
          <w:rFonts w:hAnsi="宋体" w:cs="宋体"/>
          <w:b/>
          <w:color w:val="auto"/>
          <w:szCs w:val="21"/>
          <w:highlight w:val="none"/>
        </w:rPr>
      </w:pPr>
      <w:r>
        <w:rPr>
          <w:rFonts w:hint="eastAsia" w:hAnsi="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9"/>
        <w:pageBreakBefore w:val="0"/>
        <w:kinsoku/>
        <w:wordWrap w:val="0"/>
        <w:topLinePunct w:val="0"/>
        <w:bidi w:val="0"/>
        <w:snapToGrid w:val="0"/>
        <w:spacing w:line="340" w:lineRule="exact"/>
        <w:ind w:firstLine="422"/>
        <w:rPr>
          <w:rFonts w:hAnsi="宋体" w:cs="宋体"/>
          <w:b/>
          <w:color w:val="auto"/>
          <w:szCs w:val="21"/>
          <w:highlight w:val="none"/>
        </w:rPr>
      </w:pPr>
      <w:r>
        <w:rPr>
          <w:rFonts w:hint="eastAsia" w:hAnsi="宋体" w:cs="宋体"/>
          <w:b/>
          <w:color w:val="auto"/>
          <w:szCs w:val="21"/>
          <w:highlight w:val="none"/>
        </w:rPr>
        <w:t>3.质疑函的质疑事项应具体、明确，并有必要的事实依据和法律依据。</w:t>
      </w:r>
    </w:p>
    <w:p>
      <w:pPr>
        <w:pStyle w:val="19"/>
        <w:pageBreakBefore w:val="0"/>
        <w:kinsoku/>
        <w:wordWrap w:val="0"/>
        <w:topLinePunct w:val="0"/>
        <w:bidi w:val="0"/>
        <w:snapToGrid w:val="0"/>
        <w:spacing w:line="340" w:lineRule="exact"/>
        <w:ind w:firstLine="422"/>
        <w:rPr>
          <w:rFonts w:hAnsi="宋体" w:cs="宋体"/>
          <w:b/>
          <w:color w:val="auto"/>
          <w:szCs w:val="21"/>
          <w:highlight w:val="none"/>
        </w:rPr>
      </w:pPr>
      <w:r>
        <w:rPr>
          <w:rFonts w:hint="eastAsia" w:hAnsi="宋体" w:cs="宋体"/>
          <w:b/>
          <w:color w:val="auto"/>
          <w:szCs w:val="21"/>
          <w:highlight w:val="none"/>
        </w:rPr>
        <w:t>4.质疑函的质疑请求应与质疑事项相关。</w:t>
      </w:r>
    </w:p>
    <w:p>
      <w:pPr>
        <w:pStyle w:val="19"/>
        <w:pageBreakBefore w:val="0"/>
        <w:kinsoku/>
        <w:wordWrap w:val="0"/>
        <w:topLinePunct w:val="0"/>
        <w:bidi w:val="0"/>
        <w:snapToGrid w:val="0"/>
        <w:spacing w:line="340" w:lineRule="exact"/>
        <w:ind w:firstLine="422"/>
        <w:rPr>
          <w:rFonts w:hAnsi="宋体" w:cs="宋体"/>
          <w:b/>
          <w:color w:val="auto"/>
          <w:szCs w:val="21"/>
          <w:highlight w:val="none"/>
        </w:rPr>
      </w:pPr>
      <w:r>
        <w:rPr>
          <w:rFonts w:hint="eastAsia" w:hAnsi="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pPr>
        <w:pStyle w:val="19"/>
        <w:pageBreakBefore w:val="0"/>
        <w:kinsoku/>
        <w:wordWrap w:val="0"/>
        <w:topLinePunct w:val="0"/>
        <w:bidi w:val="0"/>
        <w:snapToGrid w:val="0"/>
        <w:spacing w:line="340" w:lineRule="exact"/>
        <w:ind w:firstLine="422"/>
        <w:rPr>
          <w:rFonts w:hAnsi="宋体"/>
          <w:b/>
          <w:color w:val="auto"/>
          <w:szCs w:val="21"/>
          <w:highlight w:val="none"/>
        </w:rPr>
      </w:pPr>
    </w:p>
    <w:p>
      <w:pPr>
        <w:pStyle w:val="19"/>
        <w:pageBreakBefore w:val="0"/>
        <w:kinsoku/>
        <w:wordWrap w:val="0"/>
        <w:topLinePunct w:val="0"/>
        <w:bidi w:val="0"/>
        <w:snapToGrid w:val="0"/>
        <w:spacing w:line="340" w:lineRule="exact"/>
        <w:ind w:firstLine="482"/>
        <w:rPr>
          <w:rFonts w:ascii="宋体" w:hAnsi="宋体" w:cs="宋体"/>
          <w:color w:val="auto"/>
          <w:sz w:val="44"/>
          <w:highlight w:val="none"/>
        </w:rPr>
      </w:pPr>
      <w:r>
        <w:rPr>
          <w:rFonts w:hint="eastAsia" w:hAnsi="宋体" w:cs="宋体"/>
          <w:b/>
          <w:color w:val="auto"/>
          <w:sz w:val="24"/>
          <w:szCs w:val="24"/>
          <w:highlight w:val="none"/>
        </w:rPr>
        <w:t>附表2：</w:t>
      </w:r>
    </w:p>
    <w:p>
      <w:pPr>
        <w:pageBreakBefore w:val="0"/>
        <w:kinsoku/>
        <w:wordWrap w:val="0"/>
        <w:topLinePunct w:val="0"/>
        <w:bidi w:val="0"/>
        <w:spacing w:line="460" w:lineRule="exact"/>
        <w:ind w:firstLine="880"/>
        <w:jc w:val="center"/>
        <w:rPr>
          <w:rFonts w:ascii="宋体" w:hAnsi="宋体" w:cs="宋体"/>
          <w:color w:val="auto"/>
          <w:sz w:val="44"/>
          <w:highlight w:val="none"/>
        </w:rPr>
      </w:pPr>
      <w:r>
        <w:rPr>
          <w:rFonts w:hint="eastAsia" w:ascii="宋体" w:hAnsi="宋体" w:cs="宋体"/>
          <w:color w:val="auto"/>
          <w:sz w:val="44"/>
          <w:highlight w:val="none"/>
        </w:rPr>
        <w:t>投诉书（格式）</w:t>
      </w:r>
    </w:p>
    <w:p>
      <w:pPr>
        <w:pStyle w:val="19"/>
        <w:pageBreakBefore w:val="0"/>
        <w:kinsoku/>
        <w:wordWrap w:val="0"/>
        <w:topLinePunct w:val="0"/>
        <w:bidi w:val="0"/>
        <w:snapToGrid w:val="0"/>
        <w:spacing w:line="400" w:lineRule="exact"/>
        <w:ind w:firstLine="422" w:firstLineChars="200"/>
        <w:rPr>
          <w:rFonts w:hAnsi="宋体" w:cs="宋体"/>
          <w:b/>
          <w:bCs/>
          <w:color w:val="auto"/>
          <w:highlight w:val="none"/>
        </w:rPr>
      </w:pPr>
      <w:r>
        <w:rPr>
          <w:rFonts w:hint="eastAsia" w:hAnsi="宋体" w:cs="宋体"/>
          <w:b/>
          <w:bCs/>
          <w:color w:val="auto"/>
          <w:highlight w:val="none"/>
        </w:rPr>
        <w:t>一、投诉相关主体基本情况：</w:t>
      </w:r>
    </w:p>
    <w:p>
      <w:pPr>
        <w:pStyle w:val="19"/>
        <w:pageBreakBefore w:val="0"/>
        <w:kinsoku/>
        <w:wordWrap w:val="0"/>
        <w:topLinePunct w:val="0"/>
        <w:bidi w:val="0"/>
        <w:snapToGrid w:val="0"/>
        <w:spacing w:line="400" w:lineRule="exact"/>
        <w:ind w:firstLine="420" w:firstLineChars="200"/>
        <w:rPr>
          <w:rFonts w:hAnsi="宋体" w:cs="宋体"/>
          <w:bCs/>
          <w:color w:val="auto"/>
          <w:highlight w:val="none"/>
          <w:u w:val="single"/>
        </w:rPr>
      </w:pPr>
      <w:r>
        <w:rPr>
          <w:rFonts w:hint="eastAsia" w:hAnsi="宋体" w:cs="宋体"/>
          <w:bCs/>
          <w:color w:val="auto"/>
          <w:highlight w:val="none"/>
        </w:rPr>
        <w:t>供应商：</w:t>
      </w:r>
    </w:p>
    <w:p>
      <w:pPr>
        <w:pStyle w:val="19"/>
        <w:pageBreakBefore w:val="0"/>
        <w:kinsoku/>
        <w:wordWrap w:val="0"/>
        <w:topLinePunct w:val="0"/>
        <w:bidi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地址：邮编：</w:t>
      </w:r>
    </w:p>
    <w:p>
      <w:pPr>
        <w:pStyle w:val="19"/>
        <w:pageBreakBefore w:val="0"/>
        <w:kinsoku/>
        <w:wordWrap w:val="0"/>
        <w:topLinePunct w:val="0"/>
        <w:bidi w:val="0"/>
        <w:snapToGrid w:val="0"/>
        <w:spacing w:line="400" w:lineRule="exact"/>
        <w:ind w:firstLine="420" w:firstLineChars="200"/>
        <w:rPr>
          <w:rFonts w:hAnsi="宋体" w:cs="宋体"/>
          <w:bCs/>
          <w:color w:val="auto"/>
          <w:highlight w:val="none"/>
          <w:u w:val="single"/>
        </w:rPr>
      </w:pPr>
      <w:r>
        <w:rPr>
          <w:rFonts w:hint="eastAsia" w:hAnsi="宋体" w:cs="宋体"/>
          <w:bCs/>
          <w:color w:val="auto"/>
          <w:highlight w:val="none"/>
        </w:rPr>
        <w:t>法定代表人/主要负责人：</w:t>
      </w:r>
    </w:p>
    <w:p>
      <w:pPr>
        <w:pStyle w:val="19"/>
        <w:pageBreakBefore w:val="0"/>
        <w:kinsoku/>
        <w:wordWrap w:val="0"/>
        <w:topLinePunct w:val="0"/>
        <w:bidi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联系电话：</w:t>
      </w:r>
    </w:p>
    <w:p>
      <w:pPr>
        <w:pStyle w:val="19"/>
        <w:pageBreakBefore w:val="0"/>
        <w:kinsoku/>
        <w:wordWrap w:val="0"/>
        <w:topLinePunct w:val="0"/>
        <w:bidi w:val="0"/>
        <w:snapToGrid w:val="0"/>
        <w:spacing w:line="400" w:lineRule="exact"/>
        <w:ind w:firstLine="420" w:firstLineChars="200"/>
        <w:rPr>
          <w:rFonts w:hAnsi="宋体" w:cs="宋体"/>
          <w:bCs/>
          <w:color w:val="auto"/>
          <w:highlight w:val="none"/>
          <w:u w:val="single"/>
        </w:rPr>
      </w:pPr>
      <w:r>
        <w:rPr>
          <w:rFonts w:hint="eastAsia" w:hAnsi="宋体" w:cs="宋体"/>
          <w:bCs/>
          <w:color w:val="auto"/>
          <w:highlight w:val="none"/>
        </w:rPr>
        <w:t>授权代表：联系电话：</w:t>
      </w:r>
    </w:p>
    <w:p>
      <w:pPr>
        <w:pStyle w:val="19"/>
        <w:pageBreakBefore w:val="0"/>
        <w:kinsoku/>
        <w:wordWrap w:val="0"/>
        <w:topLinePunct w:val="0"/>
        <w:bidi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地址：邮编：</w:t>
      </w:r>
    </w:p>
    <w:p>
      <w:pPr>
        <w:pStyle w:val="19"/>
        <w:pageBreakBefore w:val="0"/>
        <w:kinsoku/>
        <w:wordWrap w:val="0"/>
        <w:topLinePunct w:val="0"/>
        <w:bidi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被投诉人1：</w:t>
      </w:r>
    </w:p>
    <w:p>
      <w:pPr>
        <w:pStyle w:val="19"/>
        <w:pageBreakBefore w:val="0"/>
        <w:kinsoku/>
        <w:wordWrap w:val="0"/>
        <w:topLinePunct w:val="0"/>
        <w:bidi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地址：邮编：</w:t>
      </w:r>
    </w:p>
    <w:p>
      <w:pPr>
        <w:pStyle w:val="19"/>
        <w:pageBreakBefore w:val="0"/>
        <w:kinsoku/>
        <w:wordWrap w:val="0"/>
        <w:topLinePunct w:val="0"/>
        <w:bidi w:val="0"/>
        <w:snapToGrid w:val="0"/>
        <w:spacing w:line="400" w:lineRule="exact"/>
        <w:ind w:firstLine="420" w:firstLineChars="200"/>
        <w:rPr>
          <w:rFonts w:hAnsi="宋体" w:cs="宋体"/>
          <w:bCs/>
          <w:color w:val="auto"/>
          <w:highlight w:val="none"/>
          <w:u w:val="single"/>
        </w:rPr>
      </w:pPr>
      <w:r>
        <w:rPr>
          <w:rFonts w:hint="eastAsia" w:hAnsi="宋体" w:cs="宋体"/>
          <w:bCs/>
          <w:color w:val="auto"/>
          <w:highlight w:val="none"/>
        </w:rPr>
        <w:t>联系人：联系电话：</w:t>
      </w:r>
    </w:p>
    <w:p>
      <w:pPr>
        <w:pStyle w:val="19"/>
        <w:pageBreakBefore w:val="0"/>
        <w:kinsoku/>
        <w:wordWrap w:val="0"/>
        <w:topLinePunct w:val="0"/>
        <w:bidi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被投诉人2：</w:t>
      </w:r>
    </w:p>
    <w:p>
      <w:pPr>
        <w:pStyle w:val="19"/>
        <w:pageBreakBefore w:val="0"/>
        <w:kinsoku/>
        <w:wordWrap w:val="0"/>
        <w:topLinePunct w:val="0"/>
        <w:bidi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w:t>
      </w:r>
    </w:p>
    <w:p>
      <w:pPr>
        <w:pStyle w:val="19"/>
        <w:pageBreakBefore w:val="0"/>
        <w:kinsoku/>
        <w:wordWrap w:val="0"/>
        <w:topLinePunct w:val="0"/>
        <w:bidi w:val="0"/>
        <w:snapToGrid w:val="0"/>
        <w:spacing w:line="400" w:lineRule="exact"/>
        <w:ind w:firstLine="420" w:firstLineChars="200"/>
        <w:rPr>
          <w:rFonts w:hAnsi="宋体" w:cs="宋体"/>
          <w:bCs/>
          <w:color w:val="auto"/>
          <w:highlight w:val="none"/>
          <w:u w:val="single"/>
        </w:rPr>
      </w:pPr>
      <w:r>
        <w:rPr>
          <w:rFonts w:hint="eastAsia" w:hAnsi="宋体" w:cs="宋体"/>
          <w:bCs/>
          <w:color w:val="auto"/>
          <w:highlight w:val="none"/>
        </w:rPr>
        <w:t>相关供应商：</w:t>
      </w:r>
    </w:p>
    <w:p>
      <w:pPr>
        <w:pStyle w:val="19"/>
        <w:pageBreakBefore w:val="0"/>
        <w:kinsoku/>
        <w:wordWrap w:val="0"/>
        <w:topLinePunct w:val="0"/>
        <w:bidi w:val="0"/>
        <w:snapToGrid w:val="0"/>
        <w:spacing w:line="400" w:lineRule="exact"/>
        <w:ind w:firstLine="420" w:firstLineChars="200"/>
        <w:rPr>
          <w:rFonts w:hAnsi="宋体" w:cs="宋体"/>
          <w:bCs/>
          <w:color w:val="auto"/>
          <w:highlight w:val="none"/>
          <w:u w:val="single"/>
        </w:rPr>
      </w:pPr>
      <w:r>
        <w:rPr>
          <w:rFonts w:hint="eastAsia" w:hAnsi="宋体" w:cs="宋体"/>
          <w:bCs/>
          <w:color w:val="auto"/>
          <w:highlight w:val="none"/>
        </w:rPr>
        <w:t>地址：邮编：</w:t>
      </w:r>
    </w:p>
    <w:p>
      <w:pPr>
        <w:pStyle w:val="19"/>
        <w:pageBreakBefore w:val="0"/>
        <w:kinsoku/>
        <w:wordWrap w:val="0"/>
        <w:topLinePunct w:val="0"/>
        <w:bidi w:val="0"/>
        <w:snapToGrid w:val="0"/>
        <w:spacing w:line="400" w:lineRule="exact"/>
        <w:ind w:firstLine="420" w:firstLineChars="200"/>
        <w:rPr>
          <w:rFonts w:hAnsi="宋体" w:cs="宋体"/>
          <w:bCs/>
          <w:color w:val="auto"/>
          <w:highlight w:val="none"/>
        </w:rPr>
      </w:pPr>
      <w:r>
        <w:rPr>
          <w:rFonts w:hint="eastAsia" w:hAnsi="宋体" w:cs="宋体"/>
          <w:bCs/>
          <w:color w:val="auto"/>
          <w:highlight w:val="none"/>
        </w:rPr>
        <w:t>联系人：联系电话：</w:t>
      </w:r>
    </w:p>
    <w:p>
      <w:pPr>
        <w:pStyle w:val="19"/>
        <w:pageBreakBefore w:val="0"/>
        <w:kinsoku/>
        <w:wordWrap w:val="0"/>
        <w:topLinePunct w:val="0"/>
        <w:bidi w:val="0"/>
        <w:snapToGrid w:val="0"/>
        <w:spacing w:line="400" w:lineRule="exact"/>
        <w:ind w:firstLine="422" w:firstLineChars="200"/>
        <w:rPr>
          <w:rFonts w:hAnsi="宋体" w:cs="宋体"/>
          <w:b/>
          <w:bCs/>
          <w:color w:val="auto"/>
          <w:highlight w:val="none"/>
        </w:rPr>
      </w:pPr>
      <w:r>
        <w:rPr>
          <w:rFonts w:hint="eastAsia" w:hAnsi="宋体" w:cs="宋体"/>
          <w:b/>
          <w:bCs/>
          <w:color w:val="auto"/>
          <w:highlight w:val="none"/>
        </w:rPr>
        <w:t>二、投诉项目基本情况：</w:t>
      </w:r>
    </w:p>
    <w:p>
      <w:pPr>
        <w:pStyle w:val="19"/>
        <w:pageBreakBefore w:val="0"/>
        <w:kinsoku/>
        <w:wordWrap w:val="0"/>
        <w:topLinePunct w:val="0"/>
        <w:bidi w:val="0"/>
        <w:spacing w:line="400" w:lineRule="exact"/>
        <w:ind w:left="25" w:leftChars="12" w:firstLine="413" w:firstLineChars="197"/>
        <w:rPr>
          <w:rFonts w:hAnsi="宋体" w:cs="宋体"/>
          <w:color w:val="auto"/>
          <w:szCs w:val="21"/>
          <w:highlight w:val="none"/>
        </w:rPr>
      </w:pPr>
      <w:r>
        <w:rPr>
          <w:rFonts w:hint="eastAsia" w:hAnsi="宋体" w:cs="宋体"/>
          <w:bCs/>
          <w:color w:val="auto"/>
          <w:highlight w:val="none"/>
        </w:rPr>
        <w:t>采购</w:t>
      </w:r>
      <w:r>
        <w:rPr>
          <w:rFonts w:hint="eastAsia" w:hAnsi="宋体" w:cs="宋体"/>
          <w:color w:val="auto"/>
          <w:szCs w:val="21"/>
          <w:highlight w:val="none"/>
        </w:rPr>
        <w:t>项目的名称：</w:t>
      </w:r>
    </w:p>
    <w:p>
      <w:pPr>
        <w:pStyle w:val="19"/>
        <w:pageBreakBefore w:val="0"/>
        <w:kinsoku/>
        <w:wordWrap w:val="0"/>
        <w:topLinePunct w:val="0"/>
        <w:bidi w:val="0"/>
        <w:spacing w:line="400" w:lineRule="exact"/>
        <w:ind w:left="25" w:leftChars="12" w:firstLine="413" w:firstLineChars="197"/>
        <w:rPr>
          <w:rFonts w:hAnsi="宋体" w:cs="宋体"/>
          <w:color w:val="auto"/>
          <w:szCs w:val="21"/>
          <w:highlight w:val="none"/>
        </w:rPr>
      </w:pPr>
      <w:r>
        <w:rPr>
          <w:rFonts w:hint="eastAsia" w:hAnsi="宋体" w:cs="宋体"/>
          <w:bCs/>
          <w:color w:val="auto"/>
          <w:highlight w:val="none"/>
        </w:rPr>
        <w:t>采购</w:t>
      </w:r>
      <w:r>
        <w:rPr>
          <w:rFonts w:hint="eastAsia" w:hAnsi="宋体" w:cs="宋体"/>
          <w:color w:val="auto"/>
          <w:szCs w:val="21"/>
          <w:highlight w:val="none"/>
        </w:rPr>
        <w:t>项目的编号：</w:t>
      </w:r>
    </w:p>
    <w:p>
      <w:pPr>
        <w:pStyle w:val="19"/>
        <w:pageBreakBefore w:val="0"/>
        <w:kinsoku/>
        <w:wordWrap w:val="0"/>
        <w:topLinePunct w:val="0"/>
        <w:bidi w:val="0"/>
        <w:spacing w:line="400" w:lineRule="exact"/>
        <w:ind w:left="25" w:leftChars="12" w:firstLine="413" w:firstLineChars="197"/>
        <w:rPr>
          <w:rFonts w:hAnsi="宋体" w:cs="宋体"/>
          <w:bCs/>
          <w:color w:val="auto"/>
          <w:highlight w:val="none"/>
          <w:u w:val="single"/>
        </w:rPr>
      </w:pPr>
      <w:r>
        <w:rPr>
          <w:rFonts w:hint="eastAsia" w:hAnsi="宋体" w:cs="宋体"/>
          <w:color w:val="auto"/>
          <w:szCs w:val="21"/>
          <w:highlight w:val="none"/>
        </w:rPr>
        <w:t>采购人名称：</w:t>
      </w:r>
    </w:p>
    <w:p>
      <w:pPr>
        <w:pStyle w:val="19"/>
        <w:pageBreakBefore w:val="0"/>
        <w:kinsoku/>
        <w:wordWrap w:val="0"/>
        <w:topLinePunct w:val="0"/>
        <w:bidi w:val="0"/>
        <w:spacing w:line="400" w:lineRule="exact"/>
        <w:ind w:left="25" w:leftChars="12" w:firstLine="413" w:firstLineChars="197"/>
        <w:rPr>
          <w:rFonts w:hAnsi="宋体" w:cs="宋体"/>
          <w:bCs/>
          <w:color w:val="auto"/>
          <w:highlight w:val="none"/>
          <w:u w:val="single"/>
        </w:rPr>
      </w:pPr>
      <w:r>
        <w:rPr>
          <w:rFonts w:hint="eastAsia" w:hAnsi="宋体" w:cs="宋体"/>
          <w:color w:val="auto"/>
          <w:szCs w:val="21"/>
          <w:highlight w:val="none"/>
        </w:rPr>
        <w:t>代理机构名称：</w:t>
      </w:r>
    </w:p>
    <w:p>
      <w:pPr>
        <w:pStyle w:val="19"/>
        <w:pageBreakBefore w:val="0"/>
        <w:kinsoku/>
        <w:wordWrap w:val="0"/>
        <w:topLinePunct w:val="0"/>
        <w:bidi w:val="0"/>
        <w:spacing w:line="400" w:lineRule="exact"/>
        <w:ind w:left="25" w:leftChars="12" w:firstLine="413" w:firstLineChars="197"/>
        <w:rPr>
          <w:rFonts w:hAnsi="宋体" w:cs="宋体"/>
          <w:bCs/>
          <w:color w:val="auto"/>
          <w:highlight w:val="none"/>
          <w:u w:val="single"/>
        </w:rPr>
      </w:pPr>
      <w:r>
        <w:rPr>
          <w:rFonts w:hint="eastAsia" w:hAnsi="宋体" w:cs="宋体"/>
          <w:bCs/>
          <w:color w:val="auto"/>
          <w:highlight w:val="none"/>
        </w:rPr>
        <w:t>采购文件公告：</w:t>
      </w:r>
      <w:r>
        <w:rPr>
          <w:rFonts w:hint="eastAsia" w:hAnsi="宋体" w:cs="宋体"/>
          <w:bCs/>
          <w:color w:val="auto"/>
          <w:highlight w:val="none"/>
          <w:u w:val="single"/>
        </w:rPr>
        <w:t>是/否</w:t>
      </w:r>
      <w:r>
        <w:rPr>
          <w:rFonts w:hint="eastAsia" w:hAnsi="宋体" w:cs="宋体"/>
          <w:bCs/>
          <w:color w:val="auto"/>
          <w:highlight w:val="none"/>
        </w:rPr>
        <w:t>公告期限：</w:t>
      </w:r>
    </w:p>
    <w:p>
      <w:pPr>
        <w:pStyle w:val="19"/>
        <w:pageBreakBefore w:val="0"/>
        <w:kinsoku/>
        <w:wordWrap w:val="0"/>
        <w:topLinePunct w:val="0"/>
        <w:bidi w:val="0"/>
        <w:spacing w:line="400" w:lineRule="exact"/>
        <w:ind w:left="25" w:leftChars="12" w:firstLine="413" w:firstLineChars="197"/>
        <w:rPr>
          <w:rFonts w:hAnsi="宋体" w:cs="宋体"/>
          <w:b/>
          <w:color w:val="auto"/>
          <w:szCs w:val="21"/>
          <w:highlight w:val="none"/>
        </w:rPr>
      </w:pPr>
      <w:r>
        <w:rPr>
          <w:rFonts w:hint="eastAsia" w:hAnsi="宋体" w:cs="宋体"/>
          <w:bCs/>
          <w:color w:val="auto"/>
          <w:highlight w:val="none"/>
        </w:rPr>
        <w:t>采购结果公告：</w:t>
      </w:r>
      <w:r>
        <w:rPr>
          <w:rFonts w:hint="eastAsia" w:hAnsi="宋体" w:cs="宋体"/>
          <w:bCs/>
          <w:color w:val="auto"/>
          <w:highlight w:val="none"/>
          <w:u w:val="single"/>
        </w:rPr>
        <w:t>是/否</w:t>
      </w:r>
      <w:r>
        <w:rPr>
          <w:rFonts w:hint="eastAsia" w:hAnsi="宋体" w:cs="宋体"/>
          <w:bCs/>
          <w:color w:val="auto"/>
          <w:highlight w:val="none"/>
        </w:rPr>
        <w:t>公告期限：</w:t>
      </w:r>
    </w:p>
    <w:p>
      <w:pPr>
        <w:pStyle w:val="19"/>
        <w:pageBreakBefore w:val="0"/>
        <w:kinsoku/>
        <w:wordWrap w:val="0"/>
        <w:topLinePunct w:val="0"/>
        <w:bidi w:val="0"/>
        <w:spacing w:line="400" w:lineRule="exact"/>
        <w:ind w:left="25" w:leftChars="12" w:firstLine="413" w:firstLineChars="196"/>
        <w:rPr>
          <w:rFonts w:hAnsi="宋体" w:cs="宋体"/>
          <w:b/>
          <w:color w:val="auto"/>
          <w:szCs w:val="21"/>
          <w:highlight w:val="none"/>
        </w:rPr>
      </w:pPr>
      <w:r>
        <w:rPr>
          <w:rFonts w:hint="eastAsia" w:hAnsi="宋体" w:cs="宋体"/>
          <w:b/>
          <w:color w:val="auto"/>
          <w:szCs w:val="21"/>
          <w:highlight w:val="none"/>
        </w:rPr>
        <w:t>三、质疑基本情况</w:t>
      </w:r>
    </w:p>
    <w:p>
      <w:pPr>
        <w:pStyle w:val="19"/>
        <w:pageBreakBefore w:val="0"/>
        <w:kinsoku/>
        <w:wordWrap w:val="0"/>
        <w:topLinePunct w:val="0"/>
        <w:bidi w:val="0"/>
        <w:spacing w:line="400" w:lineRule="exact"/>
        <w:ind w:left="25" w:leftChars="12" w:firstLine="833" w:firstLineChars="397"/>
        <w:rPr>
          <w:rFonts w:hAnsi="宋体" w:cs="宋体"/>
          <w:color w:val="auto"/>
          <w:szCs w:val="21"/>
          <w:highlight w:val="none"/>
        </w:rPr>
      </w:pPr>
      <w:r>
        <w:rPr>
          <w:rFonts w:hint="eastAsia" w:hAnsi="宋体" w:cs="宋体"/>
          <w:color w:val="auto"/>
          <w:szCs w:val="21"/>
          <w:highlight w:val="none"/>
        </w:rPr>
        <w:t>投诉人于年月日，向</w:t>
      </w:r>
      <w:r>
        <w:rPr>
          <w:rFonts w:hint="eastAsia" w:hAnsi="宋体" w:cs="宋体"/>
          <w:color w:val="auto"/>
          <w:szCs w:val="21"/>
          <w:highlight w:val="none"/>
          <w:lang w:val="en-US" w:eastAsia="zh-CN"/>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rPr>
        <w:t>提出质疑，质疑事项为：</w:t>
      </w:r>
    </w:p>
    <w:p>
      <w:pPr>
        <w:pStyle w:val="19"/>
        <w:pageBreakBefore w:val="0"/>
        <w:kinsoku/>
        <w:wordWrap w:val="0"/>
        <w:topLinePunct w:val="0"/>
        <w:bidi w:val="0"/>
        <w:spacing w:line="400" w:lineRule="exact"/>
        <w:rPr>
          <w:rFonts w:hAnsi="宋体" w:cs="宋体"/>
          <w:bCs/>
          <w:color w:val="auto"/>
          <w:highlight w:val="none"/>
          <w:u w:val="single"/>
        </w:rPr>
      </w:pPr>
    </w:p>
    <w:p>
      <w:pPr>
        <w:pStyle w:val="19"/>
        <w:pageBreakBefore w:val="0"/>
        <w:kinsoku/>
        <w:wordWrap w:val="0"/>
        <w:topLinePunct w:val="0"/>
        <w:bidi w:val="0"/>
        <w:spacing w:line="400" w:lineRule="exact"/>
        <w:rPr>
          <w:rFonts w:hAnsi="宋体" w:cs="宋体"/>
          <w:bCs/>
          <w:color w:val="auto"/>
          <w:highlight w:val="none"/>
          <w:u w:val="single"/>
        </w:rPr>
      </w:pPr>
    </w:p>
    <w:p>
      <w:pPr>
        <w:pStyle w:val="19"/>
        <w:pageBreakBefore w:val="0"/>
        <w:kinsoku/>
        <w:wordWrap w:val="0"/>
        <w:topLinePunct w:val="0"/>
        <w:bidi w:val="0"/>
        <w:spacing w:line="400" w:lineRule="exact"/>
        <w:rPr>
          <w:rFonts w:hAnsi="宋体" w:cs="宋体"/>
          <w:color w:val="auto"/>
          <w:szCs w:val="21"/>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szCs w:val="21"/>
          <w:highlight w:val="none"/>
        </w:rPr>
        <w:t>年月日，</w:t>
      </w:r>
      <w:r>
        <w:rPr>
          <w:rFonts w:hint="eastAsia" w:hAnsi="宋体" w:cs="宋体"/>
          <w:bCs/>
          <w:color w:val="auto"/>
          <w:highlight w:val="none"/>
        </w:rPr>
        <w:t xml:space="preserve">就质疑事项作出了答复/没有在法定期限内作出答复。                                                                                             </w:t>
      </w:r>
    </w:p>
    <w:p>
      <w:pPr>
        <w:pStyle w:val="19"/>
        <w:pageBreakBefore w:val="0"/>
        <w:kinsoku/>
        <w:wordWrap w:val="0"/>
        <w:topLinePunct w:val="0"/>
        <w:bidi w:val="0"/>
        <w:spacing w:line="400" w:lineRule="exact"/>
        <w:ind w:left="25" w:leftChars="12" w:firstLine="413" w:firstLineChars="196"/>
        <w:rPr>
          <w:rFonts w:hAnsi="宋体" w:cs="宋体"/>
          <w:b/>
          <w:color w:val="auto"/>
          <w:szCs w:val="21"/>
          <w:highlight w:val="none"/>
        </w:rPr>
      </w:pPr>
      <w:r>
        <w:rPr>
          <w:rFonts w:hint="eastAsia" w:hAnsi="宋体" w:cs="宋体"/>
          <w:b/>
          <w:color w:val="auto"/>
          <w:szCs w:val="21"/>
          <w:highlight w:val="none"/>
        </w:rPr>
        <w:t>四、投诉事项具体内容</w:t>
      </w:r>
    </w:p>
    <w:p>
      <w:pPr>
        <w:pStyle w:val="19"/>
        <w:pageBreakBefore w:val="0"/>
        <w:kinsoku/>
        <w:wordWrap w:val="0"/>
        <w:topLinePunct w:val="0"/>
        <w:bidi w:val="0"/>
        <w:spacing w:line="400" w:lineRule="exact"/>
        <w:ind w:left="25" w:leftChars="12" w:firstLine="413" w:firstLineChars="197"/>
        <w:rPr>
          <w:rFonts w:hAnsi="宋体" w:cs="宋体"/>
          <w:bCs/>
          <w:color w:val="auto"/>
          <w:highlight w:val="none"/>
          <w:u w:val="single"/>
        </w:rPr>
      </w:pPr>
      <w:r>
        <w:rPr>
          <w:rFonts w:hint="eastAsia" w:hAnsi="宋体" w:cs="宋体"/>
          <w:color w:val="auto"/>
          <w:szCs w:val="21"/>
          <w:highlight w:val="none"/>
        </w:rPr>
        <w:t>投诉事项1：</w:t>
      </w:r>
    </w:p>
    <w:p>
      <w:pPr>
        <w:pStyle w:val="19"/>
        <w:pageBreakBefore w:val="0"/>
        <w:kinsoku/>
        <w:wordWrap w:val="0"/>
        <w:topLinePunct w:val="0"/>
        <w:bidi w:val="0"/>
        <w:spacing w:line="400" w:lineRule="exact"/>
        <w:ind w:firstLine="420" w:firstLineChars="200"/>
        <w:rPr>
          <w:rFonts w:hAnsi="宋体" w:cs="宋体"/>
          <w:bCs/>
          <w:color w:val="auto"/>
          <w:highlight w:val="none"/>
          <w:u w:val="single"/>
        </w:rPr>
      </w:pPr>
      <w:r>
        <w:rPr>
          <w:rFonts w:hint="eastAsia" w:hAnsi="宋体" w:cs="宋体"/>
          <w:bCs/>
          <w:color w:val="auto"/>
          <w:highlight w:val="none"/>
        </w:rPr>
        <w:t>事实依据：</w:t>
      </w:r>
    </w:p>
    <w:p>
      <w:pPr>
        <w:pStyle w:val="19"/>
        <w:pageBreakBefore w:val="0"/>
        <w:kinsoku/>
        <w:wordWrap w:val="0"/>
        <w:topLinePunct w:val="0"/>
        <w:bidi w:val="0"/>
        <w:spacing w:line="400" w:lineRule="exact"/>
        <w:ind w:left="25" w:leftChars="12" w:firstLine="413" w:firstLineChars="197"/>
        <w:rPr>
          <w:rFonts w:hAnsi="宋体" w:cs="宋体"/>
          <w:color w:val="auto"/>
          <w:szCs w:val="21"/>
          <w:highlight w:val="none"/>
        </w:rPr>
      </w:pPr>
    </w:p>
    <w:p>
      <w:pPr>
        <w:pStyle w:val="19"/>
        <w:pageBreakBefore w:val="0"/>
        <w:kinsoku/>
        <w:wordWrap w:val="0"/>
        <w:topLinePunct w:val="0"/>
        <w:bidi w:val="0"/>
        <w:spacing w:line="400" w:lineRule="exact"/>
        <w:ind w:firstLine="420" w:firstLineChars="200"/>
        <w:rPr>
          <w:rFonts w:hAnsi="宋体" w:cs="宋体"/>
          <w:bCs/>
          <w:color w:val="auto"/>
          <w:highlight w:val="none"/>
          <w:u w:val="single"/>
        </w:rPr>
      </w:pPr>
      <w:r>
        <w:rPr>
          <w:rFonts w:hint="eastAsia" w:hAnsi="宋体" w:cs="宋体"/>
          <w:bCs/>
          <w:color w:val="auto"/>
          <w:highlight w:val="none"/>
        </w:rPr>
        <w:t>法律依据：</w:t>
      </w:r>
    </w:p>
    <w:p>
      <w:pPr>
        <w:pStyle w:val="19"/>
        <w:pageBreakBefore w:val="0"/>
        <w:kinsoku/>
        <w:wordWrap w:val="0"/>
        <w:topLinePunct w:val="0"/>
        <w:bidi w:val="0"/>
        <w:spacing w:line="400" w:lineRule="exact"/>
        <w:ind w:left="25" w:leftChars="12" w:firstLine="308" w:firstLineChars="147"/>
        <w:rPr>
          <w:rFonts w:hAnsi="宋体" w:cs="宋体"/>
          <w:bCs/>
          <w:color w:val="auto"/>
          <w:highlight w:val="none"/>
          <w:u w:val="single"/>
        </w:rPr>
      </w:pPr>
    </w:p>
    <w:p>
      <w:pPr>
        <w:pStyle w:val="19"/>
        <w:pageBreakBefore w:val="0"/>
        <w:kinsoku/>
        <w:wordWrap w:val="0"/>
        <w:topLinePunct w:val="0"/>
        <w:bidi w:val="0"/>
        <w:spacing w:line="400" w:lineRule="exact"/>
        <w:ind w:left="25" w:leftChars="12" w:firstLine="413" w:firstLineChars="197"/>
        <w:rPr>
          <w:rFonts w:hAnsi="宋体" w:cs="宋体"/>
          <w:bCs/>
          <w:color w:val="auto"/>
          <w:highlight w:val="none"/>
        </w:rPr>
      </w:pPr>
      <w:r>
        <w:rPr>
          <w:rFonts w:hint="eastAsia" w:hAnsi="宋体" w:cs="宋体"/>
          <w:color w:val="auto"/>
          <w:szCs w:val="21"/>
          <w:highlight w:val="none"/>
        </w:rPr>
        <w:t xml:space="preserve">投诉事项2  </w:t>
      </w:r>
    </w:p>
    <w:p>
      <w:pPr>
        <w:pStyle w:val="19"/>
        <w:pageBreakBefore w:val="0"/>
        <w:kinsoku/>
        <w:wordWrap w:val="0"/>
        <w:topLinePunct w:val="0"/>
        <w:bidi w:val="0"/>
        <w:spacing w:line="400" w:lineRule="exact"/>
        <w:ind w:left="25" w:leftChars="12" w:firstLine="413" w:firstLineChars="197"/>
        <w:rPr>
          <w:rFonts w:hAnsi="宋体" w:cs="宋体"/>
          <w:bCs/>
          <w:color w:val="auto"/>
          <w:highlight w:val="none"/>
        </w:rPr>
      </w:pPr>
      <w:r>
        <w:rPr>
          <w:rFonts w:hint="eastAsia" w:hAnsi="宋体" w:cs="宋体"/>
          <w:bCs/>
          <w:color w:val="auto"/>
          <w:highlight w:val="none"/>
        </w:rPr>
        <w:t>……</w:t>
      </w:r>
    </w:p>
    <w:p>
      <w:pPr>
        <w:pStyle w:val="19"/>
        <w:pageBreakBefore w:val="0"/>
        <w:kinsoku/>
        <w:wordWrap w:val="0"/>
        <w:topLinePunct w:val="0"/>
        <w:bidi w:val="0"/>
        <w:spacing w:line="400" w:lineRule="exact"/>
        <w:ind w:left="25" w:leftChars="12" w:firstLine="413" w:firstLineChars="196"/>
        <w:rPr>
          <w:rFonts w:hAnsi="宋体" w:cs="宋体"/>
          <w:b/>
          <w:color w:val="auto"/>
          <w:szCs w:val="21"/>
          <w:highlight w:val="none"/>
        </w:rPr>
      </w:pPr>
      <w:r>
        <w:rPr>
          <w:rFonts w:hint="eastAsia" w:hAnsi="宋体" w:cs="宋体"/>
          <w:b/>
          <w:color w:val="auto"/>
          <w:szCs w:val="21"/>
          <w:highlight w:val="none"/>
        </w:rPr>
        <w:t>五、与投诉事项相关的投诉请求：</w:t>
      </w:r>
    </w:p>
    <w:p>
      <w:pPr>
        <w:pStyle w:val="19"/>
        <w:pageBreakBefore w:val="0"/>
        <w:kinsoku/>
        <w:wordWrap w:val="0"/>
        <w:topLinePunct w:val="0"/>
        <w:bidi w:val="0"/>
        <w:spacing w:line="40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请求：</w:t>
      </w:r>
    </w:p>
    <w:p>
      <w:pPr>
        <w:pStyle w:val="19"/>
        <w:pageBreakBefore w:val="0"/>
        <w:kinsoku/>
        <w:wordWrap w:val="0"/>
        <w:topLinePunct w:val="0"/>
        <w:bidi w:val="0"/>
        <w:spacing w:line="400" w:lineRule="exact"/>
        <w:ind w:left="25" w:leftChars="12" w:firstLine="308" w:firstLineChars="147"/>
        <w:rPr>
          <w:rFonts w:hAnsi="宋体" w:cs="宋体"/>
          <w:color w:val="auto"/>
          <w:szCs w:val="21"/>
          <w:highlight w:val="none"/>
        </w:rPr>
      </w:pPr>
    </w:p>
    <w:p>
      <w:pPr>
        <w:pStyle w:val="19"/>
        <w:pageBreakBefore w:val="0"/>
        <w:kinsoku/>
        <w:wordWrap w:val="0"/>
        <w:topLinePunct w:val="0"/>
        <w:bidi w:val="0"/>
        <w:spacing w:line="40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签字（签章）：                                       公章：</w:t>
      </w:r>
    </w:p>
    <w:p>
      <w:pPr>
        <w:pStyle w:val="19"/>
        <w:pageBreakBefore w:val="0"/>
        <w:kinsoku/>
        <w:wordWrap w:val="0"/>
        <w:topLinePunct w:val="0"/>
        <w:bidi w:val="0"/>
        <w:spacing w:line="400" w:lineRule="exact"/>
        <w:ind w:left="25" w:leftChars="12" w:firstLine="308" w:firstLineChars="147"/>
        <w:rPr>
          <w:rFonts w:hAnsi="宋体" w:cs="宋体"/>
          <w:color w:val="auto"/>
          <w:szCs w:val="21"/>
          <w:highlight w:val="none"/>
        </w:rPr>
      </w:pPr>
    </w:p>
    <w:p>
      <w:pPr>
        <w:pStyle w:val="19"/>
        <w:pageBreakBefore w:val="0"/>
        <w:kinsoku/>
        <w:wordWrap w:val="0"/>
        <w:topLinePunct w:val="0"/>
        <w:bidi w:val="0"/>
        <w:spacing w:line="400" w:lineRule="exact"/>
        <w:ind w:left="25" w:leftChars="12" w:firstLine="413" w:firstLineChars="197"/>
        <w:rPr>
          <w:rFonts w:hAnsi="宋体" w:cs="宋体"/>
          <w:color w:val="auto"/>
          <w:szCs w:val="21"/>
          <w:highlight w:val="none"/>
        </w:rPr>
      </w:pPr>
      <w:r>
        <w:rPr>
          <w:rFonts w:hint="eastAsia" w:hAnsi="宋体" w:cs="宋体"/>
          <w:color w:val="auto"/>
          <w:szCs w:val="21"/>
          <w:highlight w:val="none"/>
        </w:rPr>
        <w:t>日期：</w:t>
      </w:r>
    </w:p>
    <w:p>
      <w:pPr>
        <w:pStyle w:val="19"/>
        <w:pageBreakBefore w:val="0"/>
        <w:kinsoku/>
        <w:wordWrap w:val="0"/>
        <w:topLinePunct w:val="0"/>
        <w:bidi w:val="0"/>
        <w:spacing w:line="360" w:lineRule="exact"/>
        <w:ind w:left="25" w:leftChars="12" w:firstLine="413" w:firstLineChars="197"/>
        <w:rPr>
          <w:rFonts w:hAnsi="宋体" w:cs="宋体"/>
          <w:color w:val="auto"/>
          <w:szCs w:val="21"/>
          <w:highlight w:val="none"/>
        </w:rPr>
      </w:pPr>
    </w:p>
    <w:p>
      <w:pPr>
        <w:pStyle w:val="19"/>
        <w:pageBreakBefore w:val="0"/>
        <w:kinsoku/>
        <w:wordWrap w:val="0"/>
        <w:topLinePunct w:val="0"/>
        <w:bidi w:val="0"/>
        <w:snapToGrid w:val="0"/>
        <w:spacing w:line="340" w:lineRule="exact"/>
        <w:ind w:firstLine="422"/>
        <w:rPr>
          <w:rFonts w:hAnsi="宋体" w:cs="宋体"/>
          <w:b/>
          <w:color w:val="auto"/>
          <w:szCs w:val="21"/>
          <w:highlight w:val="none"/>
        </w:rPr>
      </w:pPr>
    </w:p>
    <w:p>
      <w:pPr>
        <w:pStyle w:val="19"/>
        <w:pageBreakBefore w:val="0"/>
        <w:kinsoku/>
        <w:wordWrap w:val="0"/>
        <w:topLinePunct w:val="0"/>
        <w:bidi w:val="0"/>
        <w:spacing w:line="340" w:lineRule="exact"/>
        <w:ind w:left="25" w:leftChars="12" w:firstLine="310" w:firstLineChars="147"/>
        <w:rPr>
          <w:rFonts w:hAnsi="宋体" w:cs="宋体"/>
          <w:b/>
          <w:color w:val="auto"/>
          <w:szCs w:val="21"/>
          <w:highlight w:val="none"/>
        </w:rPr>
      </w:pPr>
      <w:r>
        <w:rPr>
          <w:rFonts w:hint="eastAsia" w:hAnsi="宋体" w:cs="宋体"/>
          <w:b/>
          <w:color w:val="auto"/>
          <w:szCs w:val="21"/>
          <w:highlight w:val="none"/>
        </w:rPr>
        <w:t>说明：</w:t>
      </w:r>
    </w:p>
    <w:p>
      <w:pPr>
        <w:pStyle w:val="19"/>
        <w:pageBreakBefore w:val="0"/>
        <w:kinsoku/>
        <w:wordWrap w:val="0"/>
        <w:topLinePunct w:val="0"/>
        <w:bidi w:val="0"/>
        <w:spacing w:line="340" w:lineRule="exact"/>
        <w:ind w:left="25" w:leftChars="12" w:firstLine="310" w:firstLineChars="147"/>
        <w:rPr>
          <w:rFonts w:hAnsi="宋体" w:cs="宋体"/>
          <w:b/>
          <w:color w:val="auto"/>
          <w:szCs w:val="21"/>
          <w:highlight w:val="none"/>
        </w:rPr>
      </w:pPr>
      <w:r>
        <w:rPr>
          <w:rFonts w:hint="eastAsia" w:hAnsi="宋体" w:cs="宋体"/>
          <w:b/>
          <w:color w:val="auto"/>
          <w:szCs w:val="21"/>
          <w:highlight w:val="none"/>
        </w:rPr>
        <w:t>1.投诉人提起投诉时，应当提交投诉书和必要的证明材料，并按照被投诉人和与投诉事项有关的供应商数量提供投诉书副本。</w:t>
      </w:r>
    </w:p>
    <w:p>
      <w:pPr>
        <w:pStyle w:val="19"/>
        <w:pageBreakBefore w:val="0"/>
        <w:kinsoku/>
        <w:wordWrap w:val="0"/>
        <w:topLinePunct w:val="0"/>
        <w:bidi w:val="0"/>
        <w:spacing w:line="340" w:lineRule="exact"/>
        <w:ind w:left="25" w:leftChars="12" w:firstLine="310" w:firstLineChars="147"/>
        <w:rPr>
          <w:rFonts w:hAnsi="宋体" w:cs="宋体"/>
          <w:b/>
          <w:color w:val="auto"/>
          <w:szCs w:val="21"/>
          <w:highlight w:val="none"/>
        </w:rPr>
      </w:pPr>
      <w:r>
        <w:rPr>
          <w:rFonts w:hint="eastAsia" w:hAnsi="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9"/>
        <w:pageBreakBefore w:val="0"/>
        <w:kinsoku/>
        <w:wordWrap w:val="0"/>
        <w:topLinePunct w:val="0"/>
        <w:bidi w:val="0"/>
        <w:spacing w:line="340" w:lineRule="exact"/>
        <w:ind w:left="25" w:leftChars="12" w:firstLine="310" w:firstLineChars="147"/>
        <w:rPr>
          <w:rFonts w:hAnsi="宋体" w:cs="宋体"/>
          <w:b/>
          <w:color w:val="auto"/>
          <w:szCs w:val="21"/>
          <w:highlight w:val="none"/>
        </w:rPr>
      </w:pPr>
      <w:r>
        <w:rPr>
          <w:rFonts w:hint="eastAsia" w:hAnsi="宋体" w:cs="宋体"/>
          <w:b/>
          <w:color w:val="auto"/>
          <w:szCs w:val="21"/>
          <w:highlight w:val="none"/>
        </w:rPr>
        <w:t>3.投诉书应简要列明质疑事项，质疑函、质疑答复等作为附件材料提供。</w:t>
      </w:r>
    </w:p>
    <w:p>
      <w:pPr>
        <w:pStyle w:val="19"/>
        <w:pageBreakBefore w:val="0"/>
        <w:kinsoku/>
        <w:wordWrap w:val="0"/>
        <w:topLinePunct w:val="0"/>
        <w:bidi w:val="0"/>
        <w:spacing w:line="340" w:lineRule="exact"/>
        <w:ind w:left="25" w:leftChars="12" w:firstLine="310" w:firstLineChars="147"/>
        <w:rPr>
          <w:rFonts w:hAnsi="宋体" w:cs="宋体"/>
          <w:b/>
          <w:color w:val="auto"/>
          <w:szCs w:val="21"/>
          <w:highlight w:val="none"/>
        </w:rPr>
      </w:pPr>
      <w:r>
        <w:rPr>
          <w:rFonts w:hint="eastAsia" w:hAnsi="宋体" w:cs="宋体"/>
          <w:b/>
          <w:color w:val="auto"/>
          <w:szCs w:val="21"/>
          <w:highlight w:val="none"/>
        </w:rPr>
        <w:t>4.投诉书的投诉事项应具体、明确，并有必要的事实依据和法律依据。</w:t>
      </w:r>
    </w:p>
    <w:p>
      <w:pPr>
        <w:pStyle w:val="19"/>
        <w:pageBreakBefore w:val="0"/>
        <w:kinsoku/>
        <w:wordWrap w:val="0"/>
        <w:topLinePunct w:val="0"/>
        <w:bidi w:val="0"/>
        <w:spacing w:line="340" w:lineRule="exact"/>
        <w:ind w:left="25" w:leftChars="12" w:firstLine="310" w:firstLineChars="147"/>
        <w:rPr>
          <w:rFonts w:hAnsi="宋体" w:cs="宋体"/>
          <w:b/>
          <w:color w:val="auto"/>
          <w:szCs w:val="21"/>
          <w:highlight w:val="none"/>
        </w:rPr>
      </w:pPr>
      <w:r>
        <w:rPr>
          <w:rFonts w:hint="eastAsia" w:hAnsi="宋体" w:cs="宋体"/>
          <w:b/>
          <w:color w:val="auto"/>
          <w:szCs w:val="21"/>
          <w:highlight w:val="none"/>
        </w:rPr>
        <w:t>5.投诉书的投诉请求应与投诉事项相关。</w:t>
      </w:r>
    </w:p>
    <w:p>
      <w:pPr>
        <w:pStyle w:val="19"/>
        <w:pageBreakBefore w:val="0"/>
        <w:kinsoku/>
        <w:wordWrap w:val="0"/>
        <w:topLinePunct w:val="0"/>
        <w:bidi w:val="0"/>
        <w:spacing w:line="340" w:lineRule="exact"/>
        <w:ind w:left="25" w:leftChars="12" w:firstLine="310" w:firstLineChars="147"/>
        <w:rPr>
          <w:rFonts w:hAnsi="宋体" w:cs="宋体"/>
          <w:b/>
          <w:color w:val="auto"/>
          <w:szCs w:val="21"/>
          <w:highlight w:val="none"/>
        </w:rPr>
      </w:pPr>
      <w:r>
        <w:rPr>
          <w:rFonts w:hint="eastAsia" w:hAnsi="宋体" w:cs="宋体"/>
          <w:b/>
          <w:color w:val="auto"/>
          <w:szCs w:val="21"/>
          <w:highlight w:val="none"/>
        </w:rPr>
        <w:t>6.投诉人为自然人的，投诉书应由本人签字；投诉人为法人或者其他组织的，投诉书应由法定代表人、主要负责人，或者其授权代表签字或者盖章，并加盖公章。</w:t>
      </w:r>
    </w:p>
    <w:p>
      <w:pPr>
        <w:pStyle w:val="19"/>
        <w:pageBreakBefore w:val="0"/>
        <w:kinsoku/>
        <w:wordWrap w:val="0"/>
        <w:topLinePunct w:val="0"/>
        <w:bidi w:val="0"/>
        <w:spacing w:line="340" w:lineRule="exact"/>
        <w:ind w:left="25" w:leftChars="12" w:firstLine="310" w:firstLineChars="147"/>
        <w:rPr>
          <w:rFonts w:hAnsi="宋体" w:cs="宋体"/>
          <w:b/>
          <w:color w:val="auto"/>
          <w:kern w:val="0"/>
          <w:szCs w:val="21"/>
          <w:highlight w:val="none"/>
        </w:rPr>
      </w:pPr>
    </w:p>
    <w:p>
      <w:pPr>
        <w:pStyle w:val="19"/>
        <w:pageBreakBefore w:val="0"/>
        <w:kinsoku/>
        <w:wordWrap w:val="0"/>
        <w:topLinePunct w:val="0"/>
        <w:bidi w:val="0"/>
        <w:spacing w:line="340" w:lineRule="exact"/>
        <w:ind w:left="25" w:leftChars="12" w:firstLine="310" w:firstLineChars="147"/>
        <w:rPr>
          <w:rFonts w:hAnsi="宋体"/>
          <w:b/>
          <w:color w:val="auto"/>
          <w:kern w:val="0"/>
          <w:szCs w:val="21"/>
          <w:highlight w:val="none"/>
        </w:rPr>
      </w:pPr>
    </w:p>
    <w:p>
      <w:pPr>
        <w:pageBreakBefore w:val="0"/>
        <w:tabs>
          <w:tab w:val="center" w:pos="4410"/>
          <w:tab w:val="left" w:pos="6735"/>
        </w:tabs>
        <w:kinsoku/>
        <w:wordWrap w:val="0"/>
        <w:topLinePunct w:val="0"/>
        <w:bidi w:val="0"/>
        <w:spacing w:line="480" w:lineRule="auto"/>
        <w:ind w:firstLine="643"/>
        <w:jc w:val="center"/>
        <w:rPr>
          <w:rFonts w:ascii="宋体" w:hAnsi="宋体"/>
          <w:b/>
          <w:color w:val="auto"/>
          <w:kern w:val="0"/>
          <w:sz w:val="32"/>
          <w:szCs w:val="32"/>
          <w:highlight w:val="none"/>
        </w:rPr>
      </w:pPr>
    </w:p>
    <w:p>
      <w:pPr>
        <w:pageBreakBefore w:val="0"/>
        <w:tabs>
          <w:tab w:val="center" w:pos="4410"/>
          <w:tab w:val="left" w:pos="6735"/>
        </w:tabs>
        <w:kinsoku/>
        <w:wordWrap w:val="0"/>
        <w:topLinePunct w:val="0"/>
        <w:bidi w:val="0"/>
        <w:spacing w:line="480" w:lineRule="auto"/>
        <w:ind w:firstLine="643"/>
        <w:jc w:val="center"/>
        <w:rPr>
          <w:rFonts w:ascii="宋体" w:hAnsi="宋体"/>
          <w:b/>
          <w:color w:val="auto"/>
          <w:kern w:val="0"/>
          <w:sz w:val="32"/>
          <w:szCs w:val="32"/>
          <w:highlight w:val="none"/>
        </w:rPr>
      </w:pPr>
    </w:p>
    <w:p>
      <w:pPr>
        <w:pStyle w:val="17"/>
        <w:pageBreakBefore w:val="0"/>
        <w:kinsoku/>
        <w:wordWrap w:val="0"/>
        <w:topLinePunct w:val="0"/>
        <w:bidi w:val="0"/>
        <w:rPr>
          <w:color w:val="auto"/>
          <w:highlight w:val="none"/>
        </w:rPr>
      </w:pPr>
    </w:p>
    <w:p>
      <w:pPr>
        <w:pageBreakBefore w:val="0"/>
        <w:kinsoku/>
        <w:wordWrap w:val="0"/>
        <w:topLinePunct w:val="0"/>
        <w:bidi w:val="0"/>
        <w:rPr>
          <w:color w:val="auto"/>
          <w:highlight w:val="none"/>
        </w:rPr>
      </w:pPr>
    </w:p>
    <w:p>
      <w:pPr>
        <w:pStyle w:val="17"/>
        <w:pageBreakBefore w:val="0"/>
        <w:kinsoku/>
        <w:wordWrap w:val="0"/>
        <w:topLinePunct w:val="0"/>
        <w:bidi w:val="0"/>
        <w:rPr>
          <w:color w:val="auto"/>
          <w:highlight w:val="none"/>
        </w:rPr>
      </w:pPr>
    </w:p>
    <w:p>
      <w:pPr>
        <w:pageBreakBefore w:val="0"/>
        <w:kinsoku/>
        <w:wordWrap w:val="0"/>
        <w:topLinePunct w:val="0"/>
        <w:bidi w:val="0"/>
        <w:rPr>
          <w:color w:val="auto"/>
          <w:highlight w:val="none"/>
        </w:rPr>
      </w:pPr>
    </w:p>
    <w:p>
      <w:pPr>
        <w:pStyle w:val="17"/>
        <w:pageBreakBefore w:val="0"/>
        <w:kinsoku/>
        <w:wordWrap w:val="0"/>
        <w:topLinePunct w:val="0"/>
        <w:bidi w:val="0"/>
        <w:rPr>
          <w:color w:val="auto"/>
          <w:highlight w:val="none"/>
        </w:rPr>
      </w:pPr>
    </w:p>
    <w:p>
      <w:pPr>
        <w:pageBreakBefore w:val="0"/>
        <w:kinsoku/>
        <w:wordWrap w:val="0"/>
        <w:topLinePunct w:val="0"/>
        <w:bidi w:val="0"/>
        <w:rPr>
          <w:color w:val="auto"/>
          <w:highlight w:val="none"/>
        </w:rPr>
      </w:pPr>
    </w:p>
    <w:p>
      <w:pPr>
        <w:pStyle w:val="17"/>
        <w:pageBreakBefore w:val="0"/>
        <w:kinsoku/>
        <w:wordWrap w:val="0"/>
        <w:topLinePunct w:val="0"/>
        <w:bidi w:val="0"/>
        <w:rPr>
          <w:color w:val="auto"/>
          <w:highlight w:val="none"/>
        </w:rPr>
      </w:pPr>
    </w:p>
    <w:p>
      <w:pPr>
        <w:pageBreakBefore w:val="0"/>
        <w:kinsoku/>
        <w:wordWrap w:val="0"/>
        <w:topLinePunct w:val="0"/>
        <w:bidi w:val="0"/>
        <w:rPr>
          <w:color w:val="auto"/>
          <w:highlight w:val="none"/>
        </w:rPr>
      </w:pPr>
    </w:p>
    <w:p>
      <w:pPr>
        <w:pageBreakBefore w:val="0"/>
        <w:kinsoku/>
        <w:wordWrap w:val="0"/>
        <w:topLinePunct w:val="0"/>
        <w:bidi w:val="0"/>
        <w:rPr>
          <w:color w:val="auto"/>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pageBreakBefore w:val="0"/>
        <w:tabs>
          <w:tab w:val="left" w:pos="1408"/>
        </w:tabs>
        <w:kinsoku/>
        <w:wordWrap w:val="0"/>
        <w:topLinePunct w:val="0"/>
        <w:bidi w:val="0"/>
        <w:snapToGrid w:val="0"/>
        <w:spacing w:line="340" w:lineRule="exact"/>
        <w:ind w:firstLine="422"/>
        <w:rPr>
          <w:rFonts w:ascii="宋体" w:hAnsi="宋体" w:cs="宋体"/>
          <w:b/>
          <w:color w:val="auto"/>
          <w:highlight w:val="none"/>
        </w:rPr>
      </w:pPr>
      <w:r>
        <w:rPr>
          <w:rFonts w:hint="eastAsia" w:ascii="宋体" w:hAnsi="宋体" w:cs="宋体"/>
          <w:b/>
          <w:color w:val="auto"/>
          <w:highlight w:val="none"/>
        </w:rPr>
        <w:t>附表3：</w:t>
      </w:r>
      <w:r>
        <w:rPr>
          <w:rFonts w:ascii="宋体" w:hAnsi="宋体" w:cs="宋体"/>
          <w:b/>
          <w:color w:val="auto"/>
          <w:highlight w:val="none"/>
        </w:rPr>
        <w:tab/>
      </w:r>
    </w:p>
    <w:p>
      <w:pPr>
        <w:pageBreakBefore w:val="0"/>
        <w:kinsoku/>
        <w:wordWrap w:val="0"/>
        <w:topLinePunct w:val="0"/>
        <w:bidi w:val="0"/>
        <w:ind w:firstLine="643"/>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drawing>
          <wp:inline distT="0" distB="0" distL="0" distR="0">
            <wp:extent cx="5890260" cy="8313420"/>
            <wp:effectExtent l="19050" t="0" r="0" b="0"/>
            <wp:docPr id="1" name="图片 4"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QQ图片20220512155052"/>
                    <pic:cNvPicPr>
                      <a:picLocks noChangeAspect="1" noChangeArrowheads="1"/>
                    </pic:cNvPicPr>
                  </pic:nvPicPr>
                  <pic:blipFill>
                    <a:blip r:embed="rId20"/>
                    <a:srcRect/>
                    <a:stretch>
                      <a:fillRect/>
                    </a:stretch>
                  </pic:blipFill>
                  <pic:spPr>
                    <a:xfrm>
                      <a:off x="0" y="0"/>
                      <a:ext cx="5890260" cy="8313420"/>
                    </a:xfrm>
                    <a:prstGeom prst="rect">
                      <a:avLst/>
                    </a:prstGeom>
                    <a:noFill/>
                    <a:ln w="9525">
                      <a:noFill/>
                      <a:miter lim="800000"/>
                      <a:headEnd/>
                      <a:tailEnd/>
                    </a:ln>
                  </pic:spPr>
                </pic:pic>
              </a:graphicData>
            </a:graphic>
          </wp:inline>
        </w:drawing>
      </w:r>
    </w:p>
    <w:p>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pageBreakBefore w:val="0"/>
        <w:kinsoku/>
        <w:wordWrap w:val="0"/>
        <w:topLinePunct w:val="0"/>
        <w:bidi w:val="0"/>
        <w:ind w:firstLine="643"/>
        <w:jc w:val="center"/>
        <w:outlineLvl w:val="0"/>
        <w:rPr>
          <w:rFonts w:ascii="宋体" w:hAnsi="宋体" w:cs="宋体"/>
          <w:b/>
          <w:color w:val="auto"/>
          <w:kern w:val="0"/>
          <w:sz w:val="32"/>
          <w:szCs w:val="32"/>
          <w:highlight w:val="none"/>
        </w:rPr>
      </w:pPr>
      <w:bookmarkStart w:id="38" w:name="_Toc26019"/>
      <w:r>
        <w:rPr>
          <w:rFonts w:hint="eastAsia" w:ascii="宋体" w:hAnsi="宋体" w:cs="宋体"/>
          <w:b/>
          <w:color w:val="auto"/>
          <w:kern w:val="0"/>
          <w:sz w:val="32"/>
          <w:szCs w:val="32"/>
          <w:highlight w:val="none"/>
        </w:rPr>
        <w:t xml:space="preserve">第三章  </w:t>
      </w:r>
      <w:r>
        <w:rPr>
          <w:rFonts w:hint="eastAsia" w:ascii="宋体" w:hAnsi="宋体" w:cs="宋体"/>
          <w:b/>
          <w:color w:val="auto"/>
          <w:kern w:val="0"/>
          <w:sz w:val="32"/>
          <w:szCs w:val="32"/>
          <w:highlight w:val="none"/>
          <w:lang w:eastAsia="zh-CN"/>
        </w:rPr>
        <w:t>监理服务需求</w:t>
      </w:r>
      <w:bookmarkEnd w:id="38"/>
    </w:p>
    <w:p>
      <w:pPr>
        <w:pageBreakBefore w:val="0"/>
        <w:kinsoku/>
        <w:wordWrap w:val="0"/>
        <w:topLinePunct w:val="0"/>
        <w:bidi w:val="0"/>
        <w:adjustRightInd w:val="0"/>
        <w:snapToGrid w:val="0"/>
        <w:spacing w:line="400" w:lineRule="exact"/>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　</w:t>
      </w:r>
    </w:p>
    <w:p>
      <w:pPr>
        <w:pageBreakBefore w:val="0"/>
        <w:kinsoku/>
        <w:wordWrap w:val="0"/>
        <w:topLinePunct w:val="0"/>
        <w:bidi w:val="0"/>
        <w:adjustRightInd w:val="0"/>
        <w:snapToGrid w:val="0"/>
        <w:spacing w:line="400" w:lineRule="exact"/>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Ⅰ、本项目所要执行的政府采购政策：</w:t>
      </w:r>
    </w:p>
    <w:p>
      <w:pPr>
        <w:pageBreakBefore w:val="0"/>
        <w:kinsoku/>
        <w:wordWrap w:val="0"/>
        <w:topLinePunct w:val="0"/>
        <w:bidi w:val="0"/>
        <w:adjustRightInd w:val="0"/>
        <w:snapToGrid w:val="0"/>
        <w:spacing w:line="400" w:lineRule="exact"/>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r>
        <w:rPr>
          <w:rFonts w:hint="eastAsia" w:ascii="宋体" w:hAnsi="宋体"/>
          <w:b/>
          <w:bCs/>
          <w:color w:val="auto"/>
          <w:kern w:val="0"/>
          <w:szCs w:val="21"/>
          <w:highlight w:val="none"/>
        </w:rPr>
        <w:t>1.</w:t>
      </w:r>
      <w:r>
        <w:rPr>
          <w:rFonts w:hint="eastAsia" w:ascii="宋体" w:hAnsi="宋体" w:cs="宋体"/>
          <w:b/>
          <w:bCs/>
          <w:color w:val="auto"/>
          <w:kern w:val="0"/>
          <w:szCs w:val="21"/>
          <w:highlight w:val="none"/>
        </w:rPr>
        <w:t>本项目</w:t>
      </w:r>
      <w:r>
        <w:rPr>
          <w:rFonts w:hint="eastAsia" w:ascii="宋体" w:hAnsi="宋体" w:cs="宋体"/>
          <w:b/>
          <w:bCs/>
          <w:color w:val="auto"/>
          <w:kern w:val="0"/>
          <w:szCs w:val="21"/>
          <w:highlight w:val="none"/>
          <w:lang w:eastAsia="zh-CN"/>
        </w:rPr>
        <w:t>非</w:t>
      </w:r>
      <w:r>
        <w:rPr>
          <w:rFonts w:hint="eastAsia" w:ascii="宋体" w:hAnsi="宋体" w:cs="宋体"/>
          <w:b/>
          <w:bCs/>
          <w:color w:val="auto"/>
          <w:kern w:val="0"/>
          <w:szCs w:val="21"/>
          <w:highlight w:val="none"/>
        </w:rPr>
        <w:t>专门面向小微企业采购。</w:t>
      </w:r>
    </w:p>
    <w:p>
      <w:pPr>
        <w:pageBreakBefore w:val="0"/>
        <w:kinsoku/>
        <w:wordWrap w:val="0"/>
        <w:topLinePunct w:val="0"/>
        <w:bidi w:val="0"/>
        <w:spacing w:line="400" w:lineRule="exac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 xml:space="preserve"> 2.根据财政部、司法部关于政府采购支持监狱企业发展有关问题的通知（财库[2014]68号），监狱企业视同小型、微型企业，享受预留份额、评审中价格扣除等政府采购政策。</w:t>
      </w:r>
    </w:p>
    <w:p>
      <w:pPr>
        <w:pageBreakBefore w:val="0"/>
        <w:kinsoku/>
        <w:wordWrap w:val="0"/>
        <w:topLinePunct w:val="0"/>
        <w:bidi w:val="0"/>
        <w:spacing w:line="400" w:lineRule="exac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 xml:space="preserve"> 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pPr>
        <w:pageBreakBefore w:val="0"/>
        <w:kinsoku/>
        <w:wordWrap w:val="0"/>
        <w:topLinePunct w:val="0"/>
        <w:bidi w:val="0"/>
        <w:spacing w:line="400" w:lineRule="exac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 xml:space="preserve"> 4.优先采购环境标志产品、节能产品。</w:t>
      </w:r>
    </w:p>
    <w:p>
      <w:pPr>
        <w:pageBreakBefore w:val="0"/>
        <w:kinsoku/>
        <w:wordWrap w:val="0"/>
        <w:topLinePunct w:val="0"/>
        <w:bidi w:val="0"/>
        <w:spacing w:line="400" w:lineRule="exac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 xml:space="preserve"> 5.本项目为服务采购项目，执行相应政府采购政策。</w:t>
      </w:r>
    </w:p>
    <w:p>
      <w:pPr>
        <w:pageBreakBefore w:val="0"/>
        <w:kinsoku/>
        <w:wordWrap w:val="0"/>
        <w:topLinePunct w:val="0"/>
        <w:bidi w:val="0"/>
        <w:spacing w:line="400" w:lineRule="exact"/>
        <w:ind w:firstLine="422"/>
        <w:jc w:val="left"/>
        <w:rPr>
          <w:rFonts w:ascii="宋体" w:hAnsi="宋体"/>
          <w:b/>
          <w:bCs/>
          <w:color w:val="auto"/>
          <w:kern w:val="0"/>
          <w:szCs w:val="21"/>
          <w:highlight w:val="none"/>
        </w:rPr>
      </w:pPr>
      <w:r>
        <w:rPr>
          <w:rFonts w:hint="eastAsia" w:ascii="宋体" w:hAnsi="宋体" w:cs="宋体"/>
          <w:b/>
          <w:bCs/>
          <w:color w:val="auto"/>
          <w:szCs w:val="21"/>
          <w:highlight w:val="none"/>
        </w:rPr>
        <w:t xml:space="preserve"> Ⅱ. 本项目标的所属行业</w:t>
      </w:r>
      <w:r>
        <w:rPr>
          <w:rFonts w:hint="eastAsia" w:ascii="宋体" w:hAnsi="宋体"/>
          <w:b/>
          <w:bCs/>
          <w:color w:val="auto"/>
          <w:kern w:val="0"/>
          <w:szCs w:val="21"/>
          <w:highlight w:val="none"/>
        </w:rPr>
        <w:t>：采购标的属于</w:t>
      </w:r>
      <w:r>
        <w:rPr>
          <w:rFonts w:hint="eastAsia" w:ascii="宋体" w:hAnsi="宋体"/>
          <w:b/>
          <w:bCs/>
          <w:color w:val="auto"/>
          <w:kern w:val="0"/>
          <w:szCs w:val="21"/>
          <w:highlight w:val="none"/>
          <w:lang w:eastAsia="zh-CN"/>
        </w:rPr>
        <w:t>其他未列明行业</w:t>
      </w:r>
      <w:r>
        <w:rPr>
          <w:rFonts w:hint="eastAsia" w:ascii="宋体" w:hAnsi="宋体"/>
          <w:b/>
          <w:bCs/>
          <w:color w:val="auto"/>
          <w:kern w:val="0"/>
          <w:szCs w:val="21"/>
          <w:highlight w:val="none"/>
        </w:rPr>
        <w:t>。</w:t>
      </w:r>
    </w:p>
    <w:p>
      <w:pPr>
        <w:pageBreakBefore w:val="0"/>
        <w:kinsoku/>
        <w:wordWrap w:val="0"/>
        <w:topLinePunct w:val="0"/>
        <w:bidi w:val="0"/>
        <w:spacing w:line="380" w:lineRule="exact"/>
        <w:ind w:firstLine="422"/>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 xml:space="preserve"> Ⅲ.</w:t>
      </w:r>
      <w:bookmarkStart w:id="39" w:name="_Toc8766"/>
      <w:bookmarkStart w:id="40" w:name="_Toc28093995"/>
      <w:bookmarkStart w:id="41" w:name="_Toc4647"/>
      <w:r>
        <w:rPr>
          <w:rFonts w:hint="eastAsia" w:ascii="宋体" w:hAnsi="宋体" w:cs="宋体"/>
          <w:b/>
          <w:bCs/>
          <w:color w:val="auto"/>
          <w:szCs w:val="21"/>
          <w:highlight w:val="none"/>
          <w:lang w:eastAsia="zh-CN"/>
        </w:rPr>
        <w:t>监理服务需求</w:t>
      </w:r>
    </w:p>
    <w:bookmarkEnd w:id="39"/>
    <w:bookmarkEnd w:id="40"/>
    <w:bookmarkEnd w:id="41"/>
    <w:p>
      <w:pPr>
        <w:pageBreakBefore w:val="0"/>
        <w:kinsoku/>
        <w:wordWrap w:val="0"/>
        <w:topLinePunct w:val="0"/>
        <w:bidi w:val="0"/>
        <w:spacing w:line="400" w:lineRule="exact"/>
        <w:ind w:firstLine="422"/>
        <w:rPr>
          <w:rFonts w:ascii="宋体" w:hAnsi="宋体"/>
          <w:b/>
          <w:bCs/>
          <w:color w:val="auto"/>
          <w:kern w:val="0"/>
          <w:szCs w:val="21"/>
          <w:highlight w:val="none"/>
        </w:rPr>
      </w:pPr>
      <w:r>
        <w:rPr>
          <w:rFonts w:hint="eastAsia" w:cs="宋体"/>
          <w:b/>
          <w:color w:val="auto"/>
          <w:szCs w:val="21"/>
          <w:highlight w:val="none"/>
        </w:rPr>
        <w:t xml:space="preserve"> 一、本项目采购标的为</w:t>
      </w:r>
      <w:r>
        <w:rPr>
          <w:rFonts w:hint="eastAsia" w:cs="宋体"/>
          <w:b/>
          <w:color w:val="auto"/>
          <w:szCs w:val="21"/>
          <w:highlight w:val="none"/>
          <w:lang w:eastAsia="zh-CN"/>
        </w:rPr>
        <w:t>桂林市秀峰区甲山村委老庙山等6处危岩地质灾害治理工程监理服务</w:t>
      </w:r>
      <w:r>
        <w:rPr>
          <w:rFonts w:hint="eastAsia" w:ascii="宋体" w:hAnsi="宋体"/>
          <w:b/>
          <w:bCs/>
          <w:color w:val="auto"/>
          <w:kern w:val="0"/>
          <w:szCs w:val="21"/>
          <w:highlight w:val="none"/>
        </w:rPr>
        <w:t>1项。</w:t>
      </w:r>
    </w:p>
    <w:p>
      <w:pPr>
        <w:ind w:firstLine="422" w:firstLineChars="200"/>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lang w:eastAsia="zh-CN"/>
        </w:rPr>
        <w:t>二</w:t>
      </w:r>
      <w:r>
        <w:rPr>
          <w:rFonts w:hint="eastAsia" w:ascii="宋体" w:hAnsi="宋体" w:eastAsia="宋体" w:cs="仿宋_GB2312"/>
          <w:b/>
          <w:color w:val="auto"/>
          <w:szCs w:val="21"/>
          <w:highlight w:val="none"/>
          <w:lang w:val="en-US" w:eastAsia="zh-CN"/>
        </w:rPr>
        <w:t xml:space="preserve"> </w:t>
      </w:r>
      <w:r>
        <w:rPr>
          <w:rFonts w:hint="eastAsia" w:ascii="宋体" w:hAnsi="宋体" w:eastAsia="宋体" w:cs="仿宋_GB2312"/>
          <w:b/>
          <w:color w:val="auto"/>
          <w:szCs w:val="21"/>
          <w:highlight w:val="none"/>
        </w:rPr>
        <w:t>、项目概况</w:t>
      </w:r>
    </w:p>
    <w:p>
      <w:pPr>
        <w:spacing w:line="34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szCs w:val="21"/>
          <w:highlight w:val="none"/>
        </w:rPr>
        <w:t>1、监理服务内容：</w:t>
      </w:r>
      <w:r>
        <w:rPr>
          <w:rFonts w:hint="eastAsia" w:ascii="宋体" w:hAnsi="宋体" w:eastAsia="宋体" w:cs="宋体"/>
          <w:bCs/>
          <w:color w:val="auto"/>
          <w:szCs w:val="21"/>
          <w:highlight w:val="none"/>
          <w:lang w:val="en-US" w:eastAsia="zh-CN"/>
        </w:rPr>
        <w:t>桂林市秀峰区甲山村委老庙山等6处危岩地质灾害治理工程监理服务</w:t>
      </w:r>
      <w:r>
        <w:rPr>
          <w:rFonts w:hint="eastAsia" w:ascii="宋体" w:hAnsi="宋体" w:eastAsia="宋体" w:cs="Times New Roman"/>
          <w:color w:val="auto"/>
          <w:szCs w:val="21"/>
          <w:highlight w:val="none"/>
        </w:rPr>
        <w:t>。</w:t>
      </w:r>
    </w:p>
    <w:p>
      <w:pPr>
        <w:spacing w:line="340" w:lineRule="exact"/>
        <w:ind w:firstLine="48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建设地点：桂林市</w:t>
      </w:r>
      <w:r>
        <w:rPr>
          <w:rFonts w:hint="eastAsia" w:ascii="宋体" w:hAnsi="宋体" w:eastAsia="宋体" w:cs="宋体"/>
          <w:bCs/>
          <w:color w:val="auto"/>
          <w:szCs w:val="21"/>
          <w:highlight w:val="none"/>
          <w:lang w:val="en-US" w:eastAsia="zh-CN"/>
        </w:rPr>
        <w:t xml:space="preserve"> </w:t>
      </w:r>
    </w:p>
    <w:p>
      <w:pPr>
        <w:spacing w:line="340" w:lineRule="exact"/>
        <w:ind w:firstLine="48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建设规模：</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1"/>
        <w:gridCol w:w="843"/>
        <w:gridCol w:w="676"/>
        <w:gridCol w:w="550"/>
        <w:gridCol w:w="805"/>
        <w:gridCol w:w="805"/>
        <w:gridCol w:w="384"/>
        <w:gridCol w:w="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主要工程规模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静态破碎清除危岩工程/m</w:t>
            </w:r>
            <w:r>
              <w:rPr>
                <w:rFonts w:hint="eastAsia" w:ascii="宋体" w:hAnsi="宋体" w:eastAsia="宋体" w:cs="宋体"/>
                <w:b/>
                <w:bCs/>
                <w:color w:val="auto"/>
                <w:sz w:val="21"/>
                <w:szCs w:val="21"/>
                <w:highlight w:val="none"/>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人工清除危岩/m</w:t>
            </w:r>
            <w:r>
              <w:rPr>
                <w:rFonts w:hint="eastAsia" w:ascii="宋体" w:hAnsi="宋体" w:eastAsia="宋体" w:cs="宋体"/>
                <w:b/>
                <w:bCs/>
                <w:color w:val="auto"/>
                <w:sz w:val="21"/>
                <w:szCs w:val="21"/>
                <w:highlight w:val="none"/>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布设主动防护网网固/m</w:t>
            </w:r>
            <w:r>
              <w:rPr>
                <w:rFonts w:hint="eastAsia" w:ascii="宋体" w:hAnsi="宋体" w:eastAsia="宋体" w:cs="宋体"/>
                <w:b/>
                <w:bCs/>
                <w:color w:val="auto"/>
                <w:sz w:val="21"/>
                <w:szCs w:val="21"/>
                <w:highlight w:val="none"/>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PPS-200型被动防护网/m</w:t>
            </w:r>
            <w:r>
              <w:rPr>
                <w:rFonts w:hint="eastAsia" w:ascii="宋体" w:hAnsi="宋体" w:eastAsia="宋体" w:cs="宋体"/>
                <w:b/>
                <w:bCs/>
                <w:color w:val="auto"/>
                <w:sz w:val="21"/>
                <w:szCs w:val="21"/>
                <w:highlight w:val="none"/>
                <w:u w:val="none"/>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PPS-300型被动防护网/m</w:t>
            </w:r>
            <w:r>
              <w:rPr>
                <w:rFonts w:hint="eastAsia" w:ascii="宋体" w:hAnsi="宋体" w:eastAsia="宋体" w:cs="宋体"/>
                <w:b/>
                <w:bCs/>
                <w:color w:val="auto"/>
                <w:sz w:val="21"/>
                <w:szCs w:val="21"/>
                <w:highlight w:val="none"/>
                <w:u w:val="none"/>
                <w:lang w:val="en-US" w:eastAsia="zh-CN" w:bidi="ar"/>
              </w:rPr>
              <w:t>²</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索道/处</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砼支撑/m</w:t>
            </w:r>
            <w:r>
              <w:rPr>
                <w:rFonts w:hint="eastAsia" w:ascii="宋体" w:hAnsi="宋体" w:eastAsia="宋体" w:cs="宋体"/>
                <w:b/>
                <w:bCs/>
                <w:color w:val="auto"/>
                <w:sz w:val="21"/>
                <w:szCs w:val="21"/>
                <w:highlight w:val="none"/>
                <w:u w:val="none"/>
                <w:lang w:val="en-US" w:eastAsia="zh-CN" w:bidi="ar"/>
              </w:rPr>
              <w:t>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桂林市象山区中共市委党校危岩地质灾害治理工程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桂林市象山区二塘乡四合村委四合小学及下月屯危岩地质灾害治理工程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4357.822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桂林市七星区东江街道漓江村社区辅星山危岩地质灾害治理工程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984.43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桂林市秀峰区甲山村委老庙山危岩地质灾害治理工程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桂林市秀峰区甲山街道办事处官桥村扁山危岩地质灾害治理工程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桂林市叠彩区叠彩山仙鹤峰、四望山、于越山危岩地质灾害治理工程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3.25</w:t>
            </w:r>
          </w:p>
        </w:tc>
      </w:tr>
    </w:tbl>
    <w:p>
      <w:pPr>
        <w:spacing w:line="340" w:lineRule="exact"/>
        <w:ind w:firstLine="480"/>
        <w:rPr>
          <w:rFonts w:hint="eastAsia" w:ascii="Calibri" w:hAnsi="Calibri" w:eastAsia="宋体" w:cs="Times New Roman"/>
          <w:color w:val="auto"/>
          <w:highlight w:val="none"/>
        </w:rPr>
      </w:pP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Cs w:val="21"/>
          <w:highlight w:val="none"/>
          <w:lang w:val="en-US" w:eastAsia="zh-CN"/>
        </w:rPr>
        <w:t>、</w:t>
      </w:r>
      <w:r>
        <w:rPr>
          <w:rFonts w:hint="eastAsia" w:ascii="宋体" w:hAnsi="宋体" w:cs="宋体"/>
          <w:bCs/>
          <w:color w:val="auto"/>
          <w:szCs w:val="21"/>
          <w:highlight w:val="none"/>
          <w:lang w:val="en-US" w:eastAsia="zh-CN"/>
        </w:rPr>
        <w:t>监理服务期:所有项目开工之日起至全部6个项目通过终验收止</w:t>
      </w:r>
      <w:r>
        <w:rPr>
          <w:rFonts w:hint="eastAsia" w:ascii="宋体" w:hAnsi="宋体" w:eastAsia="宋体" w:cs="宋体"/>
          <w:bCs/>
          <w:color w:val="auto"/>
          <w:szCs w:val="21"/>
          <w:highlight w:val="none"/>
          <w:lang w:eastAsia="zh-CN"/>
        </w:rPr>
        <w:t>；</w:t>
      </w:r>
    </w:p>
    <w:p>
      <w:pPr>
        <w:spacing w:line="340" w:lineRule="exact"/>
        <w:ind w:firstLine="48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、质量要求：合格。</w:t>
      </w:r>
    </w:p>
    <w:p>
      <w:pPr>
        <w:spacing w:line="340" w:lineRule="exact"/>
        <w:ind w:firstLine="48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、技术标准规范：按国家相关标准规范执行</w:t>
      </w:r>
      <w:r>
        <w:rPr>
          <w:rFonts w:hint="eastAsia" w:ascii="宋体" w:hAnsi="宋体" w:cs="宋体"/>
          <w:bCs/>
          <w:color w:val="auto"/>
          <w:szCs w:val="21"/>
          <w:highlight w:val="none"/>
          <w:lang w:eastAsia="zh-CN"/>
        </w:rPr>
        <w:t>。</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lang w:eastAsia="zh-CN"/>
        </w:rPr>
        <w:t>三</w:t>
      </w:r>
      <w:r>
        <w:rPr>
          <w:rFonts w:hint="eastAsia" w:ascii="宋体" w:hAnsi="宋体" w:eastAsia="宋体" w:cs="宋体"/>
          <w:b/>
          <w:bCs w:val="0"/>
          <w:color w:val="auto"/>
          <w:szCs w:val="21"/>
          <w:highlight w:val="none"/>
        </w:rPr>
        <w:t>、监理方式</w:t>
      </w:r>
      <w:r>
        <w:rPr>
          <w:rFonts w:hint="eastAsia" w:ascii="宋体" w:hAnsi="宋体" w:eastAsia="宋体" w:cs="宋体"/>
          <w:bCs/>
          <w:color w:val="auto"/>
          <w:szCs w:val="21"/>
          <w:highlight w:val="none"/>
        </w:rPr>
        <w:t>：采用旁站、巡视、平行检验、见证取样等监理方式。</w:t>
      </w:r>
    </w:p>
    <w:p>
      <w:pPr>
        <w:spacing w:line="500" w:lineRule="exact"/>
        <w:ind w:firstLine="482"/>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lang w:eastAsia="zh-CN"/>
        </w:rPr>
        <w:t>四</w:t>
      </w:r>
      <w:r>
        <w:rPr>
          <w:rFonts w:hint="eastAsia" w:ascii="宋体" w:hAnsi="宋体" w:eastAsia="宋体" w:cs="宋体"/>
          <w:b/>
          <w:bCs/>
          <w:color w:val="auto"/>
          <w:szCs w:val="21"/>
          <w:highlight w:val="none"/>
        </w:rPr>
        <w:t>、监理内容：</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（1）工程建设的质量控制；</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（2）工程建设的进度控制；</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（3）工程建设的投资控制；</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（4）工程建设中的合同管理；</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（5）工程建设中的信息管理；</w:t>
      </w:r>
    </w:p>
    <w:p>
      <w:pPr>
        <w:spacing w:line="340" w:lineRule="exact"/>
        <w:ind w:firstLine="480"/>
        <w:rPr>
          <w:rFonts w:ascii="宋体" w:hAnsi="宋体" w:eastAsia="宋体" w:cs="宋体"/>
          <w:bCs/>
          <w:color w:val="auto"/>
          <w:szCs w:val="21"/>
          <w:highlight w:val="none"/>
        </w:rPr>
      </w:pPr>
      <w:r>
        <w:rPr>
          <w:rFonts w:hint="eastAsia" w:ascii="宋体" w:hAnsi="宋体" w:eastAsia="宋体" w:cs="宋体"/>
          <w:bCs/>
          <w:color w:val="auto"/>
          <w:szCs w:val="21"/>
          <w:highlight w:val="none"/>
        </w:rPr>
        <w:t>（6）工程建设中的协调工作。</w:t>
      </w:r>
    </w:p>
    <w:p>
      <w:pPr>
        <w:spacing w:line="340" w:lineRule="exact"/>
        <w:ind w:firstLine="420" w:firstLineChars="200"/>
        <w:rPr>
          <w:rFonts w:hint="eastAsia" w:ascii="宋体" w:hAnsi="宋体" w:eastAsia="宋体" w:cs="宋体"/>
          <w:bCs/>
          <w:color w:val="auto"/>
          <w:szCs w:val="21"/>
          <w:highlight w:val="none"/>
        </w:rPr>
      </w:pPr>
      <w:r>
        <w:rPr>
          <w:rFonts w:ascii="宋体" w:hAnsi="宋体" w:eastAsia="宋体" w:cs="宋体"/>
          <w:bCs/>
          <w:color w:val="auto"/>
          <w:szCs w:val="21"/>
          <w:highlight w:val="none"/>
        </w:rPr>
        <w:t>(7)</w:t>
      </w:r>
      <w:r>
        <w:rPr>
          <w:rFonts w:hint="eastAsia" w:ascii="宋体" w:hAnsi="宋体" w:eastAsia="宋体" w:cs="宋体"/>
          <w:bCs/>
          <w:color w:val="auto"/>
          <w:szCs w:val="21"/>
          <w:highlight w:val="none"/>
        </w:rPr>
        <w:t>施工安全与环境保护监理。</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(一)设计方面</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1、核查并签发施工图，发现问题向委托人反映，重大问题向委托人</w:t>
      </w:r>
      <w:r>
        <w:rPr>
          <w:rFonts w:hint="eastAsia" w:ascii="宋体" w:hAnsi="宋体" w:eastAsia="宋体" w:cs="宋体"/>
          <w:bCs/>
          <w:color w:val="auto"/>
          <w:szCs w:val="21"/>
          <w:highlight w:val="none"/>
          <w:lang w:eastAsia="zh-CN"/>
        </w:rPr>
        <w:t>作</w:t>
      </w:r>
      <w:r>
        <w:rPr>
          <w:rFonts w:hint="eastAsia" w:ascii="宋体" w:hAnsi="宋体" w:eastAsia="宋体" w:cs="宋体"/>
          <w:bCs/>
          <w:color w:val="auto"/>
          <w:szCs w:val="21"/>
          <w:highlight w:val="none"/>
        </w:rPr>
        <w:t>专题报告。</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2、主持或与委托人联合主持设计技术交底会议，编写会议纪要。</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3、协助委托人会同设计人对重大技术问题和优化设计进行专题讨论。</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4、审核承包人对施工图的意见和建议，协助委托人会同设计人进行研究。</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5、其他相关业务。</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(二)施工方面</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1、协助委托人进行工程施工招标和签订工程施工合同。</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2、全面管理工程施工合同，审查承包人选择的分包单位，并报委托人批准。</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3、督促委托人按工程施工合同的约定，落实必须提供的施工条件；检查承包人的开工准备工作。</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4、审核按工程施工合同文件约定应由承包人提交的设计文件。</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5、审查承包人提交的施工组织设计、施工进度计划、施工措施计划；审核工艺试验成果等。</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材料、建筑构配件、中间产品进行跟踪检测和平行检测，复核承包人自评的工程质量等级；审核承包人提出的工程质量缺陷处理方案，参与调查质量事故。</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8、资金控制。协助委托人编制付款计划；审查承包人提交的资金流计划；核定承包人完成的工程量，审核承包人提交的支付申请，签发付款凭证；受理索赔申请，提出处理建议意见；处理工程变更。</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9、施工安全与环境保护控制。审查承包人提出的安全技术措施、环境保护技术措施、专项施工方案，并检查实施情况；参与安全事故调查。</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10、协调施工合同各方之间的关系。</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11、按有关规定参加工程验收，负责完成监理资料的汇总、整理，协助委托人检查承包人的合同执行情况；做好验收的各项准备工作或者配合工作，提供工程监理资料，提交监理工作报告。 </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12、档案管理。做好施工现场的监理记录与信息反馈，做好监理文档管理工作，合同期限届满时按照档案管理要求整理、归档并移交委托人。</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13、监督承包人执行保修期工作计划，检查和验收尾工项目，对已移交工程中出现的质量缺陷等调查原因并提出处理意见。</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14、按照委托人签订的工程保险合同，做好施工现场工程保险合同的管理。协助委托人向保险公司及时提供一切必要的材料和证据。</w:t>
      </w:r>
    </w:p>
    <w:p>
      <w:pPr>
        <w:spacing w:line="34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15、其他相关工作。</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lang w:eastAsia="zh-CN"/>
        </w:rPr>
        <w:t>五、</w:t>
      </w:r>
      <w:r>
        <w:rPr>
          <w:rFonts w:ascii="宋体" w:hAnsi="宋体"/>
          <w:b/>
          <w:bCs/>
          <w:color w:val="auto"/>
          <w:szCs w:val="21"/>
          <w:highlight w:val="none"/>
        </w:rPr>
        <w:t>付款方式：</w:t>
      </w:r>
    </w:p>
    <w:p>
      <w:pPr>
        <w:spacing w:line="400" w:lineRule="exact"/>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1.本工程监理费预付款为：合同价的20%，在本监理合同签订后7日内由采购人支付给成交供应商。</w:t>
      </w:r>
    </w:p>
    <w:p>
      <w:pPr>
        <w:spacing w:line="400" w:lineRule="exact"/>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2.在监理合同已签订，监理人员进场并正常开展监理业务且工程主体工程完成后，7日内向成交供应商支付监理合同价的40%。</w:t>
      </w:r>
      <w:bookmarkStart w:id="62" w:name="_GoBack"/>
      <w:bookmarkEnd w:id="62"/>
    </w:p>
    <w:p>
      <w:pPr>
        <w:spacing w:line="400" w:lineRule="exact"/>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3.在工程通过竣工验收后，成交供应商提供合法的正式发票后的30日内</w:t>
      </w:r>
      <w:r>
        <w:rPr>
          <w:rFonts w:hint="eastAsia" w:ascii="宋体" w:hAnsi="宋体" w:cs="宋体"/>
          <w:b w:val="0"/>
          <w:bCs w:val="0"/>
          <w:color w:val="auto"/>
          <w:kern w:val="0"/>
          <w:sz w:val="21"/>
          <w:szCs w:val="21"/>
          <w:highlight w:val="none"/>
          <w:lang w:val="en-US" w:eastAsia="zh-CN" w:bidi="ar-SA"/>
        </w:rPr>
        <w:t>，采购人</w:t>
      </w:r>
      <w:r>
        <w:rPr>
          <w:rFonts w:hint="eastAsia" w:ascii="宋体" w:hAnsi="宋体" w:eastAsia="宋体" w:cs="宋体"/>
          <w:b w:val="0"/>
          <w:bCs w:val="0"/>
          <w:color w:val="auto"/>
          <w:kern w:val="0"/>
          <w:sz w:val="21"/>
          <w:szCs w:val="21"/>
          <w:highlight w:val="none"/>
          <w:lang w:val="en-US" w:eastAsia="zh-CN" w:bidi="ar-SA"/>
        </w:rPr>
        <w:t>向成交供应商支付监理合同价的40%（无息）。</w:t>
      </w:r>
    </w:p>
    <w:p>
      <w:pPr>
        <w:pageBreakBefore w:val="0"/>
        <w:kinsoku/>
        <w:wordWrap w:val="0"/>
        <w:topLinePunct w:val="0"/>
        <w:bidi w:val="0"/>
        <w:spacing w:line="400" w:lineRule="exact"/>
        <w:ind w:firstLine="422"/>
        <w:rPr>
          <w:color w:val="auto"/>
          <w:highlight w:val="none"/>
        </w:rPr>
      </w:pPr>
      <w:r>
        <w:rPr>
          <w:rFonts w:hint="eastAsia" w:ascii="宋体" w:hAnsi="宋体" w:eastAsia="宋体" w:cs="宋体"/>
          <w:b/>
          <w:bCs/>
          <w:color w:val="auto"/>
          <w:spacing w:val="-2"/>
          <w:sz w:val="21"/>
          <w:szCs w:val="21"/>
          <w:highlight w:val="none"/>
          <w:lang w:eastAsia="zh-CN"/>
        </w:rPr>
        <w:t>六、</w:t>
      </w:r>
      <w:r>
        <w:rPr>
          <w:rFonts w:ascii="宋体" w:hAnsi="宋体" w:eastAsia="宋体" w:cs="宋体"/>
          <w:b/>
          <w:bCs/>
          <w:color w:val="auto"/>
          <w:spacing w:val="-2"/>
          <w:sz w:val="21"/>
          <w:szCs w:val="21"/>
          <w:highlight w:val="none"/>
        </w:rPr>
        <w:t>其他要求</w:t>
      </w:r>
    </w:p>
    <w:p>
      <w:pPr>
        <w:pageBreakBefore w:val="0"/>
        <w:kinsoku/>
        <w:wordWrap w:val="0"/>
        <w:topLinePunct w:val="0"/>
        <w:bidi w:val="0"/>
        <w:spacing w:line="400" w:lineRule="exact"/>
        <w:ind w:firstLine="420" w:firstLineChars="200"/>
        <w:rPr>
          <w:rFonts w:hint="eastAsia" w:ascii="宋体" w:hAnsi="宋体"/>
          <w:b w:val="0"/>
          <w:bCs/>
          <w:color w:val="auto"/>
          <w:kern w:val="0"/>
          <w:szCs w:val="21"/>
          <w:highlight w:val="none"/>
        </w:rPr>
      </w:pPr>
      <w:r>
        <w:rPr>
          <w:rFonts w:hint="eastAsia" w:ascii="宋体" w:hAnsi="宋体"/>
          <w:b w:val="0"/>
          <w:bCs/>
          <w:color w:val="auto"/>
          <w:kern w:val="0"/>
          <w:szCs w:val="21"/>
          <w:highlight w:val="none"/>
        </w:rPr>
        <w:t>1.本项目所有投标产生的费用均由供应商自行承担。</w:t>
      </w:r>
    </w:p>
    <w:p>
      <w:pPr>
        <w:pageBreakBefore w:val="0"/>
        <w:kinsoku/>
        <w:wordWrap w:val="0"/>
        <w:topLinePunct w:val="0"/>
        <w:bidi w:val="0"/>
        <w:spacing w:line="400" w:lineRule="exact"/>
        <w:ind w:firstLine="420" w:firstLineChars="200"/>
        <w:rPr>
          <w:rFonts w:hint="eastAsia" w:ascii="宋体" w:hAnsi="宋体"/>
          <w:b w:val="0"/>
          <w:bCs/>
          <w:color w:val="auto"/>
          <w:kern w:val="0"/>
          <w:szCs w:val="21"/>
          <w:highlight w:val="none"/>
        </w:rPr>
      </w:pPr>
      <w:r>
        <w:rPr>
          <w:rFonts w:hint="eastAsia" w:ascii="宋体" w:hAnsi="宋体"/>
          <w:b w:val="0"/>
          <w:bCs/>
          <w:color w:val="auto"/>
          <w:kern w:val="0"/>
          <w:szCs w:val="21"/>
          <w:highlight w:val="none"/>
          <w:lang w:val="en-US" w:eastAsia="zh-CN"/>
        </w:rPr>
        <w:t>2.</w:t>
      </w:r>
      <w:r>
        <w:rPr>
          <w:rFonts w:hint="eastAsia" w:ascii="宋体" w:hAnsi="宋体"/>
          <w:b w:val="0"/>
          <w:bCs/>
          <w:color w:val="auto"/>
          <w:kern w:val="0"/>
          <w:szCs w:val="21"/>
          <w:highlight w:val="none"/>
          <w:lang w:eastAsia="zh-CN"/>
        </w:rPr>
        <w:t>供应商</w:t>
      </w:r>
      <w:r>
        <w:rPr>
          <w:rFonts w:hint="eastAsia" w:ascii="宋体" w:hAnsi="宋体"/>
          <w:b w:val="0"/>
          <w:bCs/>
          <w:color w:val="auto"/>
          <w:kern w:val="0"/>
          <w:szCs w:val="21"/>
          <w:highlight w:val="none"/>
        </w:rPr>
        <w:t>的</w:t>
      </w:r>
      <w:r>
        <w:rPr>
          <w:rFonts w:hint="eastAsia" w:ascii="宋体" w:hAnsi="宋体"/>
          <w:b w:val="0"/>
          <w:bCs/>
          <w:color w:val="auto"/>
          <w:kern w:val="0"/>
          <w:szCs w:val="21"/>
          <w:highlight w:val="none"/>
          <w:lang w:eastAsia="zh-CN"/>
        </w:rPr>
        <w:t>投标</w:t>
      </w:r>
      <w:r>
        <w:rPr>
          <w:rFonts w:hint="eastAsia" w:ascii="宋体" w:hAnsi="宋体"/>
          <w:b w:val="0"/>
          <w:bCs/>
          <w:color w:val="auto"/>
          <w:kern w:val="0"/>
          <w:szCs w:val="21"/>
          <w:highlight w:val="none"/>
        </w:rPr>
        <w:t>报价应包括完成本次采购范围内</w:t>
      </w:r>
      <w:r>
        <w:rPr>
          <w:rFonts w:hint="eastAsia" w:ascii="宋体" w:hAnsi="宋体"/>
          <w:b w:val="0"/>
          <w:bCs/>
          <w:color w:val="auto"/>
          <w:kern w:val="0"/>
          <w:szCs w:val="21"/>
          <w:highlight w:val="none"/>
          <w:lang w:eastAsia="zh-CN"/>
        </w:rPr>
        <w:t>全部监理工作所需的劳务费、技术服务费、交通、通讯、保险、税费、利润、管理政策性规定费用等一切费用</w:t>
      </w:r>
      <w:r>
        <w:rPr>
          <w:rFonts w:hint="eastAsia" w:ascii="宋体" w:hAnsi="宋体"/>
          <w:b w:val="0"/>
          <w:bCs/>
          <w:color w:val="auto"/>
          <w:kern w:val="0"/>
          <w:szCs w:val="21"/>
          <w:highlight w:val="none"/>
        </w:rPr>
        <w:t>，</w:t>
      </w:r>
      <w:r>
        <w:rPr>
          <w:rFonts w:hint="eastAsia" w:ascii="宋体" w:hAnsi="宋体"/>
          <w:b w:val="0"/>
          <w:bCs/>
          <w:color w:val="auto"/>
          <w:kern w:val="0"/>
          <w:szCs w:val="21"/>
          <w:highlight w:val="none"/>
          <w:lang w:eastAsia="zh-CN"/>
        </w:rPr>
        <w:t>供应商</w:t>
      </w:r>
      <w:r>
        <w:rPr>
          <w:rFonts w:hint="eastAsia" w:ascii="宋体" w:hAnsi="宋体"/>
          <w:b w:val="0"/>
          <w:bCs/>
          <w:color w:val="auto"/>
          <w:kern w:val="0"/>
          <w:szCs w:val="21"/>
          <w:highlight w:val="none"/>
        </w:rPr>
        <w:t>应该结合自身成本、费用水平、市场行情合理报价。</w:t>
      </w:r>
    </w:p>
    <w:p>
      <w:pPr>
        <w:pageBreakBefore w:val="0"/>
        <w:kinsoku/>
        <w:wordWrap w:val="0"/>
        <w:topLinePunct w:val="0"/>
        <w:bidi w:val="0"/>
        <w:spacing w:line="400" w:lineRule="exact"/>
        <w:ind w:firstLine="422"/>
        <w:rPr>
          <w:rFonts w:hint="eastAsia" w:ascii="宋体" w:hAnsi="宋体" w:cs="宋体"/>
          <w:b/>
          <w:color w:val="auto"/>
          <w:kern w:val="0"/>
          <w:sz w:val="32"/>
          <w:highlight w:val="none"/>
        </w:rPr>
      </w:pPr>
      <w:r>
        <w:rPr>
          <w:rFonts w:hint="eastAsia" w:ascii="宋体" w:hAnsi="宋体"/>
          <w:b/>
          <w:color w:val="auto"/>
          <w:kern w:val="0"/>
          <w:szCs w:val="21"/>
          <w:highlight w:val="none"/>
          <w:lang w:eastAsia="zh-CN"/>
        </w:rPr>
        <w:t>七</w:t>
      </w:r>
      <w:r>
        <w:rPr>
          <w:rFonts w:hint="eastAsia" w:ascii="宋体" w:hAnsi="宋体"/>
          <w:b/>
          <w:color w:val="auto"/>
          <w:kern w:val="0"/>
          <w:szCs w:val="21"/>
          <w:highlight w:val="none"/>
        </w:rPr>
        <w:t>、本项目政府采购预算金额为（人民币）：</w:t>
      </w:r>
      <w:r>
        <w:rPr>
          <w:rFonts w:hint="eastAsia" w:hAnsi="宋体"/>
          <w:b/>
          <w:bCs/>
          <w:color w:val="auto"/>
          <w:szCs w:val="21"/>
          <w:highlight w:val="none"/>
          <w:lang w:eastAsia="zh-CN"/>
        </w:rPr>
        <w:t>壹佰叁拾壹万零贰佰壹拾肆元零贰分</w:t>
      </w:r>
      <w:r>
        <w:rPr>
          <w:rFonts w:hint="eastAsia" w:ascii="宋体" w:hAnsi="宋体"/>
          <w:b/>
          <w:bCs/>
          <w:color w:val="auto"/>
          <w:szCs w:val="21"/>
          <w:highlight w:val="none"/>
        </w:rPr>
        <w:t>（¥</w:t>
      </w:r>
      <w:r>
        <w:rPr>
          <w:rFonts w:hint="eastAsia" w:ascii="宋体" w:hAnsi="宋体"/>
          <w:b/>
          <w:bCs/>
          <w:color w:val="auto"/>
          <w:szCs w:val="21"/>
          <w:highlight w:val="none"/>
          <w:lang w:eastAsia="zh-CN"/>
        </w:rPr>
        <w:t>1310214.02</w:t>
      </w:r>
      <w:r>
        <w:rPr>
          <w:rFonts w:hint="eastAsia" w:ascii="宋体" w:hAnsi="宋体"/>
          <w:b/>
          <w:bCs/>
          <w:color w:val="auto"/>
          <w:szCs w:val="21"/>
          <w:highlight w:val="none"/>
        </w:rPr>
        <w:t>）</w:t>
      </w:r>
      <w:r>
        <w:rPr>
          <w:rFonts w:hint="eastAsia" w:ascii="宋体" w:hAnsi="宋体"/>
          <w:b/>
          <w:color w:val="auto"/>
          <w:kern w:val="0"/>
          <w:szCs w:val="21"/>
          <w:highlight w:val="none"/>
        </w:rPr>
        <w:t>，超出政府采购预算金额的报价，响应文件将被视为无效处理。</w:t>
      </w:r>
      <w:r>
        <w:rPr>
          <w:rFonts w:hint="eastAsia" w:ascii="宋体" w:hAnsi="宋体" w:cs="宋体"/>
          <w:b/>
          <w:color w:val="auto"/>
          <w:kern w:val="0"/>
          <w:sz w:val="32"/>
          <w:highlight w:val="none"/>
        </w:rPr>
        <w:br w:type="page"/>
      </w:r>
    </w:p>
    <w:p>
      <w:pPr>
        <w:pageBreakBefore w:val="0"/>
        <w:kinsoku/>
        <w:wordWrap w:val="0"/>
        <w:topLinePunct w:val="0"/>
        <w:bidi w:val="0"/>
        <w:spacing w:line="360" w:lineRule="exact"/>
        <w:ind w:firstLine="643"/>
        <w:jc w:val="center"/>
        <w:outlineLvl w:val="0"/>
        <w:rPr>
          <w:rFonts w:ascii="宋体" w:hAnsi="宋体" w:cs="宋体"/>
          <w:b/>
          <w:color w:val="auto"/>
          <w:kern w:val="0"/>
          <w:sz w:val="32"/>
          <w:szCs w:val="32"/>
          <w:highlight w:val="none"/>
        </w:rPr>
      </w:pPr>
      <w:bookmarkStart w:id="42" w:name="_Toc24729"/>
      <w:r>
        <w:rPr>
          <w:rFonts w:hint="eastAsia" w:ascii="宋体" w:hAnsi="宋体" w:cs="宋体"/>
          <w:b/>
          <w:color w:val="auto"/>
          <w:kern w:val="0"/>
          <w:sz w:val="32"/>
          <w:highlight w:val="none"/>
        </w:rPr>
        <w:t xml:space="preserve">第四章  </w:t>
      </w:r>
      <w:r>
        <w:rPr>
          <w:rFonts w:hint="eastAsia" w:ascii="宋体" w:hAnsi="宋体" w:cs="宋体"/>
          <w:b/>
          <w:color w:val="auto"/>
          <w:kern w:val="0"/>
          <w:sz w:val="32"/>
          <w:szCs w:val="32"/>
          <w:highlight w:val="none"/>
        </w:rPr>
        <w:t>评审办法</w:t>
      </w:r>
      <w:bookmarkEnd w:id="42"/>
    </w:p>
    <w:p>
      <w:pPr>
        <w:spacing w:line="400" w:lineRule="exact"/>
        <w:ind w:firstLine="640" w:firstLineChars="200"/>
        <w:jc w:val="center"/>
        <w:rPr>
          <w:rFonts w:ascii="宋体" w:hAnsi="宋体" w:cs="宋体"/>
          <w:color w:val="auto"/>
          <w:sz w:val="32"/>
          <w:szCs w:val="32"/>
          <w:highlight w:val="none"/>
        </w:rPr>
      </w:pPr>
    </w:p>
    <w:p>
      <w:pPr>
        <w:spacing w:line="32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一、评审依据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 评审依据：磋商小组以磋商文件和响应文件为评审依据，对供应商的响应文件进行评审。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 评审方式：以封闭方式进行评审。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3.采购人和采购代理机构、竞争性磋商小组成员要严格遵守政府采购相关法律制度，依法履行各自职责，公正、客观、审慎地组织和参与评审工作。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二、评审办法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（一）对进入详评的，采用</w:t>
      </w:r>
      <w:r>
        <w:rPr>
          <w:rFonts w:hint="eastAsia" w:ascii="宋体" w:hAnsi="宋体" w:cs="宋体"/>
          <w:b/>
          <w:bCs/>
          <w:color w:val="auto"/>
          <w:szCs w:val="21"/>
          <w:highlight w:val="none"/>
        </w:rPr>
        <w:t>综合评分法</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（二）计分办法（按四舍五入取至小数点后二位）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color w:val="auto"/>
          <w:szCs w:val="21"/>
          <w:highlight w:val="none"/>
        </w:rPr>
      </w:pPr>
      <w:r>
        <w:rPr>
          <w:rFonts w:hint="eastAsia" w:ascii="宋体" w:hAnsi="宋体" w:cs="宋体"/>
          <w:b/>
          <w:bCs/>
          <w:color w:val="auto"/>
          <w:szCs w:val="21"/>
          <w:highlight w:val="none"/>
        </w:rPr>
        <w:t>1、价格分……………………………………………………………………………………10分</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kern w:val="0"/>
          <w:szCs w:val="21"/>
          <w:highlight w:val="none"/>
        </w:rPr>
        <w:t>根据</w:t>
      </w:r>
      <w:r>
        <w:rPr>
          <w:rFonts w:hint="eastAsia" w:hAnsi="宋体" w:cs="宋体"/>
          <w:bCs/>
          <w:color w:val="auto"/>
          <w:szCs w:val="21"/>
          <w:highlight w:val="none"/>
        </w:rPr>
        <w:t>《政府采购促进中小企业发展管理办法》（财库〔2020〕46号）</w:t>
      </w:r>
      <w:r>
        <w:rPr>
          <w:rFonts w:hint="eastAsia" w:hAnsi="宋体" w:cs="宋体"/>
          <w:color w:val="auto"/>
          <w:kern w:val="0"/>
          <w:szCs w:val="21"/>
          <w:highlight w:val="none"/>
        </w:rPr>
        <w:t>，承接本项目服务的供应商认定为小型、微型企业，其最后报价给予</w:t>
      </w:r>
      <w:r>
        <w:rPr>
          <w:rFonts w:hint="eastAsia" w:hAnsi="宋体" w:cs="宋体"/>
          <w:color w:val="auto"/>
          <w:kern w:val="0"/>
          <w:szCs w:val="21"/>
          <w:highlight w:val="none"/>
          <w:lang w:val="en-US" w:eastAsia="zh-CN"/>
        </w:rPr>
        <w:t>2</w:t>
      </w:r>
      <w:r>
        <w:rPr>
          <w:rFonts w:hint="eastAsia" w:hAnsi="宋体" w:cs="宋体"/>
          <w:color w:val="auto"/>
          <w:kern w:val="0"/>
          <w:szCs w:val="21"/>
          <w:highlight w:val="none"/>
        </w:rPr>
        <w:t>0%的扣除</w:t>
      </w:r>
      <w:r>
        <w:rPr>
          <w:rFonts w:hint="eastAsia" w:hAnsi="宋体" w:cs="宋体"/>
          <w:color w:val="auto"/>
          <w:szCs w:val="21"/>
          <w:highlight w:val="none"/>
        </w:rPr>
        <w:t>，扣除后的价格为评审报价，即供应商的评审报价=最后报价×（1-</w:t>
      </w:r>
      <w:r>
        <w:rPr>
          <w:rFonts w:hint="eastAsia" w:hAnsi="宋体" w:cs="宋体"/>
          <w:color w:val="auto"/>
          <w:szCs w:val="21"/>
          <w:highlight w:val="none"/>
          <w:lang w:val="en-US" w:eastAsia="zh-CN"/>
        </w:rPr>
        <w:t>2</w:t>
      </w:r>
      <w:r>
        <w:rPr>
          <w:rFonts w:hint="eastAsia" w:hAnsi="宋体" w:cs="宋体"/>
          <w:color w:val="auto"/>
          <w:szCs w:val="21"/>
          <w:highlight w:val="none"/>
        </w:rPr>
        <w:t>0%）；除上述情况外，评审报价=最后报价。</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Ansi="宋体" w:cs="宋体"/>
          <w:color w:val="auto"/>
          <w:szCs w:val="21"/>
          <w:highlight w:val="none"/>
        </w:rPr>
      </w:pPr>
      <w:r>
        <w:rPr>
          <w:rFonts w:hint="eastAsia" w:hAnsi="宋体" w:cs="宋体"/>
          <w:b/>
          <w:color w:val="auto"/>
          <w:szCs w:val="21"/>
          <w:highlight w:val="none"/>
        </w:rPr>
        <w:t>注：评审报价为供应商的最后报价进行政策性扣除后的价格，评审报价只是作为评标时使用。最终成交人的成交金额＝最后报价。</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rPr>
        <w:t>（2）根据《关于政府采购支持监狱企业发展有关问题的通知》（财库</w:t>
      </w:r>
      <w:r>
        <w:rPr>
          <w:rFonts w:hint="eastAsia" w:hAnsi="宋体" w:cs="宋体"/>
          <w:bCs/>
          <w:color w:val="auto"/>
          <w:szCs w:val="21"/>
          <w:highlight w:val="none"/>
        </w:rPr>
        <w:t>〔</w:t>
      </w:r>
      <w:r>
        <w:rPr>
          <w:rFonts w:hint="eastAsia" w:hAnsi="宋体" w:cs="宋体"/>
          <w:color w:val="auto"/>
          <w:szCs w:val="21"/>
          <w:highlight w:val="none"/>
        </w:rPr>
        <w:t>2014</w:t>
      </w:r>
      <w:r>
        <w:rPr>
          <w:rFonts w:hint="eastAsia" w:hAnsi="宋体" w:cs="宋体"/>
          <w:bCs/>
          <w:color w:val="auto"/>
          <w:szCs w:val="21"/>
          <w:highlight w:val="none"/>
        </w:rPr>
        <w:t>〕</w:t>
      </w:r>
      <w:r>
        <w:rPr>
          <w:rFonts w:hint="eastAsia" w:hAnsi="宋体" w:cs="宋体"/>
          <w:color w:val="auto"/>
          <w:szCs w:val="21"/>
          <w:highlight w:val="none"/>
        </w:rPr>
        <w:t>68号）和《关于促进残疾人就业政府采购政策的通知》（财库</w:t>
      </w:r>
      <w:r>
        <w:rPr>
          <w:rFonts w:hint="eastAsia" w:hAnsi="宋体" w:cs="宋体"/>
          <w:bCs/>
          <w:color w:val="auto"/>
          <w:szCs w:val="21"/>
          <w:highlight w:val="none"/>
        </w:rPr>
        <w:t>〔</w:t>
      </w:r>
      <w:r>
        <w:rPr>
          <w:rFonts w:hint="eastAsia" w:hAnsi="宋体" w:cs="宋体"/>
          <w:color w:val="auto"/>
          <w:szCs w:val="21"/>
          <w:highlight w:val="none"/>
        </w:rPr>
        <w:t>2017</w:t>
      </w:r>
      <w:r>
        <w:rPr>
          <w:rFonts w:hint="eastAsia" w:hAnsi="宋体" w:cs="宋体"/>
          <w:bCs/>
          <w:color w:val="auto"/>
          <w:szCs w:val="21"/>
          <w:highlight w:val="none"/>
        </w:rPr>
        <w:t>〕</w:t>
      </w:r>
      <w:r>
        <w:rPr>
          <w:rFonts w:hint="eastAsia" w:hAnsi="宋体" w:cs="宋体"/>
          <w:color w:val="auto"/>
          <w:szCs w:val="21"/>
          <w:highlight w:val="none"/>
        </w:rPr>
        <w:t>141号），监狱企业和符合条件的残疾人福利性单位视同小型、微型企业，享受小型、微型企业评审中价格扣除的政府采购政策。残疾人福利性单位属于小型、微型企业的，不重复享受政策。</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Ansi="宋体" w:cs="宋体"/>
          <w:bCs/>
          <w:color w:val="auto"/>
          <w:szCs w:val="21"/>
          <w:highlight w:val="none"/>
        </w:rPr>
      </w:pPr>
      <w:r>
        <w:rPr>
          <w:rFonts w:hint="eastAsia" w:hAnsi="宋体" w:cs="宋体"/>
          <w:color w:val="auto"/>
          <w:szCs w:val="21"/>
          <w:highlight w:val="none"/>
        </w:rPr>
        <w:t>（3）价格分应当采用低价优先法计算，即满足采购文件要求且报价最低的磋商报价为评审基准价，其价格分为满分。进入详评供应商的价格分统一按照下列公式计算：</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Ansi="宋体" w:cs="宋体"/>
          <w:color w:val="auto"/>
          <w:szCs w:val="21"/>
          <w:highlight w:val="none"/>
        </w:rPr>
      </w:pPr>
      <w:r>
        <w:rPr>
          <w:rFonts w:hint="eastAsia" w:hAnsi="宋体" w:cs="宋体"/>
          <w:bCs/>
          <w:color w:val="auto"/>
          <w:kern w:val="0"/>
          <w:szCs w:val="21"/>
          <w:highlight w:val="none"/>
        </w:rPr>
        <w:t>供应商</w:t>
      </w:r>
      <w:r>
        <w:rPr>
          <w:rFonts w:hint="eastAsia" w:hAnsi="宋体" w:cs="宋体"/>
          <w:color w:val="auto"/>
          <w:szCs w:val="21"/>
          <w:highlight w:val="none"/>
        </w:rPr>
        <w:t>磋商报价得分=（磋商基准价/供应商的评审报价）×10分。</w:t>
      </w:r>
    </w:p>
    <w:p>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Ansi="宋体" w:cs="宋体"/>
          <w:color w:val="auto"/>
          <w:szCs w:val="21"/>
          <w:highlight w:val="none"/>
        </w:rPr>
      </w:pPr>
      <w:r>
        <w:rPr>
          <w:rFonts w:hint="eastAsia" w:hAnsi="宋体" w:cs="宋体"/>
          <w:b/>
          <w:color w:val="auto"/>
          <w:szCs w:val="21"/>
          <w:highlight w:val="none"/>
        </w:rPr>
        <w:t>2</w:t>
      </w:r>
      <w:r>
        <w:rPr>
          <w:rFonts w:hint="eastAsia" w:hAnsi="宋体" w:cs="宋体"/>
          <w:b/>
          <w:bCs/>
          <w:color w:val="auto"/>
          <w:szCs w:val="21"/>
          <w:highlight w:val="none"/>
        </w:rPr>
        <w:t>、</w:t>
      </w:r>
      <w:r>
        <w:rPr>
          <w:rFonts w:hint="eastAsia" w:hAnsi="宋体" w:cs="宋体"/>
          <w:b/>
          <w:color w:val="auto"/>
          <w:szCs w:val="21"/>
          <w:highlight w:val="none"/>
        </w:rPr>
        <w:t>监理大纲分</w:t>
      </w:r>
      <w:r>
        <w:rPr>
          <w:rFonts w:hint="eastAsia" w:hAnsi="宋体" w:cs="宋体"/>
          <w:b/>
          <w:bCs/>
          <w:color w:val="auto"/>
          <w:szCs w:val="21"/>
          <w:highlight w:val="none"/>
        </w:rPr>
        <w:t>………………………………………………………………………………</w:t>
      </w:r>
      <w:r>
        <w:rPr>
          <w:rFonts w:hint="eastAsia" w:hAnsi="宋体" w:cs="宋体"/>
          <w:b/>
          <w:color w:val="auto"/>
          <w:szCs w:val="21"/>
          <w:highlight w:val="none"/>
          <w:lang w:val="en-US" w:eastAsia="zh-CN"/>
        </w:rPr>
        <w:t>57</w:t>
      </w:r>
      <w:r>
        <w:rPr>
          <w:rFonts w:hint="eastAsia" w:hAnsi="宋体" w:cs="宋体"/>
          <w:b/>
          <w:color w:val="auto"/>
          <w:szCs w:val="21"/>
          <w:highlight w:val="none"/>
        </w:rPr>
        <w:t xml:space="preserve">分    </w:t>
      </w:r>
      <w:r>
        <w:rPr>
          <w:rFonts w:hint="eastAsia" w:hAnsi="宋体" w:cs="宋体"/>
          <w:color w:val="auto"/>
          <w:szCs w:val="21"/>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360" w:lineRule="auto"/>
        <w:ind w:firstLine="407" w:firstLineChars="193"/>
        <w:textAlignment w:val="auto"/>
        <w:rPr>
          <w:rFonts w:hAnsi="宋体" w:cs="宋体"/>
          <w:b/>
          <w:bCs/>
          <w:color w:val="auto"/>
          <w:szCs w:val="21"/>
          <w:highlight w:val="none"/>
        </w:rPr>
      </w:pPr>
      <w:r>
        <w:rPr>
          <w:rFonts w:hint="eastAsia" w:hAnsi="宋体" w:cs="宋体"/>
          <w:b/>
          <w:bCs/>
          <w:color w:val="auto"/>
          <w:szCs w:val="21"/>
          <w:highlight w:val="none"/>
        </w:rPr>
        <w:t>①工程特点、难点分析及监理对策（满分</w:t>
      </w:r>
      <w:r>
        <w:rPr>
          <w:rFonts w:hint="eastAsia" w:hAnsi="宋体" w:cs="宋体"/>
          <w:b/>
          <w:bCs/>
          <w:color w:val="auto"/>
          <w:szCs w:val="21"/>
          <w:highlight w:val="none"/>
          <w:lang w:val="en-US" w:eastAsia="zh-CN"/>
        </w:rPr>
        <w:t>15</w:t>
      </w:r>
      <w:r>
        <w:rPr>
          <w:rFonts w:hint="eastAsia" w:hAnsi="宋体" w:cs="宋体"/>
          <w:b/>
          <w:bCs/>
          <w:color w:val="auto"/>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一档（3分）</w:t>
      </w:r>
      <w:r>
        <w:rPr>
          <w:rFonts w:hint="eastAsia" w:hAnsi="宋体" w:cs="宋体"/>
          <w:color w:val="auto"/>
          <w:szCs w:val="21"/>
          <w:highlight w:val="none"/>
        </w:rPr>
        <w:t>：表述不清晰，无分析，无对策，方法简单含糊。</w:t>
      </w:r>
    </w:p>
    <w:p>
      <w:pPr>
        <w:pStyle w:val="19"/>
        <w:keepNext w:val="0"/>
        <w:keepLines w:val="0"/>
        <w:pageBreakBefore w:val="0"/>
        <w:widowControl w:val="0"/>
        <w:kinsoku/>
        <w:wordWrap/>
        <w:overflowPunct/>
        <w:topLinePunct w:val="0"/>
        <w:autoSpaceDE/>
        <w:autoSpaceDN/>
        <w:bidi w:val="0"/>
        <w:adjustRightInd/>
        <w:snapToGrid/>
        <w:spacing w:line="360" w:lineRule="auto"/>
        <w:ind w:left="434" w:leftChars="200" w:hanging="14" w:hangingChars="7"/>
        <w:textAlignment w:val="auto"/>
        <w:rPr>
          <w:rFonts w:hint="eastAsia" w:hAnsi="宋体" w:cs="宋体"/>
          <w:color w:val="auto"/>
          <w:szCs w:val="21"/>
          <w:highlight w:val="none"/>
        </w:rPr>
      </w:pPr>
      <w:r>
        <w:rPr>
          <w:rFonts w:hint="eastAsia" w:hAnsi="宋体" w:cs="宋体"/>
          <w:color w:val="auto"/>
          <w:szCs w:val="21"/>
          <w:highlight w:val="none"/>
          <w:lang w:eastAsia="zh-CN"/>
        </w:rPr>
        <w:t>二档（7分）</w:t>
      </w:r>
      <w:r>
        <w:rPr>
          <w:rFonts w:hint="eastAsia" w:hAnsi="宋体" w:cs="宋体"/>
          <w:color w:val="auto"/>
          <w:szCs w:val="21"/>
          <w:highlight w:val="none"/>
        </w:rPr>
        <w:t>：表述一般、</w:t>
      </w:r>
      <w:r>
        <w:rPr>
          <w:rFonts w:hint="eastAsia" w:hAnsi="宋体" w:cs="宋体"/>
          <w:color w:val="auto"/>
          <w:szCs w:val="21"/>
          <w:highlight w:val="none"/>
          <w:lang w:eastAsia="zh-CN"/>
        </w:rPr>
        <w:t>无</w:t>
      </w:r>
      <w:r>
        <w:rPr>
          <w:rFonts w:hint="eastAsia" w:hAnsi="宋体" w:cs="宋体"/>
          <w:color w:val="auto"/>
          <w:szCs w:val="21"/>
          <w:highlight w:val="none"/>
        </w:rPr>
        <w:t>分析；提出的监理对策针对性</w:t>
      </w:r>
      <w:r>
        <w:rPr>
          <w:rFonts w:hint="eastAsia" w:hAnsi="宋体" w:cs="宋体"/>
          <w:color w:val="auto"/>
          <w:szCs w:val="21"/>
          <w:highlight w:val="none"/>
          <w:lang w:eastAsia="zh-CN"/>
        </w:rPr>
        <w:t>一般</w:t>
      </w:r>
      <w:r>
        <w:rPr>
          <w:rFonts w:hint="eastAsia" w:hAnsi="宋体" w:cs="宋体"/>
          <w:color w:val="auto"/>
          <w:szCs w:val="21"/>
          <w:highlight w:val="none"/>
        </w:rPr>
        <w:t>，方法可行但可操作性一般。</w:t>
      </w:r>
    </w:p>
    <w:p>
      <w:pPr>
        <w:pStyle w:val="19"/>
        <w:keepNext w:val="0"/>
        <w:keepLines w:val="0"/>
        <w:pageBreakBefore w:val="0"/>
        <w:widowControl w:val="0"/>
        <w:kinsoku/>
        <w:wordWrap/>
        <w:overflowPunct/>
        <w:topLinePunct w:val="0"/>
        <w:autoSpaceDE/>
        <w:autoSpaceDN/>
        <w:bidi w:val="0"/>
        <w:adjustRightInd/>
        <w:snapToGrid/>
        <w:spacing w:line="360" w:lineRule="auto"/>
        <w:ind w:left="434" w:leftChars="200" w:hanging="14" w:hangingChars="7"/>
        <w:textAlignment w:val="auto"/>
        <w:rPr>
          <w:rFonts w:hint="eastAsia" w:hAnsi="宋体" w:cs="宋体"/>
          <w:color w:val="auto"/>
          <w:szCs w:val="21"/>
          <w:highlight w:val="none"/>
        </w:rPr>
      </w:pPr>
      <w:r>
        <w:rPr>
          <w:rFonts w:hint="eastAsia" w:hAnsi="宋体" w:cs="宋体"/>
          <w:color w:val="auto"/>
          <w:szCs w:val="21"/>
          <w:highlight w:val="none"/>
          <w:lang w:eastAsia="zh-CN"/>
        </w:rPr>
        <w:t>三档（11分）</w:t>
      </w:r>
      <w:r>
        <w:rPr>
          <w:rFonts w:hint="eastAsia" w:hAnsi="宋体" w:cs="宋体"/>
          <w:color w:val="auto"/>
          <w:szCs w:val="21"/>
          <w:highlight w:val="none"/>
        </w:rPr>
        <w:t>：表述一般、有分析但不透彻；提出的监理对策针对性强，方法可行但可操作性一般。</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四档（15分）</w:t>
      </w:r>
      <w:r>
        <w:rPr>
          <w:rFonts w:hint="eastAsia" w:hAnsi="宋体" w:cs="宋体"/>
          <w:color w:val="auto"/>
          <w:szCs w:val="21"/>
          <w:highlight w:val="none"/>
        </w:rPr>
        <w:t>：工程的各项参数以及现场状况及工程特点、实施难点、监理工作重点表述清楚，分析透彻；提出的监理对策针对性强、有具体性，方法科学、合理、具有先进性。</w:t>
      </w:r>
    </w:p>
    <w:p>
      <w:pPr>
        <w:pStyle w:val="19"/>
        <w:keepNext w:val="0"/>
        <w:keepLines w:val="0"/>
        <w:pageBreakBefore w:val="0"/>
        <w:widowControl w:val="0"/>
        <w:kinsoku/>
        <w:wordWrap/>
        <w:overflowPunct/>
        <w:topLinePunct w:val="0"/>
        <w:autoSpaceDE/>
        <w:autoSpaceDN/>
        <w:bidi w:val="0"/>
        <w:adjustRightInd/>
        <w:snapToGrid/>
        <w:spacing w:line="360" w:lineRule="auto"/>
        <w:ind w:firstLine="407" w:firstLineChars="193"/>
        <w:textAlignment w:val="auto"/>
        <w:rPr>
          <w:rFonts w:hint="eastAsia" w:hAnsi="宋体" w:cs="宋体"/>
          <w:b/>
          <w:bCs/>
          <w:color w:val="auto"/>
          <w:szCs w:val="21"/>
          <w:highlight w:val="none"/>
        </w:rPr>
      </w:pPr>
      <w:r>
        <w:rPr>
          <w:rFonts w:hint="eastAsia" w:hAnsi="宋体" w:cs="宋体"/>
          <w:b/>
          <w:bCs/>
          <w:color w:val="auto"/>
          <w:szCs w:val="21"/>
          <w:highlight w:val="none"/>
        </w:rPr>
        <w:t>②质量控制重点及监理措施（满分</w:t>
      </w:r>
      <w:r>
        <w:rPr>
          <w:rFonts w:hint="eastAsia" w:hAnsi="宋体" w:cs="宋体"/>
          <w:b/>
          <w:bCs/>
          <w:color w:val="auto"/>
          <w:szCs w:val="21"/>
          <w:highlight w:val="none"/>
          <w:lang w:val="en-US" w:eastAsia="zh-CN"/>
        </w:rPr>
        <w:t>15</w:t>
      </w:r>
      <w:r>
        <w:rPr>
          <w:rFonts w:hint="eastAsia" w:hAnsi="宋体" w:cs="宋体"/>
          <w:b/>
          <w:bCs/>
          <w:color w:val="auto"/>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hAnsi="宋体" w:cs="宋体"/>
          <w:color w:val="auto"/>
          <w:szCs w:val="21"/>
          <w:highlight w:val="none"/>
        </w:rPr>
      </w:pPr>
      <w:r>
        <w:rPr>
          <w:rFonts w:hint="eastAsia" w:hAnsi="宋体" w:cs="宋体"/>
          <w:color w:val="auto"/>
          <w:szCs w:val="21"/>
          <w:highlight w:val="none"/>
          <w:lang w:eastAsia="zh-CN"/>
        </w:rPr>
        <w:t>一档（3分）</w:t>
      </w:r>
      <w:r>
        <w:rPr>
          <w:rFonts w:hint="eastAsia" w:hAnsi="宋体" w:cs="宋体"/>
          <w:color w:val="auto"/>
          <w:szCs w:val="21"/>
          <w:highlight w:val="none"/>
        </w:rPr>
        <w:t>：针对项目提出具体、可行的质量保证措施，根据工程特点配备有基本的仪器设备，满足招标文件的质量要求。</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二档（7分）</w:t>
      </w:r>
      <w:r>
        <w:rPr>
          <w:rFonts w:hint="eastAsia" w:ascii="宋体" w:hAnsi="宋体" w:eastAsia="宋体" w:cs="宋体"/>
          <w:color w:val="auto"/>
          <w:kern w:val="2"/>
          <w:sz w:val="21"/>
          <w:szCs w:val="21"/>
          <w:highlight w:val="none"/>
          <w:lang w:val="en-US" w:eastAsia="zh-CN" w:bidi="ar-SA"/>
        </w:rPr>
        <w:t>：质量有总目标，并响应招标文件要求，但目标分解（基础、结构、装饰等）不清楚或不合理；对各分解目标提出了相应的控制点，但提出相应的措施不清楚或不合理；有质量控制的基本程序（包括质量事故的处理程序）但预控措施不可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三档（11分）</w:t>
      </w:r>
      <w:r>
        <w:rPr>
          <w:rFonts w:hint="eastAsia" w:ascii="宋体" w:hAnsi="宋体" w:eastAsia="宋体" w:cs="宋体"/>
          <w:color w:val="auto"/>
          <w:kern w:val="2"/>
          <w:sz w:val="21"/>
          <w:szCs w:val="21"/>
          <w:highlight w:val="none"/>
          <w:lang w:val="en-US" w:eastAsia="zh-CN" w:bidi="ar-SA"/>
        </w:rPr>
        <w:t>：质量有总目标，并响应招标文件要求，但目标分解（基础、结构、装饰等）</w:t>
      </w:r>
      <w:r>
        <w:rPr>
          <w:rFonts w:hint="eastAsia" w:ascii="宋体" w:hAnsi="宋体" w:cs="宋体"/>
          <w:color w:val="auto"/>
          <w:kern w:val="2"/>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；对各分解目标提出了相应的控制点，但提出相应的措施</w:t>
      </w:r>
      <w:r>
        <w:rPr>
          <w:rFonts w:hint="eastAsia" w:ascii="宋体" w:hAnsi="宋体" w:cs="宋体"/>
          <w:color w:val="auto"/>
          <w:kern w:val="2"/>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；有质量控制的基本程序（包括质量事故的处理程序）但预控措施可行</w:t>
      </w:r>
      <w:r>
        <w:rPr>
          <w:rFonts w:hint="eastAsia" w:ascii="宋体" w:hAnsi="宋体" w:cs="宋体"/>
          <w:color w:val="auto"/>
          <w:kern w:val="2"/>
          <w:sz w:val="21"/>
          <w:szCs w:val="21"/>
          <w:highlight w:val="none"/>
          <w:lang w:val="en-US" w:eastAsia="zh-CN" w:bidi="ar-SA"/>
        </w:rPr>
        <w:t>性一般</w:t>
      </w:r>
      <w:r>
        <w:rPr>
          <w:rFonts w:hint="eastAsia" w:ascii="宋体" w:hAnsi="宋体" w:eastAsia="宋体" w:cs="宋体"/>
          <w:color w:val="auto"/>
          <w:kern w:val="2"/>
          <w:sz w:val="21"/>
          <w:szCs w:val="21"/>
          <w:highlight w:val="none"/>
          <w:lang w:val="en-US" w:eastAsia="zh-CN" w:bidi="ar-SA"/>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四档（15分）</w:t>
      </w:r>
      <w:r>
        <w:rPr>
          <w:rFonts w:hint="eastAsia" w:hAnsi="宋体" w:cs="宋体"/>
          <w:color w:val="auto"/>
          <w:szCs w:val="21"/>
          <w:highlight w:val="none"/>
        </w:rPr>
        <w:t>：质量有总目标，并响应招标文件要求，且进行了目标分解（基础、结构、装饰等）；对各分解目标提出相应的控制点，并提出相应的措施；质量控制的基本程序（包括质量事故的处理程序）及预控措施切实可行。</w:t>
      </w:r>
    </w:p>
    <w:p>
      <w:pPr>
        <w:pStyle w:val="19"/>
        <w:keepNext w:val="0"/>
        <w:keepLines w:val="0"/>
        <w:pageBreakBefore w:val="0"/>
        <w:widowControl w:val="0"/>
        <w:kinsoku/>
        <w:wordWrap/>
        <w:overflowPunct/>
        <w:topLinePunct w:val="0"/>
        <w:autoSpaceDE/>
        <w:autoSpaceDN/>
        <w:bidi w:val="0"/>
        <w:adjustRightInd/>
        <w:snapToGrid/>
        <w:spacing w:line="360" w:lineRule="auto"/>
        <w:ind w:firstLine="407" w:firstLineChars="193"/>
        <w:textAlignment w:val="auto"/>
        <w:rPr>
          <w:rFonts w:hAnsi="宋体" w:cs="宋体"/>
          <w:b/>
          <w:bCs/>
          <w:color w:val="auto"/>
          <w:szCs w:val="21"/>
          <w:highlight w:val="none"/>
        </w:rPr>
      </w:pPr>
      <w:r>
        <w:rPr>
          <w:rFonts w:hint="eastAsia" w:hAnsi="宋体" w:cs="宋体"/>
          <w:b/>
          <w:bCs/>
          <w:color w:val="auto"/>
          <w:szCs w:val="21"/>
          <w:highlight w:val="none"/>
        </w:rPr>
        <w:t>③进度控制重点及监理措施（满分</w:t>
      </w:r>
      <w:r>
        <w:rPr>
          <w:rFonts w:hint="eastAsia" w:hAnsi="宋体" w:cs="宋体"/>
          <w:b/>
          <w:bCs/>
          <w:color w:val="auto"/>
          <w:szCs w:val="21"/>
          <w:highlight w:val="none"/>
          <w:lang w:val="en-US" w:eastAsia="zh-CN"/>
        </w:rPr>
        <w:t>6</w:t>
      </w:r>
      <w:r>
        <w:rPr>
          <w:rFonts w:hint="eastAsia" w:hAnsi="宋体" w:cs="宋体"/>
          <w:b/>
          <w:bCs/>
          <w:color w:val="auto"/>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一档（2分）</w:t>
      </w:r>
      <w:r>
        <w:rPr>
          <w:rFonts w:hint="eastAsia" w:hAnsi="宋体" w:cs="宋体"/>
          <w:color w:val="auto"/>
          <w:szCs w:val="21"/>
          <w:highlight w:val="none"/>
        </w:rPr>
        <w:t>：对进度控制的原则、任务和工作制度无说明；没有对总进度目标的分解合理；无预控方法及手段。</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hAnsi="宋体" w:cs="宋体"/>
          <w:color w:val="auto"/>
          <w:szCs w:val="21"/>
          <w:highlight w:val="none"/>
        </w:rPr>
      </w:pPr>
      <w:r>
        <w:rPr>
          <w:rFonts w:hint="eastAsia" w:hAnsi="宋体" w:cs="宋体"/>
          <w:color w:val="auto"/>
          <w:szCs w:val="21"/>
          <w:highlight w:val="none"/>
          <w:lang w:eastAsia="zh-CN"/>
        </w:rPr>
        <w:t>二档（4分）</w:t>
      </w:r>
      <w:r>
        <w:rPr>
          <w:rFonts w:hint="eastAsia" w:hAnsi="宋体" w:cs="宋体"/>
          <w:color w:val="auto"/>
          <w:szCs w:val="21"/>
          <w:highlight w:val="none"/>
        </w:rPr>
        <w:t>：对进度控制的原则、任务和工作制度有说明但不清楚；对总进度目标有分解但不合理；预控方法及手段不明确，有进度控制点要览但不清楚。</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三档（6分）</w:t>
      </w:r>
      <w:r>
        <w:rPr>
          <w:rFonts w:hint="eastAsia" w:hAnsi="宋体" w:cs="宋体"/>
          <w:color w:val="auto"/>
          <w:szCs w:val="21"/>
          <w:highlight w:val="none"/>
        </w:rPr>
        <w:t>：对进度控制的原则、任务和工作制度的说明很清楚；对总进度目标的分解合理，能体现预控水平和全面控制水平；预控方法及手段明确，有进度控制点要览。</w:t>
      </w:r>
    </w:p>
    <w:p>
      <w:pPr>
        <w:pStyle w:val="19"/>
        <w:keepNext w:val="0"/>
        <w:keepLines w:val="0"/>
        <w:pageBreakBefore w:val="0"/>
        <w:widowControl w:val="0"/>
        <w:kinsoku/>
        <w:wordWrap/>
        <w:overflowPunct/>
        <w:topLinePunct w:val="0"/>
        <w:autoSpaceDE/>
        <w:autoSpaceDN/>
        <w:bidi w:val="0"/>
        <w:adjustRightInd/>
        <w:snapToGrid/>
        <w:spacing w:line="360" w:lineRule="auto"/>
        <w:ind w:firstLine="407" w:firstLineChars="193"/>
        <w:textAlignment w:val="auto"/>
        <w:rPr>
          <w:rFonts w:hAnsi="宋体" w:cs="宋体"/>
          <w:b/>
          <w:bCs/>
          <w:color w:val="auto"/>
          <w:szCs w:val="21"/>
          <w:highlight w:val="none"/>
        </w:rPr>
      </w:pPr>
      <w:r>
        <w:rPr>
          <w:rFonts w:hint="eastAsia" w:hAnsi="宋体" w:cs="宋体"/>
          <w:b/>
          <w:bCs/>
          <w:color w:val="auto"/>
          <w:szCs w:val="21"/>
          <w:highlight w:val="none"/>
        </w:rPr>
        <w:t>④造价控制重点及监理措施（满分</w:t>
      </w:r>
      <w:r>
        <w:rPr>
          <w:rFonts w:hint="eastAsia" w:hAnsi="宋体" w:cs="宋体"/>
          <w:b/>
          <w:bCs/>
          <w:color w:val="auto"/>
          <w:szCs w:val="21"/>
          <w:highlight w:val="none"/>
          <w:lang w:val="en-US" w:eastAsia="zh-CN"/>
        </w:rPr>
        <w:t>6</w:t>
      </w:r>
      <w:r>
        <w:rPr>
          <w:rFonts w:hint="eastAsia" w:hAnsi="宋体" w:cs="宋体"/>
          <w:b/>
          <w:bCs/>
          <w:color w:val="auto"/>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一档（2分）</w:t>
      </w:r>
      <w:r>
        <w:rPr>
          <w:rFonts w:hint="eastAsia" w:hAnsi="宋体" w:cs="宋体"/>
          <w:color w:val="auto"/>
          <w:szCs w:val="21"/>
          <w:highlight w:val="none"/>
        </w:rPr>
        <w:t>：无造价控制的原则、任务及制度；无工程计量计价的控制方法和内容，无工程款支付、结算、索赔等预控措施。</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hAnsi="宋体" w:cs="宋体"/>
          <w:color w:val="auto"/>
          <w:szCs w:val="21"/>
          <w:highlight w:val="none"/>
        </w:rPr>
      </w:pPr>
      <w:r>
        <w:rPr>
          <w:rFonts w:hint="eastAsia" w:hAnsi="宋体" w:cs="宋体"/>
          <w:color w:val="auto"/>
          <w:szCs w:val="21"/>
          <w:highlight w:val="none"/>
          <w:lang w:eastAsia="zh-CN"/>
        </w:rPr>
        <w:t>二档（4分）</w:t>
      </w:r>
      <w:r>
        <w:rPr>
          <w:rFonts w:hint="eastAsia" w:hAnsi="宋体" w:cs="宋体"/>
          <w:color w:val="auto"/>
          <w:szCs w:val="21"/>
          <w:highlight w:val="none"/>
        </w:rPr>
        <w:t>：有造价控制的原则、任务及制度但不合理；有工程计量计价的控制方法和内容不清楚，工程款支付、结算、索赔等预控措施不合理。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三档（6分）</w:t>
      </w:r>
      <w:r>
        <w:rPr>
          <w:rFonts w:hint="eastAsia" w:hAnsi="宋体" w:cs="宋体"/>
          <w:color w:val="auto"/>
          <w:szCs w:val="21"/>
          <w:highlight w:val="none"/>
        </w:rPr>
        <w:t>：造价控制的原则、任务及制度合理；有工程计量计价的控制方法和内容，工程款支付、结算、索赔等预控措施合理。</w:t>
      </w:r>
    </w:p>
    <w:p>
      <w:pPr>
        <w:pStyle w:val="19"/>
        <w:keepNext w:val="0"/>
        <w:keepLines w:val="0"/>
        <w:pageBreakBefore w:val="0"/>
        <w:widowControl w:val="0"/>
        <w:kinsoku/>
        <w:wordWrap/>
        <w:overflowPunct/>
        <w:topLinePunct w:val="0"/>
        <w:autoSpaceDE/>
        <w:autoSpaceDN/>
        <w:bidi w:val="0"/>
        <w:adjustRightInd/>
        <w:snapToGrid/>
        <w:spacing w:line="360" w:lineRule="auto"/>
        <w:ind w:firstLine="407" w:firstLineChars="193"/>
        <w:textAlignment w:val="auto"/>
        <w:rPr>
          <w:rFonts w:hAnsi="宋体" w:cs="宋体"/>
          <w:color w:val="auto"/>
          <w:szCs w:val="21"/>
          <w:highlight w:val="none"/>
        </w:rPr>
      </w:pPr>
      <w:r>
        <w:rPr>
          <w:rFonts w:hint="eastAsia" w:hAnsi="宋体" w:cs="宋体"/>
          <w:b/>
          <w:bCs/>
          <w:color w:val="auto"/>
          <w:szCs w:val="21"/>
          <w:highlight w:val="none"/>
        </w:rPr>
        <w:t>⑤合同及信息管理措施（满分</w:t>
      </w:r>
      <w:r>
        <w:rPr>
          <w:rFonts w:hint="eastAsia" w:hAnsi="宋体" w:cs="宋体"/>
          <w:b/>
          <w:bCs/>
          <w:color w:val="auto"/>
          <w:szCs w:val="21"/>
          <w:highlight w:val="none"/>
          <w:lang w:val="en-US" w:eastAsia="zh-CN"/>
        </w:rPr>
        <w:t>6</w:t>
      </w:r>
      <w:r>
        <w:rPr>
          <w:rFonts w:hint="eastAsia" w:hAnsi="宋体" w:cs="宋体"/>
          <w:b/>
          <w:bCs/>
          <w:color w:val="auto"/>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一档（2分）</w:t>
      </w:r>
      <w:r>
        <w:rPr>
          <w:rFonts w:hint="eastAsia" w:hAnsi="宋体" w:cs="宋体"/>
          <w:color w:val="auto"/>
          <w:szCs w:val="21"/>
          <w:highlight w:val="none"/>
        </w:rPr>
        <w:t>：无有合同分析要点，没有根据工程特点制定了索赔与反索赔措施；无有减少工程延期发生的预控措施，对工程延期的管理办法不可行；没有根据工程实际，列举信息管理的内容。</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hAnsi="宋体" w:cs="宋体"/>
          <w:color w:val="auto"/>
          <w:szCs w:val="21"/>
          <w:highlight w:val="none"/>
        </w:rPr>
      </w:pPr>
      <w:r>
        <w:rPr>
          <w:rFonts w:hint="eastAsia" w:hAnsi="宋体" w:cs="宋体"/>
          <w:color w:val="auto"/>
          <w:szCs w:val="21"/>
          <w:highlight w:val="none"/>
          <w:lang w:eastAsia="zh-CN"/>
        </w:rPr>
        <w:t>二档（4分）</w:t>
      </w:r>
      <w:r>
        <w:rPr>
          <w:rFonts w:hint="eastAsia" w:hAnsi="宋体" w:cs="宋体"/>
          <w:color w:val="auto"/>
          <w:szCs w:val="21"/>
          <w:highlight w:val="none"/>
        </w:rPr>
        <w:t>：有合同分析要点，根据工程特点制定的索赔与反索赔措施不完整；有减少工程延期发生的预控措施但不够完整，有对工程延期的管理办法但可操作性不强；根据工程实际，列举信息管理的内容不完整。</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三档（6分）</w:t>
      </w:r>
      <w:r>
        <w:rPr>
          <w:rFonts w:hint="eastAsia" w:hAnsi="宋体" w:cs="宋体"/>
          <w:color w:val="auto"/>
          <w:szCs w:val="21"/>
          <w:highlight w:val="none"/>
        </w:rPr>
        <w:t>：有合同分析要点，根据工程特点制定了完整的索赔措施与反索赔措施；有减少工程延期发生的预控措施，对工程延期的管理办法切实可行；根据工程实际，列举信息管理的内容。</w:t>
      </w:r>
    </w:p>
    <w:p>
      <w:pPr>
        <w:pStyle w:val="19"/>
        <w:keepNext w:val="0"/>
        <w:keepLines w:val="0"/>
        <w:pageBreakBefore w:val="0"/>
        <w:widowControl w:val="0"/>
        <w:kinsoku/>
        <w:wordWrap/>
        <w:overflowPunct/>
        <w:topLinePunct w:val="0"/>
        <w:autoSpaceDE/>
        <w:autoSpaceDN/>
        <w:bidi w:val="0"/>
        <w:adjustRightInd/>
        <w:snapToGrid/>
        <w:spacing w:line="360" w:lineRule="auto"/>
        <w:ind w:firstLine="407" w:firstLineChars="193"/>
        <w:textAlignment w:val="auto"/>
        <w:rPr>
          <w:rFonts w:hAnsi="宋体" w:cs="宋体"/>
          <w:b/>
          <w:bCs/>
          <w:color w:val="auto"/>
          <w:szCs w:val="21"/>
          <w:highlight w:val="none"/>
        </w:rPr>
      </w:pPr>
      <w:r>
        <w:rPr>
          <w:rFonts w:hint="eastAsia" w:hAnsi="宋体" w:cs="宋体"/>
          <w:b/>
          <w:bCs/>
          <w:color w:val="auto"/>
          <w:szCs w:val="21"/>
          <w:highlight w:val="none"/>
        </w:rPr>
        <w:t>⑥环境保护及文明施工监理措施（满分</w:t>
      </w:r>
      <w:r>
        <w:rPr>
          <w:rFonts w:hint="eastAsia" w:hAnsi="宋体" w:cs="宋体"/>
          <w:b/>
          <w:bCs/>
          <w:color w:val="auto"/>
          <w:szCs w:val="21"/>
          <w:highlight w:val="none"/>
          <w:lang w:val="en-US" w:eastAsia="zh-CN"/>
        </w:rPr>
        <w:t>6</w:t>
      </w:r>
      <w:r>
        <w:rPr>
          <w:rFonts w:hint="eastAsia" w:hAnsi="宋体" w:cs="宋体"/>
          <w:b/>
          <w:bCs/>
          <w:color w:val="auto"/>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hAnsi="宋体" w:eastAsia="宋体" w:cs="宋体"/>
          <w:color w:val="auto"/>
          <w:szCs w:val="21"/>
          <w:highlight w:val="none"/>
          <w:lang w:eastAsia="zh-CN"/>
        </w:rPr>
      </w:pPr>
      <w:r>
        <w:rPr>
          <w:rFonts w:hint="eastAsia" w:hAnsi="宋体" w:cs="宋体"/>
          <w:color w:val="auto"/>
          <w:szCs w:val="21"/>
          <w:highlight w:val="none"/>
          <w:lang w:eastAsia="zh-CN"/>
        </w:rPr>
        <w:t>一档（2分）</w:t>
      </w:r>
      <w:r>
        <w:rPr>
          <w:rFonts w:hint="eastAsia" w:hAnsi="宋体" w:cs="宋体"/>
          <w:color w:val="auto"/>
          <w:szCs w:val="21"/>
          <w:highlight w:val="none"/>
        </w:rPr>
        <w:t>：没有能满足招标文件提出的目标要求的措施；没有综合协调措施；没有要点分析，没有环境保护与文明施工措施</w:t>
      </w:r>
      <w:r>
        <w:rPr>
          <w:rFonts w:hint="eastAsia" w:hAnsi="宋体" w:cs="宋体"/>
          <w:color w:val="auto"/>
          <w:szCs w:val="21"/>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hAnsi="宋体" w:cs="宋体"/>
          <w:color w:val="auto"/>
          <w:szCs w:val="21"/>
          <w:highlight w:val="none"/>
        </w:rPr>
      </w:pPr>
      <w:r>
        <w:rPr>
          <w:rFonts w:hint="eastAsia" w:hAnsi="宋体" w:cs="宋体"/>
          <w:color w:val="auto"/>
          <w:szCs w:val="21"/>
          <w:highlight w:val="none"/>
          <w:lang w:eastAsia="zh-CN"/>
        </w:rPr>
        <w:t>二档（4分）</w:t>
      </w:r>
      <w:r>
        <w:rPr>
          <w:rFonts w:hint="eastAsia" w:hAnsi="宋体" w:cs="宋体"/>
          <w:color w:val="auto"/>
          <w:szCs w:val="21"/>
          <w:highlight w:val="none"/>
        </w:rPr>
        <w:t>：有目标，有措施，但不能很好满足招标文件提出的目标要求；方法不明确，有措施但内容没有针对性，有综合协调方案但不够完整；要点分析不完整，环境保护与文明施工措施不完整。</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三档（6分）</w:t>
      </w:r>
      <w:r>
        <w:rPr>
          <w:rFonts w:hint="eastAsia" w:hAnsi="宋体" w:cs="宋体"/>
          <w:color w:val="auto"/>
          <w:szCs w:val="21"/>
          <w:highlight w:val="none"/>
        </w:rPr>
        <w:t>：目标明确，措施得力，能满足招标文件提出的目标要求；方法明确，措施内容有针对性，有完整的综合协调方案；有要点分析，根据工程特点制定了完整的环境保护与文明施工措施。</w:t>
      </w:r>
    </w:p>
    <w:p>
      <w:pPr>
        <w:pStyle w:val="19"/>
        <w:keepNext w:val="0"/>
        <w:keepLines w:val="0"/>
        <w:pageBreakBefore w:val="0"/>
        <w:widowControl w:val="0"/>
        <w:kinsoku/>
        <w:wordWrap/>
        <w:overflowPunct/>
        <w:topLinePunct w:val="0"/>
        <w:autoSpaceDE/>
        <w:autoSpaceDN/>
        <w:bidi w:val="0"/>
        <w:adjustRightInd/>
        <w:snapToGrid/>
        <w:spacing w:line="360" w:lineRule="auto"/>
        <w:ind w:firstLine="407" w:firstLineChars="193"/>
        <w:textAlignment w:val="auto"/>
        <w:rPr>
          <w:rFonts w:hAnsi="宋体" w:cs="宋体"/>
          <w:b/>
          <w:bCs/>
          <w:color w:val="auto"/>
          <w:szCs w:val="21"/>
          <w:highlight w:val="none"/>
        </w:rPr>
      </w:pPr>
      <w:r>
        <w:rPr>
          <w:rFonts w:hint="eastAsia" w:hAnsi="宋体" w:cs="宋体"/>
          <w:b/>
          <w:bCs/>
          <w:color w:val="auto"/>
          <w:szCs w:val="21"/>
          <w:highlight w:val="none"/>
        </w:rPr>
        <w:t>⑦履行安全职责措施（满分</w:t>
      </w:r>
      <w:r>
        <w:rPr>
          <w:rFonts w:hint="eastAsia" w:hAnsi="宋体" w:cs="宋体"/>
          <w:b/>
          <w:bCs/>
          <w:color w:val="auto"/>
          <w:szCs w:val="21"/>
          <w:highlight w:val="none"/>
          <w:lang w:val="en-US" w:eastAsia="zh-CN"/>
        </w:rPr>
        <w:t>3</w:t>
      </w:r>
      <w:r>
        <w:rPr>
          <w:rFonts w:hint="eastAsia" w:hAnsi="宋体" w:cs="宋体"/>
          <w:b/>
          <w:bCs/>
          <w:color w:val="auto"/>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一档（1分）</w:t>
      </w:r>
      <w:r>
        <w:rPr>
          <w:rFonts w:hint="eastAsia" w:hAnsi="宋体" w:cs="宋体"/>
          <w:color w:val="auto"/>
          <w:szCs w:val="21"/>
          <w:highlight w:val="none"/>
        </w:rPr>
        <w:t>：提出的目标要求的措施不合理；没有综合协调措施；没有要点分析，没有履行安全职责的措施。</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二档（2分）</w:t>
      </w:r>
      <w:r>
        <w:rPr>
          <w:rFonts w:hint="eastAsia" w:hAnsi="宋体" w:cs="宋体"/>
          <w:color w:val="auto"/>
          <w:szCs w:val="21"/>
          <w:highlight w:val="none"/>
        </w:rPr>
        <w:t>：有目标，有措施，但不能很好满足招标文件提出的目标要求；方法不明确，有措施但内容没有针对性，有综合协调方案但不够完整；要点分析不完整，履行安全职责的措施不完整。</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Ansi="宋体" w:cs="宋体"/>
          <w:color w:val="auto"/>
          <w:szCs w:val="21"/>
          <w:highlight w:val="none"/>
        </w:rPr>
      </w:pPr>
      <w:r>
        <w:rPr>
          <w:rFonts w:hint="eastAsia" w:hAnsi="宋体" w:cs="宋体"/>
          <w:color w:val="auto"/>
          <w:szCs w:val="21"/>
          <w:highlight w:val="none"/>
          <w:lang w:eastAsia="zh-CN"/>
        </w:rPr>
        <w:t>三档（3分）</w:t>
      </w:r>
      <w:r>
        <w:rPr>
          <w:rFonts w:hint="eastAsia" w:hAnsi="宋体" w:cs="宋体"/>
          <w:color w:val="auto"/>
          <w:szCs w:val="21"/>
          <w:highlight w:val="none"/>
        </w:rPr>
        <w:t>：目标明确，措施得力，能满足招标文件提出的目标要求；方法明确，措施内容有针对性，有完整的综合协调方案；有要点分析。根据工程特点制定了完整的履行安全职责的措施。</w:t>
      </w:r>
    </w:p>
    <w:p>
      <w:pPr>
        <w:pStyle w:val="19"/>
        <w:spacing w:line="320" w:lineRule="exact"/>
        <w:ind w:firstLine="422" w:firstLineChars="200"/>
        <w:rPr>
          <w:rFonts w:hAnsi="宋体" w:cs="宋体"/>
          <w:color w:val="auto"/>
          <w:szCs w:val="21"/>
          <w:highlight w:val="none"/>
        </w:rPr>
      </w:pPr>
      <w:r>
        <w:rPr>
          <w:rFonts w:hint="eastAsia" w:hAnsi="宋体" w:cs="宋体"/>
          <w:b/>
          <w:color w:val="auto"/>
          <w:szCs w:val="21"/>
          <w:highlight w:val="none"/>
        </w:rPr>
        <w:t>3</w:t>
      </w:r>
      <w:r>
        <w:rPr>
          <w:rFonts w:hint="eastAsia" w:hAnsi="宋体" w:cs="宋体"/>
          <w:b/>
          <w:bCs/>
          <w:color w:val="auto"/>
          <w:szCs w:val="21"/>
          <w:highlight w:val="none"/>
        </w:rPr>
        <w:t>、</w:t>
      </w:r>
      <w:r>
        <w:rPr>
          <w:rFonts w:hint="eastAsia" w:hAnsi="宋体" w:cs="宋体"/>
          <w:b/>
          <w:color w:val="auto"/>
          <w:szCs w:val="21"/>
          <w:highlight w:val="none"/>
        </w:rPr>
        <w:t>拟投入本项目实施人员情况分..........................................1</w:t>
      </w:r>
      <w:r>
        <w:rPr>
          <w:rFonts w:hint="eastAsia" w:hAnsi="宋体" w:cs="宋体"/>
          <w:b/>
          <w:color w:val="auto"/>
          <w:szCs w:val="21"/>
          <w:highlight w:val="none"/>
          <w:lang w:val="en-US" w:eastAsia="zh-CN"/>
        </w:rPr>
        <w:t>5</w:t>
      </w:r>
      <w:r>
        <w:rPr>
          <w:rFonts w:hint="eastAsia" w:hAnsi="宋体" w:cs="宋体"/>
          <w:b/>
          <w:color w:val="auto"/>
          <w:szCs w:val="21"/>
          <w:highlight w:val="none"/>
        </w:rPr>
        <w:t xml:space="preserve">分    </w:t>
      </w:r>
      <w:r>
        <w:rPr>
          <w:rFonts w:hint="eastAsia" w:hAnsi="宋体" w:cs="宋体"/>
          <w:color w:val="auto"/>
          <w:szCs w:val="21"/>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color w:val="auto"/>
          <w:highlight w:val="none"/>
        </w:rPr>
      </w:pPr>
      <w:r>
        <w:rPr>
          <w:rFonts w:hint="eastAsia" w:hAnsi="宋体"/>
          <w:color w:val="auto"/>
          <w:szCs w:val="21"/>
          <w:highlight w:val="none"/>
          <w:lang w:eastAsia="zh-CN"/>
        </w:rPr>
        <w:t>一档（3分）</w:t>
      </w:r>
      <w:r>
        <w:rPr>
          <w:rFonts w:hint="eastAsia" w:hAnsi="宋体"/>
          <w:color w:val="auto"/>
          <w:szCs w:val="21"/>
          <w:highlight w:val="none"/>
        </w:rPr>
        <w:t>项目组织机构和人员配备</w:t>
      </w:r>
      <w:r>
        <w:rPr>
          <w:rFonts w:hint="eastAsia" w:hAnsi="宋体"/>
          <w:color w:val="auto"/>
          <w:szCs w:val="21"/>
          <w:highlight w:val="none"/>
          <w:lang w:val="en-US" w:eastAsia="zh-CN"/>
        </w:rPr>
        <w:t>简单</w:t>
      </w:r>
      <w:r>
        <w:rPr>
          <w:rFonts w:hint="eastAsia" w:hAnsi="宋体"/>
          <w:color w:val="auto"/>
          <w:szCs w:val="21"/>
          <w:highlight w:val="none"/>
        </w:rPr>
        <w:t>，具有</w:t>
      </w:r>
      <w:r>
        <w:rPr>
          <w:rFonts w:hint="eastAsia"/>
          <w:color w:val="auto"/>
          <w:highlight w:val="none"/>
        </w:rPr>
        <w:t>地质灾害治理工程监理培训证书（有效期内）</w:t>
      </w:r>
      <w:r>
        <w:rPr>
          <w:rFonts w:hint="eastAsia" w:hAnsi="宋体"/>
          <w:color w:val="auto"/>
          <w:szCs w:val="21"/>
          <w:highlight w:val="none"/>
        </w:rPr>
        <w:t>人数1—3人</w:t>
      </w:r>
      <w:r>
        <w:rPr>
          <w:rFonts w:hint="eastAsia" w:hAnsi="宋体"/>
          <w:color w:val="auto"/>
          <w:szCs w:val="21"/>
          <w:highlight w:val="none"/>
          <w:lang w:eastAsia="zh-CN"/>
        </w:rPr>
        <w:t>（包括总监理工程师）</w:t>
      </w:r>
      <w:r>
        <w:rPr>
          <w:rFonts w:hint="eastAsia" w:hAnsi="宋体"/>
          <w:color w:val="auto"/>
          <w:szCs w:val="21"/>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color w:val="auto"/>
          <w:highlight w:val="none"/>
        </w:rPr>
      </w:pPr>
      <w:r>
        <w:rPr>
          <w:rFonts w:hint="eastAsia"/>
          <w:color w:val="auto"/>
          <w:highlight w:val="none"/>
          <w:lang w:eastAsia="zh-CN"/>
        </w:rPr>
        <w:t>二档（7分）</w:t>
      </w:r>
      <w:r>
        <w:rPr>
          <w:rFonts w:hint="eastAsia"/>
          <w:color w:val="auto"/>
          <w:highlight w:val="none"/>
        </w:rPr>
        <w:t>项目组织机构和人员配备较齐全，具有地质灾害治理工程监理培训证书（有效期内）人数为4—7人（包括总监理工程师）；</w:t>
      </w:r>
    </w:p>
    <w:p>
      <w:pPr>
        <w:pStyle w:val="19"/>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hAnsi="宋体"/>
          <w:color w:val="auto"/>
          <w:szCs w:val="21"/>
          <w:highlight w:val="none"/>
        </w:rPr>
      </w:pPr>
      <w:r>
        <w:rPr>
          <w:rFonts w:hint="eastAsia" w:hAnsi="宋体"/>
          <w:color w:val="auto"/>
          <w:szCs w:val="21"/>
          <w:highlight w:val="none"/>
          <w:lang w:eastAsia="zh-CN"/>
        </w:rPr>
        <w:t>三档（11分）</w:t>
      </w:r>
      <w:r>
        <w:rPr>
          <w:rFonts w:hint="eastAsia" w:hAnsi="宋体"/>
          <w:color w:val="auto"/>
          <w:szCs w:val="21"/>
          <w:highlight w:val="none"/>
        </w:rPr>
        <w:t>项目组织机构和人员配备较齐全，具有</w:t>
      </w:r>
      <w:r>
        <w:rPr>
          <w:rFonts w:hint="eastAsia"/>
          <w:color w:val="auto"/>
          <w:highlight w:val="none"/>
        </w:rPr>
        <w:t>地质灾害治理工程监理培训证书（有效期内）</w:t>
      </w:r>
      <w:r>
        <w:rPr>
          <w:rFonts w:hint="eastAsia" w:hAnsi="宋体"/>
          <w:color w:val="auto"/>
          <w:szCs w:val="21"/>
          <w:highlight w:val="none"/>
        </w:rPr>
        <w:t>人数为</w:t>
      </w:r>
      <w:r>
        <w:rPr>
          <w:rFonts w:hint="eastAsia" w:hAnsi="宋体"/>
          <w:color w:val="auto"/>
          <w:szCs w:val="21"/>
          <w:highlight w:val="none"/>
          <w:lang w:val="en-US" w:eastAsia="zh-CN"/>
        </w:rPr>
        <w:t>8</w:t>
      </w:r>
      <w:r>
        <w:rPr>
          <w:rFonts w:hint="eastAsia" w:hAnsi="宋体"/>
          <w:color w:val="auto"/>
          <w:szCs w:val="21"/>
          <w:highlight w:val="none"/>
        </w:rPr>
        <w:t>—</w:t>
      </w:r>
      <w:r>
        <w:rPr>
          <w:rFonts w:hint="eastAsia" w:hAnsi="宋体"/>
          <w:color w:val="auto"/>
          <w:szCs w:val="21"/>
          <w:highlight w:val="none"/>
          <w:lang w:val="en-US" w:eastAsia="zh-CN"/>
        </w:rPr>
        <w:t>11</w:t>
      </w:r>
      <w:r>
        <w:rPr>
          <w:rFonts w:hint="eastAsia" w:hAnsi="宋体"/>
          <w:color w:val="auto"/>
          <w:szCs w:val="21"/>
          <w:highlight w:val="none"/>
        </w:rPr>
        <w:t>人</w:t>
      </w:r>
      <w:r>
        <w:rPr>
          <w:rFonts w:hint="eastAsia" w:hAnsi="宋体"/>
          <w:color w:val="auto"/>
          <w:szCs w:val="21"/>
          <w:highlight w:val="none"/>
          <w:lang w:eastAsia="zh-CN"/>
        </w:rPr>
        <w:t>（包括总监理工程师）</w:t>
      </w:r>
      <w:r>
        <w:rPr>
          <w:rFonts w:hint="eastAsia" w:hAnsi="宋体"/>
          <w:color w:val="auto"/>
          <w:szCs w:val="21"/>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color w:val="auto"/>
          <w:highlight w:val="none"/>
        </w:rPr>
      </w:pPr>
      <w:r>
        <w:rPr>
          <w:rFonts w:hint="eastAsia" w:hAnsi="宋体"/>
          <w:color w:val="auto"/>
          <w:szCs w:val="21"/>
          <w:highlight w:val="none"/>
          <w:lang w:eastAsia="zh-CN"/>
        </w:rPr>
        <w:t>四档（15分）</w:t>
      </w:r>
      <w:r>
        <w:rPr>
          <w:rFonts w:hint="eastAsia" w:hAnsi="宋体"/>
          <w:color w:val="auto"/>
          <w:szCs w:val="21"/>
          <w:highlight w:val="none"/>
        </w:rPr>
        <w:t>项目组织机构和人员配备齐全，具有</w:t>
      </w:r>
      <w:r>
        <w:rPr>
          <w:rFonts w:hint="eastAsia"/>
          <w:color w:val="auto"/>
          <w:highlight w:val="none"/>
        </w:rPr>
        <w:t>地质灾害治理工程监理培训证书（有效期内）</w:t>
      </w:r>
      <w:r>
        <w:rPr>
          <w:rFonts w:hint="eastAsia" w:hAnsi="宋体"/>
          <w:color w:val="auto"/>
          <w:szCs w:val="21"/>
          <w:highlight w:val="none"/>
        </w:rPr>
        <w:t>人数为</w:t>
      </w:r>
      <w:r>
        <w:rPr>
          <w:rFonts w:hint="eastAsia" w:hAnsi="宋体"/>
          <w:color w:val="auto"/>
          <w:szCs w:val="21"/>
          <w:highlight w:val="none"/>
          <w:lang w:val="en-US" w:eastAsia="zh-CN"/>
        </w:rPr>
        <w:t>11</w:t>
      </w:r>
      <w:r>
        <w:rPr>
          <w:rFonts w:hint="eastAsia" w:hAnsi="宋体"/>
          <w:color w:val="auto"/>
          <w:szCs w:val="21"/>
          <w:highlight w:val="none"/>
        </w:rPr>
        <w:t>人</w:t>
      </w:r>
      <w:r>
        <w:rPr>
          <w:rFonts w:hint="eastAsia" w:hAnsi="宋体"/>
          <w:color w:val="auto"/>
          <w:szCs w:val="21"/>
          <w:highlight w:val="none"/>
          <w:lang w:eastAsia="zh-CN"/>
        </w:rPr>
        <w:t>以上（包括总监理工程师）</w:t>
      </w:r>
      <w:r>
        <w:rPr>
          <w:rFonts w:hint="eastAsia"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before="1" w:line="360" w:lineRule="auto"/>
        <w:ind w:firstLine="420" w:firstLineChars="200"/>
        <w:textAlignment w:val="auto"/>
        <w:rPr>
          <w:rFonts w:hint="eastAsia" w:hAnsi="宋体"/>
          <w:color w:val="auto"/>
          <w:highlight w:val="none"/>
          <w:lang w:eastAsia="zh-CN"/>
        </w:rPr>
      </w:pPr>
      <w:r>
        <w:rPr>
          <w:rFonts w:hint="eastAsia" w:hAnsi="宋体"/>
          <w:color w:val="auto"/>
          <w:highlight w:val="none"/>
        </w:rPr>
        <w:t>备注：需</w:t>
      </w:r>
      <w:r>
        <w:rPr>
          <w:rFonts w:hint="eastAsia" w:hAnsi="宋体"/>
          <w:color w:val="auto"/>
          <w:szCs w:val="21"/>
          <w:highlight w:val="none"/>
        </w:rPr>
        <w:t>提供</w:t>
      </w:r>
      <w:r>
        <w:rPr>
          <w:rFonts w:hint="eastAsia" w:hAnsi="宋体"/>
          <w:color w:val="auto"/>
          <w:szCs w:val="21"/>
          <w:highlight w:val="none"/>
          <w:lang w:val="en-US" w:eastAsia="zh-CN"/>
        </w:rPr>
        <w:t>人员证书复印件以及</w:t>
      </w:r>
      <w:r>
        <w:rPr>
          <w:rFonts w:hint="eastAsia" w:ascii="Times New Roman" w:hAnsi="宋体"/>
          <w:color w:val="auto"/>
          <w:szCs w:val="21"/>
          <w:highlight w:val="none"/>
          <w:lang w:val="en-US" w:eastAsia="zh-CN"/>
        </w:rPr>
        <w:t>供应商</w:t>
      </w:r>
      <w:r>
        <w:rPr>
          <w:rFonts w:hint="eastAsia" w:ascii="Times New Roman" w:hAnsi="宋体"/>
          <w:color w:val="auto"/>
          <w:szCs w:val="21"/>
          <w:highlight w:val="none"/>
        </w:rPr>
        <w:t>为</w:t>
      </w:r>
      <w:r>
        <w:rPr>
          <w:rFonts w:hint="eastAsia" w:hAnsi="宋体"/>
          <w:color w:val="auto"/>
          <w:highlight w:val="none"/>
        </w:rPr>
        <w:t>项目实施人员</w:t>
      </w:r>
      <w:r>
        <w:rPr>
          <w:rFonts w:hint="eastAsia" w:hAnsi="宋体"/>
          <w:color w:val="auto"/>
          <w:highlight w:val="none"/>
          <w:lang w:val="en-US" w:eastAsia="zh-CN"/>
        </w:rPr>
        <w:t>2024年以来任意连续三个月缴纳社保的证明材料复印件</w:t>
      </w:r>
      <w:r>
        <w:rPr>
          <w:rFonts w:hint="eastAsia" w:hAnsi="宋体"/>
          <w:color w:val="auto"/>
          <w:highlight w:val="none"/>
        </w:rPr>
        <w:t>加盖</w:t>
      </w:r>
      <w:r>
        <w:rPr>
          <w:rFonts w:hint="eastAsia" w:hAnsi="宋体"/>
          <w:color w:val="auto"/>
          <w:highlight w:val="none"/>
          <w:lang w:val="en-US" w:eastAsia="zh-CN"/>
        </w:rPr>
        <w:t>供应商CA公章（若为近期新聘员工的，以提供劳动合同证明材料复印件为准；若为退休人员的，以提供退休证及劳动合同证明材料复印件为准）</w:t>
      </w:r>
      <w:r>
        <w:rPr>
          <w:rFonts w:hint="eastAsia" w:hAnsi="宋体"/>
          <w:color w:val="auto"/>
          <w:highlight w:val="none"/>
          <w:lang w:eastAsia="zh-CN"/>
        </w:rPr>
        <w:t>。</w:t>
      </w:r>
    </w:p>
    <w:p>
      <w:pPr>
        <w:pStyle w:val="19"/>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rPr>
      </w:pPr>
      <w:r>
        <w:rPr>
          <w:rFonts w:hint="eastAsia" w:hAnsi="宋体" w:cs="宋体"/>
          <w:b/>
          <w:color w:val="auto"/>
          <w:szCs w:val="21"/>
          <w:highlight w:val="none"/>
          <w:lang w:val="en-US" w:eastAsia="zh-CN"/>
        </w:rPr>
        <w:t>4、</w:t>
      </w:r>
      <w:r>
        <w:rPr>
          <w:rFonts w:hint="eastAsia" w:ascii="宋体" w:hAnsi="宋体" w:cs="宋体"/>
          <w:b/>
          <w:color w:val="auto"/>
          <w:szCs w:val="21"/>
          <w:highlight w:val="none"/>
          <w:lang w:eastAsia="zh-CN"/>
        </w:rPr>
        <w:t>监理服务承诺</w:t>
      </w:r>
      <w:r>
        <w:rPr>
          <w:rFonts w:hint="eastAsia" w:ascii="宋体" w:hAnsi="宋体" w:cs="宋体"/>
          <w:b/>
          <w:color w:val="auto"/>
          <w:szCs w:val="21"/>
          <w:highlight w:val="none"/>
        </w:rPr>
        <w:t>分</w:t>
      </w:r>
      <w:r>
        <w:rPr>
          <w:rFonts w:hint="eastAsia" w:ascii="宋体" w:hAnsi="宋体" w:cs="宋体"/>
          <w:b/>
          <w:bCs/>
          <w:color w:val="auto"/>
          <w:szCs w:val="21"/>
          <w:highlight w:val="none"/>
        </w:rPr>
        <w:t>…………………………………………………………………………</w:t>
      </w:r>
      <w:r>
        <w:rPr>
          <w:rFonts w:hint="eastAsia" w:ascii="宋体" w:hAnsi="宋体" w:cs="宋体"/>
          <w:b/>
          <w:bCs/>
          <w:color w:val="auto"/>
          <w:spacing w:val="-1"/>
          <w:szCs w:val="21"/>
          <w:highlight w:val="none"/>
          <w:lang w:val="en-US" w:eastAsia="zh-CN"/>
        </w:rPr>
        <w:t>5</w:t>
      </w:r>
      <w:r>
        <w:rPr>
          <w:rFonts w:ascii="宋体" w:hAnsi="宋体" w:cs="宋体"/>
          <w:b/>
          <w:bCs/>
          <w:color w:val="auto"/>
          <w:spacing w:val="-1"/>
          <w:szCs w:val="21"/>
          <w:highlight w:val="none"/>
        </w:rPr>
        <w:t>分</w:t>
      </w:r>
    </w:p>
    <w:p>
      <w:pPr>
        <w:pStyle w:val="19"/>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由评委在打分前根据招标文件中的要求，供应商的监理服务承诺书中的服务内容及服务承诺的完整性、可行性条件等因素以及评委认为有必要考虑的其它因素确定各供应商所属档次后，由评委在相应档次内独立打分。其中：</w:t>
      </w:r>
    </w:p>
    <w:p>
      <w:pPr>
        <w:pStyle w:val="19"/>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textAlignment w:val="auto"/>
        <w:rPr>
          <w:rFonts w:hint="eastAsia"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一档（1分）：供应商的监理服务承诺书中的服务内容及服务承诺一般，完整性、可行性条件一般。</w:t>
      </w:r>
    </w:p>
    <w:p>
      <w:pPr>
        <w:pStyle w:val="19"/>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textAlignment w:val="auto"/>
        <w:rPr>
          <w:rFonts w:hint="eastAsia"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二档（3分）：供应商的监理服务承诺书中的服务内容及服务承诺比较具体，完整性、可行性条件良好；</w:t>
      </w:r>
    </w:p>
    <w:p>
      <w:pPr>
        <w:pStyle w:val="19"/>
        <w:spacing w:line="360" w:lineRule="auto"/>
        <w:ind w:firstLine="422" w:firstLineChars="201"/>
        <w:rPr>
          <w:rFonts w:hint="eastAsia" w:hAnsi="宋体"/>
          <w:color w:val="auto"/>
          <w:szCs w:val="21"/>
          <w:highlight w:val="none"/>
          <w:shd w:val="clear" w:color="auto" w:fill="auto"/>
          <w:lang w:val="en-US" w:eastAsia="zh-CN"/>
        </w:rPr>
      </w:pPr>
      <w:r>
        <w:rPr>
          <w:rFonts w:hint="eastAsia" w:hAnsi="宋体"/>
          <w:color w:val="auto"/>
          <w:szCs w:val="21"/>
          <w:highlight w:val="none"/>
          <w:shd w:val="clear" w:color="auto" w:fill="auto"/>
          <w:lang w:val="en-US" w:eastAsia="zh-CN"/>
        </w:rPr>
        <w:t>三档（5分）：供应商的监理服务承诺书中的服务内容及服务承诺非常详细，完整性、可行性条件好。</w:t>
      </w:r>
    </w:p>
    <w:p>
      <w:pPr>
        <w:spacing w:before="1" w:line="320" w:lineRule="exact"/>
        <w:ind w:firstLine="418" w:firstLineChars="200"/>
        <w:rPr>
          <w:rFonts w:ascii="宋体" w:hAnsi="宋体" w:cs="宋体"/>
          <w:b/>
          <w:bCs/>
          <w:color w:val="auto"/>
          <w:spacing w:val="-1"/>
          <w:szCs w:val="21"/>
          <w:highlight w:val="none"/>
        </w:rPr>
      </w:pPr>
      <w:r>
        <w:rPr>
          <w:rFonts w:hint="eastAsia" w:ascii="宋体" w:hAnsi="宋体" w:cs="宋体"/>
          <w:b/>
          <w:bCs/>
          <w:color w:val="auto"/>
          <w:spacing w:val="-1"/>
          <w:szCs w:val="21"/>
          <w:highlight w:val="none"/>
          <w:lang w:val="en-US" w:eastAsia="zh-CN"/>
        </w:rPr>
        <w:t>5、</w:t>
      </w:r>
      <w:r>
        <w:rPr>
          <w:rFonts w:ascii="宋体" w:hAnsi="宋体" w:cs="宋体"/>
          <w:b/>
          <w:bCs/>
          <w:color w:val="auto"/>
          <w:spacing w:val="-1"/>
          <w:szCs w:val="21"/>
          <w:highlight w:val="none"/>
        </w:rPr>
        <w:t>信誉业绩分</w:t>
      </w:r>
      <w:r>
        <w:rPr>
          <w:rFonts w:hint="eastAsia" w:ascii="宋体" w:hAnsi="宋体" w:cs="宋体"/>
          <w:b/>
          <w:bCs/>
          <w:color w:val="auto"/>
          <w:szCs w:val="21"/>
          <w:highlight w:val="none"/>
        </w:rPr>
        <w:t>………………………………………………………………………………</w:t>
      </w:r>
      <w:r>
        <w:rPr>
          <w:rFonts w:hint="eastAsia" w:ascii="宋体" w:hAnsi="宋体" w:cs="宋体"/>
          <w:b/>
          <w:bCs/>
          <w:color w:val="auto"/>
          <w:spacing w:val="-1"/>
          <w:szCs w:val="21"/>
          <w:highlight w:val="none"/>
        </w:rPr>
        <w:t>1</w:t>
      </w:r>
      <w:r>
        <w:rPr>
          <w:rFonts w:hint="eastAsia" w:ascii="宋体" w:hAnsi="宋体" w:cs="宋体"/>
          <w:b/>
          <w:bCs/>
          <w:color w:val="auto"/>
          <w:spacing w:val="-1"/>
          <w:szCs w:val="21"/>
          <w:highlight w:val="none"/>
          <w:lang w:val="en-US" w:eastAsia="zh-CN"/>
        </w:rPr>
        <w:t>3</w:t>
      </w:r>
      <w:r>
        <w:rPr>
          <w:rFonts w:ascii="宋体" w:hAnsi="宋体" w:cs="宋体"/>
          <w:b/>
          <w:bCs/>
          <w:color w:val="auto"/>
          <w:spacing w:val="-1"/>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hAnsi="宋体" w:eastAsia="宋体" w:cs="宋体"/>
          <w:color w:val="auto"/>
          <w:szCs w:val="21"/>
          <w:highlight w:val="none"/>
          <w:lang w:eastAsia="zh-CN"/>
        </w:rPr>
      </w:pPr>
      <w:r>
        <w:rPr>
          <w:rFonts w:hint="eastAsia" w:hAnsi="宋体" w:cs="宋体"/>
          <w:color w:val="auto"/>
          <w:szCs w:val="21"/>
          <w:highlight w:val="none"/>
        </w:rPr>
        <w:t>（1）供应商具有有效的质量管理体系认证证书复印件得</w:t>
      </w:r>
      <w:r>
        <w:rPr>
          <w:rFonts w:hint="eastAsia" w:hAnsi="宋体" w:cs="宋体"/>
          <w:color w:val="auto"/>
          <w:szCs w:val="21"/>
          <w:highlight w:val="none"/>
          <w:lang w:val="en-US" w:eastAsia="zh-CN"/>
        </w:rPr>
        <w:t>1</w:t>
      </w:r>
      <w:r>
        <w:rPr>
          <w:rFonts w:hint="eastAsia" w:hAnsi="宋体" w:cs="宋体"/>
          <w:color w:val="auto"/>
          <w:szCs w:val="21"/>
          <w:highlight w:val="none"/>
        </w:rPr>
        <w:t>分</w:t>
      </w:r>
      <w:r>
        <w:rPr>
          <w:rFonts w:hint="eastAsia" w:hAnsi="宋体" w:cs="宋体"/>
          <w:color w:val="auto"/>
          <w:szCs w:val="21"/>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05" w:firstLineChars="193"/>
        <w:textAlignment w:val="auto"/>
        <w:rPr>
          <w:rFonts w:hint="eastAsia" w:hAnsi="宋体" w:cs="宋体"/>
          <w:color w:val="auto"/>
          <w:szCs w:val="21"/>
          <w:highlight w:val="none"/>
          <w:lang w:eastAsia="zh-CN"/>
        </w:rPr>
      </w:pPr>
      <w:r>
        <w:rPr>
          <w:rFonts w:hint="eastAsia" w:hAnsi="宋体" w:cs="宋体"/>
          <w:color w:val="auto"/>
          <w:szCs w:val="21"/>
          <w:highlight w:val="none"/>
        </w:rPr>
        <w:t>（2）供应商2021年1月1日以来具有同类项目的业绩相关证明材料（无不良记录，以中标、成交通知书或签订的合同为准，并能清晰反映项目的名称、采购内容、采购时间），每个得</w:t>
      </w:r>
      <w:r>
        <w:rPr>
          <w:rFonts w:hint="eastAsia" w:hAnsi="宋体" w:cs="宋体"/>
          <w:color w:val="auto"/>
          <w:szCs w:val="21"/>
          <w:highlight w:val="none"/>
          <w:lang w:val="en-US" w:eastAsia="zh-CN"/>
        </w:rPr>
        <w:t>1</w:t>
      </w:r>
      <w:r>
        <w:rPr>
          <w:rFonts w:hint="eastAsia" w:hAnsi="宋体" w:cs="宋体"/>
          <w:color w:val="auto"/>
          <w:szCs w:val="21"/>
          <w:highlight w:val="none"/>
        </w:rPr>
        <w:t>分</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最多得12</w:t>
      </w:r>
      <w:r>
        <w:rPr>
          <w:rFonts w:hint="eastAsia" w:hAnsi="宋体" w:cs="宋体"/>
          <w:color w:val="auto"/>
          <w:szCs w:val="21"/>
          <w:highlight w:val="none"/>
        </w:rPr>
        <w:t>分</w:t>
      </w:r>
      <w:r>
        <w:rPr>
          <w:rFonts w:hint="eastAsia" w:hAnsi="宋体" w:cs="宋体"/>
          <w:color w:val="auto"/>
          <w:szCs w:val="21"/>
          <w:highlight w:val="none"/>
          <w:lang w:eastAsia="zh-CN"/>
        </w:rPr>
        <w:t>。</w:t>
      </w:r>
    </w:p>
    <w:p>
      <w:pPr>
        <w:numPr>
          <w:ilvl w:val="0"/>
          <w:numId w:val="0"/>
        </w:numPr>
        <w:ind w:firstLine="422" w:firstLineChars="200"/>
        <w:rPr>
          <w:b/>
          <w:bCs/>
          <w:color w:val="auto"/>
          <w:highlight w:val="none"/>
        </w:rPr>
      </w:pPr>
      <w:r>
        <w:rPr>
          <w:rFonts w:hint="eastAsia" w:ascii="宋体" w:hAnsi="宋体" w:eastAsia="宋体"/>
          <w:b/>
          <w:bCs/>
          <w:color w:val="auto"/>
          <w:sz w:val="21"/>
          <w:szCs w:val="21"/>
          <w:highlight w:val="none"/>
          <w:lang w:eastAsia="zh-CN"/>
        </w:rPr>
        <w:t>注：未提供的不得分</w:t>
      </w:r>
    </w:p>
    <w:p>
      <w:pPr>
        <w:spacing w:line="320" w:lineRule="exact"/>
        <w:ind w:firstLine="422" w:firstLineChars="200"/>
        <w:rPr>
          <w:rFonts w:hint="default" w:ascii="宋体" w:hAnsi="宋体" w:eastAsia="宋体" w:cs="宋体"/>
          <w:color w:val="auto"/>
          <w:szCs w:val="21"/>
          <w:highlight w:val="none"/>
          <w:lang w:val="en-US" w:eastAsia="zh-CN"/>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、综合得分＝1+2+3+4</w:t>
      </w:r>
      <w:r>
        <w:rPr>
          <w:rFonts w:hint="eastAsia" w:ascii="宋体" w:hAnsi="宋体" w:cs="宋体"/>
          <w:b/>
          <w:color w:val="auto"/>
          <w:szCs w:val="21"/>
          <w:highlight w:val="none"/>
          <w:lang w:val="en-US" w:eastAsia="zh-CN"/>
        </w:rPr>
        <w:t>+5</w:t>
      </w:r>
    </w:p>
    <w:p>
      <w:pPr>
        <w:pStyle w:val="4"/>
        <w:pageBreakBefore w:val="0"/>
        <w:kinsoku/>
        <w:wordWrap w:val="0"/>
        <w:topLinePunct w:val="0"/>
        <w:bidi w:val="0"/>
        <w:spacing w:before="0" w:after="0" w:line="400" w:lineRule="exact"/>
        <w:ind w:firstLine="422" w:firstLineChars="200"/>
        <w:rPr>
          <w:rFonts w:ascii="宋体" w:hAnsi="宋体" w:cs="宋体"/>
          <w:color w:val="auto"/>
          <w:sz w:val="21"/>
          <w:szCs w:val="21"/>
          <w:highlight w:val="none"/>
        </w:rPr>
      </w:pPr>
    </w:p>
    <w:p>
      <w:pPr>
        <w:pStyle w:val="19"/>
        <w:pageBreakBefore w:val="0"/>
        <w:tabs>
          <w:tab w:val="left" w:pos="4214"/>
        </w:tabs>
        <w:kinsoku/>
        <w:wordWrap w:val="0"/>
        <w:topLinePunct w:val="0"/>
        <w:bidi w:val="0"/>
        <w:spacing w:line="460" w:lineRule="exact"/>
        <w:ind w:firstLine="422"/>
        <w:rPr>
          <w:rFonts w:hAnsi="宋体" w:cs="宋体"/>
          <w:b/>
          <w:color w:val="auto"/>
          <w:szCs w:val="21"/>
          <w:highlight w:val="none"/>
        </w:rPr>
      </w:pPr>
      <w:r>
        <w:rPr>
          <w:rFonts w:hint="eastAsia" w:hAnsi="宋体" w:cs="宋体"/>
          <w:b/>
          <w:color w:val="auto"/>
          <w:szCs w:val="21"/>
          <w:highlight w:val="none"/>
        </w:rPr>
        <w:t>三、推荐及确定成交候选供应商原则</w:t>
      </w:r>
    </w:p>
    <w:p>
      <w:pPr>
        <w:pageBreakBefore w:val="0"/>
        <w:tabs>
          <w:tab w:val="left" w:pos="1140"/>
        </w:tabs>
        <w:kinsoku/>
        <w:wordWrap w:val="0"/>
        <w:topLinePunct w:val="0"/>
        <w:bidi w:val="0"/>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项目</w:t>
      </w:r>
      <w:r>
        <w:rPr>
          <w:rFonts w:hint="eastAsia" w:ascii="宋体" w:hAnsi="宋体" w:cs="宋体"/>
          <w:color w:val="auto"/>
          <w:kern w:val="0"/>
          <w:szCs w:val="21"/>
          <w:highlight w:val="none"/>
          <w:lang w:eastAsia="zh-CN"/>
        </w:rPr>
        <w:t>监理大纲分</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监理服务承诺分、信誉业绩分</w:t>
      </w:r>
      <w:r>
        <w:rPr>
          <w:rFonts w:hint="eastAsia" w:ascii="宋体" w:hAnsi="宋体" w:cs="宋体"/>
          <w:color w:val="auto"/>
          <w:kern w:val="0"/>
          <w:szCs w:val="21"/>
          <w:highlight w:val="none"/>
        </w:rPr>
        <w:t>由高到低顺序排列并推荐成交候选供应商。</w:t>
      </w:r>
    </w:p>
    <w:p>
      <w:pPr>
        <w:pageBreakBefore w:val="0"/>
        <w:tabs>
          <w:tab w:val="left" w:pos="1140"/>
        </w:tabs>
        <w:kinsoku/>
        <w:wordWrap w:val="0"/>
        <w:topLinePunct w:val="0"/>
        <w:bidi w:val="0"/>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2.本项目确定一名成交供应商。采购单位应当确定磋商小组推荐排名第一的成交候选供应商为成交供应商。</w:t>
      </w:r>
    </w:p>
    <w:p>
      <w:pPr>
        <w:pageBreakBefore w:val="0"/>
        <w:tabs>
          <w:tab w:val="left" w:pos="1140"/>
        </w:tabs>
        <w:kinsoku/>
        <w:wordWrap w:val="0"/>
        <w:topLinePunct w:val="0"/>
        <w:bidi w:val="0"/>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pPr>
        <w:pageBreakBefore w:val="0"/>
        <w:tabs>
          <w:tab w:val="left" w:pos="1140"/>
        </w:tabs>
        <w:kinsoku/>
        <w:wordWrap w:val="0"/>
        <w:topLinePunct w:val="0"/>
        <w:bidi w:val="0"/>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4.排名第二的成交候选供应商因前款规定的同样原因不能签订合同的，采购单位可以确定排名第三的成交候选人为成交供应商。以此类推。</w:t>
      </w:r>
    </w:p>
    <w:p>
      <w:pPr>
        <w:pStyle w:val="4"/>
        <w:pageBreakBefore w:val="0"/>
        <w:kinsoku/>
        <w:wordWrap w:val="0"/>
        <w:topLinePunct w:val="0"/>
        <w:bidi w:val="0"/>
        <w:spacing w:before="0" w:after="0" w:line="400" w:lineRule="exact"/>
        <w:ind w:firstLine="422" w:firstLineChars="200"/>
        <w:rPr>
          <w:rFonts w:ascii="宋体" w:hAnsi="宋体" w:cs="宋体"/>
          <w:color w:val="auto"/>
          <w:sz w:val="21"/>
          <w:szCs w:val="21"/>
          <w:highlight w:val="none"/>
        </w:rPr>
      </w:pPr>
    </w:p>
    <w:p>
      <w:pPr>
        <w:pStyle w:val="4"/>
        <w:pageBreakBefore w:val="0"/>
        <w:kinsoku/>
        <w:wordWrap w:val="0"/>
        <w:topLinePunct w:val="0"/>
        <w:bidi w:val="0"/>
        <w:spacing w:before="0" w:after="0" w:line="400" w:lineRule="exact"/>
        <w:ind w:firstLine="422" w:firstLineChars="200"/>
        <w:rPr>
          <w:rFonts w:ascii="宋体" w:hAnsi="宋体" w:cs="宋体"/>
          <w:color w:val="auto"/>
          <w:sz w:val="21"/>
          <w:szCs w:val="21"/>
          <w:highlight w:val="none"/>
        </w:rPr>
      </w:pPr>
    </w:p>
    <w:p>
      <w:pPr>
        <w:pStyle w:val="4"/>
        <w:pageBreakBefore w:val="0"/>
        <w:kinsoku/>
        <w:wordWrap w:val="0"/>
        <w:topLinePunct w:val="0"/>
        <w:bidi w:val="0"/>
        <w:spacing w:before="0" w:after="0" w:line="400" w:lineRule="exact"/>
        <w:ind w:firstLine="422" w:firstLineChars="200"/>
        <w:rPr>
          <w:rFonts w:ascii="宋体" w:hAnsi="宋体" w:cs="宋体"/>
          <w:color w:val="auto"/>
          <w:sz w:val="21"/>
          <w:szCs w:val="21"/>
          <w:highlight w:val="none"/>
        </w:rPr>
      </w:pPr>
    </w:p>
    <w:p>
      <w:pPr>
        <w:pStyle w:val="4"/>
        <w:pageBreakBefore w:val="0"/>
        <w:kinsoku/>
        <w:wordWrap w:val="0"/>
        <w:topLinePunct w:val="0"/>
        <w:bidi w:val="0"/>
        <w:spacing w:before="0" w:after="0" w:line="400" w:lineRule="exact"/>
        <w:ind w:firstLine="422" w:firstLineChars="200"/>
        <w:rPr>
          <w:rFonts w:ascii="宋体" w:hAnsi="宋体" w:cs="宋体"/>
          <w:color w:val="auto"/>
          <w:sz w:val="21"/>
          <w:szCs w:val="21"/>
          <w:highlight w:val="none"/>
        </w:rPr>
      </w:pPr>
    </w:p>
    <w:p>
      <w:pPr>
        <w:pStyle w:val="4"/>
        <w:pageBreakBefore w:val="0"/>
        <w:kinsoku/>
        <w:wordWrap w:val="0"/>
        <w:topLinePunct w:val="0"/>
        <w:bidi w:val="0"/>
        <w:spacing w:before="0" w:after="0" w:line="400" w:lineRule="exact"/>
        <w:ind w:firstLine="422" w:firstLineChars="200"/>
        <w:rPr>
          <w:rFonts w:ascii="宋体" w:hAnsi="宋体" w:cs="宋体"/>
          <w:color w:val="auto"/>
          <w:sz w:val="21"/>
          <w:szCs w:val="21"/>
          <w:highlight w:val="none"/>
        </w:rPr>
      </w:pPr>
    </w:p>
    <w:p>
      <w:pPr>
        <w:pageBreakBefore w:val="0"/>
        <w:widowControl/>
        <w:kinsoku/>
        <w:wordWrap w:val="0"/>
        <w:topLinePunct w:val="0"/>
        <w:bidi w:val="0"/>
        <w:spacing w:line="600" w:lineRule="exact"/>
        <w:ind w:firstLine="600"/>
        <w:jc w:val="left"/>
        <w:rPr>
          <w:rFonts w:ascii="宋体" w:hAnsi="宋体" w:cs="宋体"/>
          <w:color w:val="auto"/>
          <w:kern w:val="0"/>
          <w:sz w:val="30"/>
          <w:szCs w:val="30"/>
          <w:highlight w:val="none"/>
        </w:rPr>
      </w:pPr>
    </w:p>
    <w:p>
      <w:pPr>
        <w:pageBreakBefore w:val="0"/>
        <w:widowControl/>
        <w:kinsoku/>
        <w:wordWrap w:val="0"/>
        <w:topLinePunct w:val="0"/>
        <w:bidi w:val="0"/>
        <w:spacing w:line="600" w:lineRule="exact"/>
        <w:ind w:firstLine="600"/>
        <w:jc w:val="left"/>
        <w:rPr>
          <w:rFonts w:ascii="宋体" w:hAnsi="宋体" w:cs="宋体"/>
          <w:color w:val="auto"/>
          <w:kern w:val="0"/>
          <w:sz w:val="30"/>
          <w:szCs w:val="30"/>
          <w:highlight w:val="none"/>
        </w:rPr>
      </w:pPr>
    </w:p>
    <w:p>
      <w:pPr>
        <w:pageBreakBefore w:val="0"/>
        <w:widowControl/>
        <w:kinsoku/>
        <w:wordWrap w:val="0"/>
        <w:topLinePunct w:val="0"/>
        <w:bidi w:val="0"/>
        <w:spacing w:line="600" w:lineRule="exact"/>
        <w:ind w:firstLine="600"/>
        <w:jc w:val="left"/>
        <w:rPr>
          <w:rFonts w:ascii="宋体" w:hAnsi="宋体" w:cs="宋体"/>
          <w:color w:val="auto"/>
          <w:kern w:val="0"/>
          <w:sz w:val="30"/>
          <w:szCs w:val="30"/>
          <w:highlight w:val="none"/>
        </w:rPr>
      </w:pPr>
    </w:p>
    <w:p>
      <w:pPr>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br w:type="page"/>
      </w:r>
    </w:p>
    <w:p>
      <w:pPr>
        <w:pageBreakBefore w:val="0"/>
        <w:widowControl/>
        <w:kinsoku/>
        <w:wordWrap w:val="0"/>
        <w:topLinePunct w:val="0"/>
        <w:bidi w:val="0"/>
        <w:spacing w:line="600" w:lineRule="exact"/>
        <w:jc w:val="left"/>
        <w:rPr>
          <w:rFonts w:ascii="宋体" w:hAnsi="宋体" w:cs="宋体"/>
          <w:color w:val="auto"/>
          <w:kern w:val="0"/>
          <w:sz w:val="30"/>
          <w:szCs w:val="30"/>
          <w:highlight w:val="none"/>
        </w:rPr>
      </w:pPr>
      <w:r>
        <w:rPr>
          <w:rFonts w:hint="eastAsia" w:ascii="宋体" w:hAnsi="宋体" w:cs="宋体"/>
          <w:color w:val="auto"/>
          <w:kern w:val="0"/>
          <w:sz w:val="30"/>
          <w:szCs w:val="30"/>
          <w:highlight w:val="none"/>
        </w:rPr>
        <w:t>附表：</w:t>
      </w:r>
    </w:p>
    <w:p>
      <w:pPr>
        <w:pageBreakBefore w:val="0"/>
        <w:widowControl/>
        <w:kinsoku/>
        <w:wordWrap w:val="0"/>
        <w:topLinePunct w:val="0"/>
        <w:bidi w:val="0"/>
        <w:spacing w:line="330" w:lineRule="atLeast"/>
        <w:jc w:val="center"/>
        <w:rPr>
          <w:rFonts w:ascii="宋体" w:hAnsi="宋体" w:cs="宋体"/>
          <w:color w:val="auto"/>
          <w:kern w:val="0"/>
          <w:sz w:val="36"/>
          <w:szCs w:val="32"/>
          <w:highlight w:val="none"/>
        </w:rPr>
      </w:pPr>
      <w:r>
        <w:rPr>
          <w:rFonts w:hint="eastAsia" w:ascii="宋体" w:hAnsi="宋体" w:cs="宋体"/>
          <w:color w:val="auto"/>
          <w:kern w:val="0"/>
          <w:sz w:val="36"/>
          <w:szCs w:val="32"/>
          <w:highlight w:val="none"/>
        </w:rPr>
        <w:t>统计上大中小微型企业划分标准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366"/>
        <w:gridCol w:w="707"/>
        <w:gridCol w:w="1123"/>
        <w:gridCol w:w="1698"/>
        <w:gridCol w:w="1423"/>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09" w:type="dxa"/>
            <w:vAlign w:val="center"/>
          </w:tcPr>
          <w:p>
            <w:pPr>
              <w:pageBreakBefore w:val="0"/>
              <w:widowControl/>
              <w:kinsoku/>
              <w:wordWrap w:val="0"/>
              <w:topLinePunct w:val="0"/>
              <w:bidi w:val="0"/>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6" w:type="dxa"/>
            <w:vAlign w:val="center"/>
          </w:tcPr>
          <w:p>
            <w:pPr>
              <w:pageBreakBefore w:val="0"/>
              <w:widowControl/>
              <w:kinsoku/>
              <w:wordWrap w:val="0"/>
              <w:topLinePunct w:val="0"/>
              <w:bidi w:val="0"/>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7" w:type="dxa"/>
            <w:vAlign w:val="center"/>
          </w:tcPr>
          <w:p>
            <w:pPr>
              <w:pageBreakBefore w:val="0"/>
              <w:widowControl/>
              <w:kinsoku/>
              <w:wordWrap w:val="0"/>
              <w:topLinePunct w:val="0"/>
              <w:bidi w:val="0"/>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pageBreakBefore w:val="0"/>
              <w:widowControl/>
              <w:kinsoku/>
              <w:wordWrap w:val="0"/>
              <w:topLinePunct w:val="0"/>
              <w:bidi w:val="0"/>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3" w:type="dxa"/>
            <w:vAlign w:val="center"/>
          </w:tcPr>
          <w:p>
            <w:pPr>
              <w:pageBreakBefore w:val="0"/>
              <w:widowControl/>
              <w:kinsoku/>
              <w:wordWrap w:val="0"/>
              <w:topLinePunct w:val="0"/>
              <w:bidi w:val="0"/>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698" w:type="dxa"/>
            <w:vAlign w:val="center"/>
          </w:tcPr>
          <w:p>
            <w:pPr>
              <w:pageBreakBefore w:val="0"/>
              <w:widowControl/>
              <w:kinsoku/>
              <w:wordWrap w:val="0"/>
              <w:topLinePunct w:val="0"/>
              <w:bidi w:val="0"/>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3" w:type="dxa"/>
            <w:vAlign w:val="center"/>
          </w:tcPr>
          <w:p>
            <w:pPr>
              <w:pageBreakBefore w:val="0"/>
              <w:widowControl/>
              <w:kinsoku/>
              <w:wordWrap w:val="0"/>
              <w:topLinePunct w:val="0"/>
              <w:bidi w:val="0"/>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0" w:type="dxa"/>
            <w:vAlign w:val="center"/>
          </w:tcPr>
          <w:p>
            <w:pPr>
              <w:pageBreakBefore w:val="0"/>
              <w:widowControl/>
              <w:kinsoku/>
              <w:wordWrap w:val="0"/>
              <w:topLinePunct w:val="0"/>
              <w:bidi w:val="0"/>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3" w:type="dxa"/>
            <w:vAlign w:val="center"/>
          </w:tcPr>
          <w:p>
            <w:pPr>
              <w:pageBreakBefore w:val="0"/>
              <w:widowControl/>
              <w:kinsoku/>
              <w:wordWrap w:val="0"/>
              <w:topLinePunct w:val="0"/>
              <w:bidi w:val="0"/>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3" w:type="dxa"/>
            <w:vAlign w:val="center"/>
          </w:tcPr>
          <w:p>
            <w:pPr>
              <w:pageBreakBefore w:val="0"/>
              <w:widowControl/>
              <w:kinsoku/>
              <w:wordWrap w:val="0"/>
              <w:topLinePunct w:val="0"/>
              <w:bidi w:val="0"/>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3" w:type="dxa"/>
            <w:vAlign w:val="center"/>
          </w:tcPr>
          <w:p>
            <w:pPr>
              <w:pageBreakBefore w:val="0"/>
              <w:widowControl/>
              <w:kinsoku/>
              <w:wordWrap w:val="0"/>
              <w:topLinePunct w:val="0"/>
              <w:bidi w:val="0"/>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698" w:type="dxa"/>
            <w:vAlign w:val="center"/>
          </w:tcPr>
          <w:p>
            <w:pPr>
              <w:pageBreakBefore w:val="0"/>
              <w:widowControl/>
              <w:kinsoku/>
              <w:wordWrap w:val="0"/>
              <w:topLinePunct w:val="0"/>
              <w:bidi w:val="0"/>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698" w:type="dxa"/>
            <w:vAlign w:val="center"/>
          </w:tcPr>
          <w:p>
            <w:pPr>
              <w:pageBreakBefore w:val="0"/>
              <w:widowControl/>
              <w:kinsoku/>
              <w:wordWrap w:val="0"/>
              <w:topLinePunct w:val="0"/>
              <w:bidi w:val="0"/>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698" w:type="dxa"/>
            <w:vAlign w:val="center"/>
          </w:tcPr>
          <w:p>
            <w:pPr>
              <w:pageBreakBefore w:val="0"/>
              <w:widowControl/>
              <w:kinsoku/>
              <w:wordWrap w:val="0"/>
              <w:topLinePunct w:val="0"/>
              <w:bidi w:val="0"/>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698" w:type="dxa"/>
            <w:vAlign w:val="center"/>
          </w:tcPr>
          <w:p>
            <w:pPr>
              <w:pageBreakBefore w:val="0"/>
              <w:widowControl/>
              <w:kinsoku/>
              <w:wordWrap w:val="0"/>
              <w:topLinePunct w:val="0"/>
              <w:bidi w:val="0"/>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spacing w:val="-12"/>
                <w:kern w:val="0"/>
                <w:sz w:val="18"/>
                <w:szCs w:val="18"/>
                <w:highlight w:val="none"/>
              </w:rPr>
            </w:pP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698" w:type="dxa"/>
            <w:vAlign w:val="center"/>
          </w:tcPr>
          <w:p>
            <w:pPr>
              <w:pageBreakBefore w:val="0"/>
              <w:widowControl/>
              <w:kinsoku/>
              <w:wordWrap w:val="0"/>
              <w:topLinePunct w:val="0"/>
              <w:bidi w:val="0"/>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698" w:type="dxa"/>
            <w:vAlign w:val="center"/>
          </w:tcPr>
          <w:p>
            <w:pPr>
              <w:pageBreakBefore w:val="0"/>
              <w:widowControl/>
              <w:kinsoku/>
              <w:wordWrap w:val="0"/>
              <w:topLinePunct w:val="0"/>
              <w:bidi w:val="0"/>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pPr>
              <w:pageBreakBefore w:val="0"/>
              <w:widowControl/>
              <w:kinsoku/>
              <w:wordWrap w:val="0"/>
              <w:topLinePunct w:val="0"/>
              <w:bidi w:val="0"/>
              <w:jc w:val="left"/>
              <w:rPr>
                <w:rFonts w:ascii="宋体" w:hAnsi="宋体" w:cs="宋体"/>
                <w:color w:val="auto"/>
                <w:kern w:val="0"/>
                <w:sz w:val="18"/>
                <w:szCs w:val="18"/>
                <w:highlight w:val="none"/>
              </w:rPr>
            </w:pPr>
          </w:p>
        </w:tc>
        <w:tc>
          <w:tcPr>
            <w:tcW w:w="1366" w:type="dxa"/>
            <w:vAlign w:val="center"/>
          </w:tcPr>
          <w:p>
            <w:pPr>
              <w:pageBreakBefore w:val="0"/>
              <w:widowControl/>
              <w:kinsoku/>
              <w:wordWrap w:val="0"/>
              <w:topLinePunct w:val="0"/>
              <w:bidi w:val="0"/>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698"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Align w:val="center"/>
          </w:tcPr>
          <w:p>
            <w:pPr>
              <w:pageBreakBefore w:val="0"/>
              <w:widowControl/>
              <w:kinsoku/>
              <w:wordWrap w:val="0"/>
              <w:topLinePunct w:val="0"/>
              <w:bidi w:val="0"/>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6"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7"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698" w:type="dxa"/>
            <w:vAlign w:val="center"/>
          </w:tcPr>
          <w:p>
            <w:pPr>
              <w:pageBreakBefore w:val="0"/>
              <w:widowControl/>
              <w:kinsoku/>
              <w:wordWrap w:val="0"/>
              <w:topLinePunct w:val="0"/>
              <w:bidi w:val="0"/>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3"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0" w:type="dxa"/>
            <w:vAlign w:val="center"/>
          </w:tcPr>
          <w:p>
            <w:pPr>
              <w:pageBreakBefore w:val="0"/>
              <w:widowControl/>
              <w:kinsoku/>
              <w:wordWrap w:val="0"/>
              <w:topLinePunct w:val="0"/>
              <w:bidi w:val="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pageBreakBefore w:val="0"/>
        <w:widowControl/>
        <w:kinsoku/>
        <w:wordWrap w:val="0"/>
        <w:topLinePunct w:val="0"/>
        <w:bidi w:val="0"/>
        <w:spacing w:line="540" w:lineRule="exact"/>
        <w:rPr>
          <w:rFonts w:ascii="宋体" w:hAnsi="宋体" w:cs="宋体"/>
          <w:color w:val="auto"/>
          <w:spacing w:val="8"/>
          <w:kern w:val="0"/>
          <w:sz w:val="32"/>
          <w:szCs w:val="32"/>
          <w:highlight w:val="none"/>
        </w:rPr>
      </w:pPr>
    </w:p>
    <w:p>
      <w:pPr>
        <w:pageBreakBefore w:val="0"/>
        <w:widowControl/>
        <w:kinsoku/>
        <w:wordWrap w:val="0"/>
        <w:topLinePunct w:val="0"/>
        <w:bidi w:val="0"/>
        <w:spacing w:line="540" w:lineRule="exact"/>
        <w:rPr>
          <w:rFonts w:ascii="宋体" w:hAnsi="宋体" w:cs="宋体"/>
          <w:b/>
          <w:bCs/>
          <w:color w:val="auto"/>
          <w:spacing w:val="8"/>
          <w:kern w:val="0"/>
          <w:szCs w:val="21"/>
          <w:highlight w:val="none"/>
        </w:rPr>
      </w:pPr>
      <w:r>
        <w:rPr>
          <w:rFonts w:hint="eastAsia" w:ascii="宋体" w:hAnsi="宋体" w:cs="宋体"/>
          <w:b/>
          <w:bCs/>
          <w:color w:val="auto"/>
          <w:spacing w:val="8"/>
          <w:kern w:val="0"/>
          <w:szCs w:val="21"/>
          <w:highlight w:val="none"/>
        </w:rPr>
        <w:t>说明：</w:t>
      </w:r>
    </w:p>
    <w:p>
      <w:pPr>
        <w:pageBreakBefore w:val="0"/>
        <w:kinsoku/>
        <w:wordWrap w:val="0"/>
        <w:topLinePunct w:val="0"/>
        <w:bidi w:val="0"/>
        <w:spacing w:line="4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pPr>
        <w:pageBreakBefore w:val="0"/>
        <w:kinsoku/>
        <w:wordWrap w:val="0"/>
        <w:topLinePunct w:val="0"/>
        <w:bidi w:val="0"/>
        <w:spacing w:line="4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w:t>
      </w:r>
      <w:r>
        <w:rPr>
          <w:rFonts w:hint="eastAsia" w:ascii="宋体" w:hAnsi="宋体" w:cs="宋体"/>
          <w:b/>
          <w:bCs/>
          <w:color w:val="auto"/>
          <w:spacing w:val="8"/>
          <w:kern w:val="0"/>
          <w:szCs w:val="21"/>
          <w:highlight w:val="none"/>
        </w:rPr>
        <w:t>2.附表中各行业的范围以《国民经济行业分类》（GB/T4754-2017）为准。</w:t>
      </w:r>
      <w:r>
        <w:rPr>
          <w:rFonts w:hint="eastAsia" w:ascii="宋体" w:hAnsi="宋体" w:cs="宋体"/>
          <w:color w:val="auto"/>
          <w:spacing w:val="8"/>
          <w:kern w:val="0"/>
          <w:szCs w:val="21"/>
          <w:highlight w:val="none"/>
        </w:rPr>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b/>
          <w:bCs/>
          <w:color w:val="auto"/>
          <w:spacing w:val="8"/>
          <w:kern w:val="0"/>
          <w:szCs w:val="21"/>
          <w:highlight w:val="none"/>
        </w:rPr>
        <w:t>其他未列明行业包括科学研究和技术服务业，水利、环境和公共设施管理业，居民服务、修理和其他服务业，社会工作，文化、体育和娱乐业，以及房地产中介服务，其他房地产业等，不包括自有房地产经营活动。</w:t>
      </w:r>
    </w:p>
    <w:p>
      <w:pPr>
        <w:pageBreakBefore w:val="0"/>
        <w:kinsoku/>
        <w:wordWrap w:val="0"/>
        <w:topLinePunct w:val="0"/>
        <w:bidi w:val="0"/>
        <w:spacing w:line="440" w:lineRule="exact"/>
        <w:rPr>
          <w:rFonts w:ascii="宋体" w:hAnsi="宋体" w:cs="宋体"/>
          <w:color w:val="auto"/>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ageBreakBefore w:val="0"/>
        <w:kinsoku/>
        <w:wordWrap w:val="0"/>
        <w:topLinePunct w:val="0"/>
        <w:bidi w:val="0"/>
        <w:spacing w:afterLines="100"/>
        <w:jc w:val="center"/>
        <w:outlineLvl w:val="0"/>
        <w:rPr>
          <w:rFonts w:ascii="宋体" w:hAnsi="宋体"/>
          <w:b/>
          <w:color w:val="auto"/>
          <w:kern w:val="0"/>
          <w:sz w:val="32"/>
          <w:szCs w:val="32"/>
          <w:highlight w:val="none"/>
        </w:rPr>
      </w:pPr>
    </w:p>
    <w:p>
      <w:pPr>
        <w:keepNext/>
        <w:keepLines/>
        <w:pageBreakBefore w:val="0"/>
        <w:tabs>
          <w:tab w:val="left" w:pos="567"/>
        </w:tabs>
        <w:kinsoku/>
        <w:wordWrap w:val="0"/>
        <w:topLinePunct w:val="0"/>
        <w:bidi w:val="0"/>
        <w:spacing w:before="260" w:after="260" w:line="416" w:lineRule="auto"/>
        <w:outlineLvl w:val="1"/>
        <w:rPr>
          <w:rFonts w:ascii="宋体" w:hAnsi="宋体"/>
          <w:b/>
          <w:bCs/>
          <w:color w:val="auto"/>
          <w:sz w:val="30"/>
          <w:szCs w:val="32"/>
          <w:highlight w:val="none"/>
        </w:rPr>
      </w:pPr>
    </w:p>
    <w:p>
      <w:pPr>
        <w:keepNext/>
        <w:keepLines/>
        <w:pageBreakBefore w:val="0"/>
        <w:tabs>
          <w:tab w:val="left" w:pos="567"/>
        </w:tabs>
        <w:kinsoku/>
        <w:wordWrap w:val="0"/>
        <w:topLinePunct w:val="0"/>
        <w:bidi w:val="0"/>
        <w:spacing w:before="260" w:after="260" w:line="416" w:lineRule="auto"/>
        <w:outlineLvl w:val="1"/>
        <w:rPr>
          <w:rFonts w:ascii="宋体" w:hAnsi="宋体"/>
          <w:b/>
          <w:bCs/>
          <w:color w:val="auto"/>
          <w:sz w:val="30"/>
          <w:szCs w:val="32"/>
          <w:highlight w:val="none"/>
        </w:rPr>
      </w:pPr>
    </w:p>
    <w:p>
      <w:pPr>
        <w:keepNext/>
        <w:keepLines/>
        <w:pageBreakBefore w:val="0"/>
        <w:tabs>
          <w:tab w:val="left" w:pos="567"/>
        </w:tabs>
        <w:kinsoku/>
        <w:wordWrap w:val="0"/>
        <w:topLinePunct w:val="0"/>
        <w:bidi w:val="0"/>
        <w:spacing w:before="260" w:after="260" w:line="416" w:lineRule="auto"/>
        <w:ind w:firstLine="602"/>
        <w:outlineLvl w:val="1"/>
        <w:rPr>
          <w:rFonts w:ascii="宋体" w:hAnsi="宋体"/>
          <w:b/>
          <w:bCs/>
          <w:color w:val="auto"/>
          <w:sz w:val="30"/>
          <w:szCs w:val="32"/>
          <w:highlight w:val="none"/>
        </w:rPr>
      </w:pPr>
    </w:p>
    <w:p>
      <w:pPr>
        <w:keepNext/>
        <w:keepLines/>
        <w:pageBreakBefore w:val="0"/>
        <w:tabs>
          <w:tab w:val="left" w:pos="567"/>
        </w:tabs>
        <w:kinsoku/>
        <w:wordWrap w:val="0"/>
        <w:topLinePunct w:val="0"/>
        <w:bidi w:val="0"/>
        <w:spacing w:before="260" w:after="260" w:line="416" w:lineRule="auto"/>
        <w:ind w:firstLine="602"/>
        <w:outlineLvl w:val="1"/>
        <w:rPr>
          <w:rFonts w:ascii="宋体" w:hAnsi="宋体"/>
          <w:b/>
          <w:bCs/>
          <w:color w:val="auto"/>
          <w:sz w:val="30"/>
          <w:szCs w:val="32"/>
          <w:highlight w:val="none"/>
        </w:rPr>
      </w:pPr>
    </w:p>
    <w:p>
      <w:pPr>
        <w:pageBreakBefore w:val="0"/>
        <w:kinsoku/>
        <w:wordWrap w:val="0"/>
        <w:topLinePunct w:val="0"/>
        <w:bidi w:val="0"/>
        <w:spacing w:afterLines="100"/>
        <w:ind w:firstLine="643"/>
        <w:jc w:val="center"/>
        <w:outlineLvl w:val="0"/>
        <w:rPr>
          <w:rFonts w:ascii="宋体" w:hAnsi="宋体"/>
          <w:b/>
          <w:color w:val="auto"/>
          <w:kern w:val="0"/>
          <w:sz w:val="32"/>
          <w:szCs w:val="32"/>
          <w:highlight w:val="none"/>
        </w:rPr>
      </w:pPr>
    </w:p>
    <w:p>
      <w:pPr>
        <w:pageBreakBefore w:val="0"/>
        <w:kinsoku/>
        <w:wordWrap w:val="0"/>
        <w:topLinePunct w:val="0"/>
        <w:bidi w:val="0"/>
        <w:spacing w:afterLines="100"/>
        <w:ind w:firstLine="643"/>
        <w:jc w:val="center"/>
        <w:outlineLvl w:val="0"/>
        <w:rPr>
          <w:rFonts w:ascii="宋体" w:hAnsi="宋体"/>
          <w:b/>
          <w:color w:val="auto"/>
          <w:kern w:val="0"/>
          <w:sz w:val="32"/>
          <w:szCs w:val="32"/>
          <w:highlight w:val="none"/>
        </w:rPr>
      </w:pPr>
    </w:p>
    <w:p>
      <w:pPr>
        <w:pageBreakBefore w:val="0"/>
        <w:kinsoku/>
        <w:wordWrap w:val="0"/>
        <w:topLinePunct w:val="0"/>
        <w:bidi w:val="0"/>
        <w:ind w:firstLine="643"/>
        <w:jc w:val="center"/>
        <w:outlineLvl w:val="0"/>
        <w:rPr>
          <w:rFonts w:ascii="宋体" w:hAnsi="宋体"/>
          <w:b/>
          <w:color w:val="auto"/>
          <w:kern w:val="0"/>
          <w:sz w:val="32"/>
          <w:szCs w:val="32"/>
          <w:highlight w:val="none"/>
        </w:rPr>
      </w:pPr>
    </w:p>
    <w:p>
      <w:pPr>
        <w:spacing w:before="223" w:line="223" w:lineRule="auto"/>
        <w:ind w:left="2597"/>
        <w:outlineLvl w:val="0"/>
        <w:rPr>
          <w:rFonts w:ascii="宋体" w:hAnsi="宋体" w:eastAsia="宋体" w:cs="宋体"/>
          <w:color w:val="auto"/>
          <w:sz w:val="43"/>
          <w:szCs w:val="43"/>
          <w:highlight w:val="none"/>
        </w:rPr>
      </w:pPr>
      <w:r>
        <w:rPr>
          <w:rFonts w:hint="eastAsia" w:ascii="宋体" w:hAnsi="宋体"/>
          <w:b/>
          <w:color w:val="auto"/>
          <w:kern w:val="0"/>
          <w:sz w:val="32"/>
          <w:szCs w:val="32"/>
          <w:highlight w:val="none"/>
        </w:rPr>
        <w:t xml:space="preserve">  </w:t>
      </w:r>
      <w:bookmarkStart w:id="43" w:name="_Toc5847"/>
      <w:r>
        <w:rPr>
          <w:rFonts w:ascii="宋体" w:hAnsi="宋体" w:eastAsia="宋体" w:cs="宋体"/>
          <w:b/>
          <w:bCs/>
          <w:color w:val="auto"/>
          <w:spacing w:val="4"/>
          <w:sz w:val="43"/>
          <w:szCs w:val="43"/>
          <w:highlight w:val="none"/>
        </w:rPr>
        <w:t>第五章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采购合同</w:t>
      </w:r>
      <w:bookmarkEnd w:id="43"/>
    </w:p>
    <w:p>
      <w:pPr>
        <w:spacing w:before="49" w:line="466" w:lineRule="auto"/>
        <w:ind w:left="2763" w:right="2248" w:hanging="157"/>
        <w:rPr>
          <w:rFonts w:ascii="宋体" w:hAnsi="宋体" w:eastAsia="宋体" w:cs="宋体"/>
          <w:b/>
          <w:bCs/>
          <w:color w:val="auto"/>
          <w:spacing w:val="3"/>
          <w:sz w:val="31"/>
          <w:szCs w:val="31"/>
          <w:highlight w:val="none"/>
        </w:rPr>
      </w:pPr>
    </w:p>
    <w:p>
      <w:pPr>
        <w:spacing w:before="49" w:line="466" w:lineRule="auto"/>
        <w:ind w:left="2763" w:right="2248" w:hanging="157"/>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（合同主要条款及格式）</w:t>
      </w:r>
      <w:r>
        <w:rPr>
          <w:rFonts w:ascii="宋体" w:hAnsi="宋体" w:eastAsia="宋体" w:cs="宋体"/>
          <w:color w:val="auto"/>
          <w:sz w:val="31"/>
          <w:szCs w:val="31"/>
          <w:highlight w:val="none"/>
        </w:rPr>
        <w:t xml:space="preserve"> </w:t>
      </w:r>
      <w:r>
        <w:rPr>
          <w:rFonts w:ascii="宋体" w:hAnsi="宋体" w:eastAsia="宋体" w:cs="宋体"/>
          <w:b/>
          <w:bCs/>
          <w:color w:val="auto"/>
          <w:spacing w:val="43"/>
          <w:sz w:val="31"/>
          <w:szCs w:val="31"/>
          <w:highlight w:val="none"/>
        </w:rPr>
        <w:t>(</w:t>
      </w:r>
      <w:r>
        <w:rPr>
          <w:rFonts w:ascii="宋体" w:hAnsi="宋体" w:eastAsia="宋体" w:cs="宋体"/>
          <w:b/>
          <w:bCs/>
          <w:color w:val="auto"/>
          <w:sz w:val="31"/>
          <w:szCs w:val="31"/>
          <w:highlight w:val="none"/>
        </w:rPr>
        <w:t>GF</w:t>
      </w:r>
      <w:r>
        <w:rPr>
          <w:rFonts w:ascii="宋体" w:hAnsi="宋体" w:eastAsia="宋体" w:cs="宋体"/>
          <w:b/>
          <w:bCs/>
          <w:color w:val="auto"/>
          <w:spacing w:val="43"/>
          <w:sz w:val="31"/>
          <w:szCs w:val="31"/>
          <w:highlight w:val="none"/>
        </w:rPr>
        <w:t>-</w:t>
      </w:r>
      <w:r>
        <w:rPr>
          <w:rFonts w:ascii="Times New Roman" w:hAnsi="Times New Roman" w:eastAsia="Times New Roman" w:cs="Times New Roman"/>
          <w:b/>
          <w:bCs/>
          <w:color w:val="auto"/>
          <w:spacing w:val="43"/>
          <w:sz w:val="31"/>
          <w:szCs w:val="31"/>
          <w:highlight w:val="none"/>
        </w:rPr>
        <w:t>2012</w:t>
      </w:r>
      <w:r>
        <w:rPr>
          <w:rFonts w:ascii="宋体" w:hAnsi="宋体" w:eastAsia="宋体" w:cs="宋体"/>
          <w:b/>
          <w:bCs/>
          <w:color w:val="auto"/>
          <w:spacing w:val="43"/>
          <w:sz w:val="31"/>
          <w:szCs w:val="31"/>
          <w:highlight w:val="none"/>
        </w:rPr>
        <w:t>－</w:t>
      </w:r>
      <w:r>
        <w:rPr>
          <w:rFonts w:ascii="Times New Roman" w:hAnsi="Times New Roman" w:eastAsia="Times New Roman" w:cs="Times New Roman"/>
          <w:b/>
          <w:bCs/>
          <w:color w:val="auto"/>
          <w:spacing w:val="43"/>
          <w:sz w:val="31"/>
          <w:szCs w:val="31"/>
          <w:highlight w:val="none"/>
        </w:rPr>
        <w:t>0202</w:t>
      </w:r>
      <w:r>
        <w:rPr>
          <w:rFonts w:ascii="宋体" w:hAnsi="宋体" w:eastAsia="宋体" w:cs="宋体"/>
          <w:b/>
          <w:bCs/>
          <w:color w:val="auto"/>
          <w:spacing w:val="43"/>
          <w:sz w:val="31"/>
          <w:szCs w:val="31"/>
          <w:highlight w:val="none"/>
        </w:rPr>
        <w:t>）</w:t>
      </w:r>
    </w:p>
    <w:p>
      <w:pPr>
        <w:pStyle w:val="17"/>
        <w:spacing w:line="250" w:lineRule="auto"/>
        <w:rPr>
          <w:color w:val="auto"/>
          <w:highlight w:val="none"/>
        </w:rPr>
      </w:pPr>
    </w:p>
    <w:p>
      <w:pPr>
        <w:pStyle w:val="17"/>
        <w:spacing w:line="250" w:lineRule="auto"/>
        <w:rPr>
          <w:color w:val="auto"/>
          <w:highlight w:val="none"/>
        </w:rPr>
      </w:pPr>
    </w:p>
    <w:p>
      <w:pPr>
        <w:pStyle w:val="17"/>
        <w:spacing w:line="251" w:lineRule="auto"/>
        <w:rPr>
          <w:color w:val="auto"/>
          <w:highlight w:val="none"/>
        </w:rPr>
      </w:pPr>
    </w:p>
    <w:p>
      <w:pPr>
        <w:pStyle w:val="17"/>
        <w:spacing w:line="251" w:lineRule="auto"/>
        <w:rPr>
          <w:color w:val="auto"/>
          <w:highlight w:val="none"/>
        </w:rPr>
      </w:pPr>
    </w:p>
    <w:p>
      <w:pPr>
        <w:pStyle w:val="17"/>
        <w:spacing w:line="251" w:lineRule="auto"/>
        <w:rPr>
          <w:color w:val="auto"/>
          <w:highlight w:val="none"/>
        </w:rPr>
      </w:pPr>
    </w:p>
    <w:p>
      <w:pPr>
        <w:pStyle w:val="17"/>
        <w:spacing w:line="251" w:lineRule="auto"/>
        <w:rPr>
          <w:color w:val="auto"/>
          <w:highlight w:val="none"/>
        </w:rPr>
      </w:pPr>
    </w:p>
    <w:p>
      <w:pPr>
        <w:pStyle w:val="17"/>
        <w:spacing w:line="251" w:lineRule="auto"/>
        <w:rPr>
          <w:color w:val="auto"/>
          <w:highlight w:val="none"/>
        </w:rPr>
      </w:pPr>
    </w:p>
    <w:p>
      <w:pPr>
        <w:spacing w:before="169" w:line="221" w:lineRule="auto"/>
        <w:ind w:left="2285"/>
        <w:rPr>
          <w:rFonts w:ascii="宋体" w:hAnsi="宋体" w:eastAsia="宋体" w:cs="宋体"/>
          <w:color w:val="auto"/>
          <w:sz w:val="52"/>
          <w:szCs w:val="52"/>
          <w:highlight w:val="none"/>
        </w:rPr>
      </w:pPr>
      <w:r>
        <w:rPr>
          <w:rFonts w:ascii="宋体" w:hAnsi="宋体" w:eastAsia="宋体" w:cs="宋体"/>
          <w:b/>
          <w:bCs/>
          <w:color w:val="auto"/>
          <w:spacing w:val="-7"/>
          <w:sz w:val="52"/>
          <w:szCs w:val="52"/>
          <w:highlight w:val="none"/>
        </w:rPr>
        <w:t>建设工程监理合同</w:t>
      </w:r>
    </w:p>
    <w:p>
      <w:pPr>
        <w:pStyle w:val="17"/>
        <w:spacing w:line="247" w:lineRule="auto"/>
        <w:rPr>
          <w:color w:val="auto"/>
          <w:highlight w:val="none"/>
        </w:rPr>
      </w:pPr>
    </w:p>
    <w:p>
      <w:pPr>
        <w:pStyle w:val="17"/>
        <w:spacing w:line="247" w:lineRule="auto"/>
        <w:rPr>
          <w:color w:val="auto"/>
          <w:highlight w:val="none"/>
        </w:rPr>
      </w:pPr>
    </w:p>
    <w:p>
      <w:pPr>
        <w:pStyle w:val="17"/>
        <w:spacing w:line="247" w:lineRule="auto"/>
        <w:rPr>
          <w:color w:val="auto"/>
          <w:highlight w:val="none"/>
        </w:rPr>
      </w:pPr>
    </w:p>
    <w:p>
      <w:pPr>
        <w:pStyle w:val="17"/>
        <w:spacing w:line="247" w:lineRule="auto"/>
        <w:rPr>
          <w:color w:val="auto"/>
          <w:highlight w:val="none"/>
        </w:rPr>
      </w:pPr>
    </w:p>
    <w:p>
      <w:pPr>
        <w:pStyle w:val="17"/>
        <w:spacing w:line="247" w:lineRule="auto"/>
        <w:rPr>
          <w:color w:val="auto"/>
          <w:highlight w:val="none"/>
        </w:rPr>
      </w:pPr>
    </w:p>
    <w:p>
      <w:pPr>
        <w:pStyle w:val="17"/>
        <w:spacing w:line="247" w:lineRule="auto"/>
        <w:rPr>
          <w:color w:val="auto"/>
          <w:highlight w:val="none"/>
        </w:rPr>
      </w:pPr>
    </w:p>
    <w:p>
      <w:pPr>
        <w:pStyle w:val="17"/>
        <w:spacing w:line="247" w:lineRule="auto"/>
        <w:rPr>
          <w:color w:val="auto"/>
          <w:highlight w:val="none"/>
        </w:rPr>
      </w:pPr>
    </w:p>
    <w:p>
      <w:pPr>
        <w:pStyle w:val="17"/>
        <w:spacing w:line="248" w:lineRule="auto"/>
        <w:rPr>
          <w:color w:val="auto"/>
          <w:highlight w:val="none"/>
        </w:rPr>
      </w:pPr>
    </w:p>
    <w:p>
      <w:pPr>
        <w:pStyle w:val="17"/>
        <w:spacing w:line="248" w:lineRule="auto"/>
        <w:rPr>
          <w:color w:val="auto"/>
          <w:highlight w:val="none"/>
        </w:rPr>
      </w:pPr>
    </w:p>
    <w:p>
      <w:pPr>
        <w:pStyle w:val="17"/>
        <w:spacing w:line="248" w:lineRule="auto"/>
        <w:rPr>
          <w:color w:val="auto"/>
          <w:highlight w:val="none"/>
        </w:rPr>
      </w:pPr>
    </w:p>
    <w:p>
      <w:pPr>
        <w:pStyle w:val="17"/>
        <w:spacing w:line="248" w:lineRule="auto"/>
        <w:rPr>
          <w:color w:val="auto"/>
          <w:highlight w:val="none"/>
        </w:rPr>
      </w:pPr>
    </w:p>
    <w:p>
      <w:pPr>
        <w:pStyle w:val="17"/>
        <w:spacing w:line="248" w:lineRule="auto"/>
        <w:rPr>
          <w:color w:val="auto"/>
          <w:highlight w:val="none"/>
        </w:rPr>
      </w:pPr>
    </w:p>
    <w:p>
      <w:pPr>
        <w:pStyle w:val="17"/>
        <w:spacing w:line="248" w:lineRule="auto"/>
        <w:rPr>
          <w:color w:val="auto"/>
          <w:highlight w:val="none"/>
        </w:rPr>
      </w:pPr>
    </w:p>
    <w:p>
      <w:pPr>
        <w:spacing w:before="101" w:line="225" w:lineRule="auto"/>
        <w:ind w:left="3235"/>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住房和城乡建设部</w:t>
      </w:r>
    </w:p>
    <w:p>
      <w:pPr>
        <w:spacing w:before="37" w:line="226" w:lineRule="auto"/>
        <w:ind w:left="6516"/>
        <w:rPr>
          <w:rFonts w:ascii="宋体" w:hAnsi="宋体" w:eastAsia="宋体" w:cs="宋体"/>
          <w:color w:val="auto"/>
          <w:sz w:val="31"/>
          <w:szCs w:val="31"/>
          <w:highlight w:val="none"/>
        </w:rPr>
      </w:pPr>
      <w:r>
        <w:rPr>
          <w:rFonts w:ascii="宋体" w:hAnsi="宋体" w:eastAsia="宋体" w:cs="宋体"/>
          <w:b/>
          <w:bCs/>
          <w:color w:val="auto"/>
          <w:sz w:val="31"/>
          <w:szCs w:val="31"/>
          <w:highlight w:val="none"/>
        </w:rPr>
        <w:t>制定</w:t>
      </w:r>
    </w:p>
    <w:p>
      <w:pPr>
        <w:spacing w:before="36" w:line="225" w:lineRule="auto"/>
        <w:ind w:left="3027"/>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国家工商行政管理总局</w:t>
      </w:r>
    </w:p>
    <w:p>
      <w:pPr>
        <w:spacing w:line="225" w:lineRule="auto"/>
        <w:rPr>
          <w:rFonts w:ascii="宋体" w:hAnsi="宋体" w:eastAsia="宋体" w:cs="宋体"/>
          <w:color w:val="auto"/>
          <w:sz w:val="31"/>
          <w:szCs w:val="31"/>
          <w:highlight w:val="none"/>
        </w:rPr>
        <w:sectPr>
          <w:footerReference r:id="rId9" w:type="default"/>
          <w:pgSz w:w="11907" w:h="16841"/>
          <w:pgMar w:top="1440" w:right="1080" w:bottom="1440" w:left="1080" w:header="0" w:footer="594" w:gutter="0"/>
          <w:pgNumType w:fmt="decimal" w:start="1"/>
          <w:cols w:space="720" w:num="1"/>
        </w:sectPr>
      </w:pPr>
    </w:p>
    <w:p>
      <w:pPr>
        <w:spacing w:before="87" w:line="223" w:lineRule="auto"/>
        <w:ind w:left="2597"/>
        <w:rPr>
          <w:rFonts w:ascii="宋体" w:hAnsi="宋体" w:eastAsia="宋体" w:cs="宋体"/>
          <w:color w:val="auto"/>
          <w:sz w:val="43"/>
          <w:szCs w:val="43"/>
          <w:highlight w:val="none"/>
        </w:rPr>
      </w:pPr>
      <w:r>
        <w:rPr>
          <w:rFonts w:ascii="宋体" w:hAnsi="宋体" w:eastAsia="宋体" w:cs="宋体"/>
          <w:b/>
          <w:bCs/>
          <w:color w:val="auto"/>
          <w:spacing w:val="4"/>
          <w:sz w:val="43"/>
          <w:szCs w:val="43"/>
          <w:highlight w:val="none"/>
        </w:rPr>
        <w:t>第一部分</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协议书</w:t>
      </w:r>
    </w:p>
    <w:p>
      <w:pPr>
        <w:spacing w:before="303" w:line="222" w:lineRule="auto"/>
        <w:ind w:left="230"/>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委托人（全称）：</w:t>
      </w:r>
      <w:r>
        <w:rPr>
          <w:rFonts w:ascii="宋体" w:hAnsi="宋体" w:eastAsia="宋体" w:cs="宋体"/>
          <w:color w:val="auto"/>
          <w:sz w:val="21"/>
          <w:szCs w:val="21"/>
          <w:highlight w:val="none"/>
          <w:u w:val="single" w:color="auto"/>
        </w:rPr>
        <w:t xml:space="preserve">                                       </w:t>
      </w:r>
    </w:p>
    <w:p>
      <w:pPr>
        <w:spacing w:before="155" w:line="223" w:lineRule="auto"/>
        <w:ind w:firstLine="205" w:firstLineChars="100"/>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监理人（全称</w:t>
      </w:r>
      <w:r>
        <w:rPr>
          <w:rFonts w:ascii="宋体" w:hAnsi="宋体" w:eastAsia="宋体" w:cs="宋体"/>
          <w:b/>
          <w:bCs/>
          <w:color w:val="auto"/>
          <w:spacing w:val="-1"/>
          <w:sz w:val="21"/>
          <w:szCs w:val="21"/>
          <w:highlight w:val="none"/>
        </w:rPr>
        <w:t>）：</w:t>
      </w:r>
      <w:r>
        <w:rPr>
          <w:rFonts w:ascii="宋体" w:hAnsi="宋体" w:eastAsia="宋体" w:cs="宋体"/>
          <w:color w:val="auto"/>
          <w:sz w:val="21"/>
          <w:szCs w:val="21"/>
          <w:highlight w:val="none"/>
          <w:u w:val="single" w:color="auto"/>
        </w:rPr>
        <w:t xml:space="preserve">                                       </w:t>
      </w:r>
    </w:p>
    <w:p>
      <w:pPr>
        <w:spacing w:before="152" w:line="351" w:lineRule="auto"/>
        <w:ind w:left="20" w:right="57" w:firstLine="419"/>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根据《中华人民共和国合同法》、《中华人民共和国建筑法》及其他有关法律、法规，遵</w:t>
      </w:r>
      <w:r>
        <w:rPr>
          <w:rFonts w:ascii="宋体" w:hAnsi="宋体" w:eastAsia="宋体" w:cs="宋体"/>
          <w:color w:val="auto"/>
          <w:spacing w:val="13"/>
          <w:sz w:val="21"/>
          <w:szCs w:val="21"/>
          <w:highlight w:val="none"/>
        </w:rPr>
        <w:t xml:space="preserve"> </w:t>
      </w:r>
      <w:r>
        <w:rPr>
          <w:rFonts w:ascii="宋体" w:hAnsi="宋体" w:eastAsia="宋体" w:cs="宋体"/>
          <w:color w:val="auto"/>
          <w:sz w:val="21"/>
          <w:szCs w:val="21"/>
          <w:highlight w:val="none"/>
        </w:rPr>
        <w:t>循平等、</w:t>
      </w:r>
      <w:r>
        <w:rPr>
          <w:rFonts w:ascii="宋体" w:hAnsi="宋体" w:eastAsia="宋体" w:cs="宋体"/>
          <w:color w:val="auto"/>
          <w:spacing w:val="-55"/>
          <w:sz w:val="21"/>
          <w:szCs w:val="21"/>
          <w:highlight w:val="none"/>
        </w:rPr>
        <w:t xml:space="preserve"> </w:t>
      </w:r>
      <w:r>
        <w:rPr>
          <w:rFonts w:ascii="宋体" w:hAnsi="宋体" w:eastAsia="宋体" w:cs="宋体"/>
          <w:color w:val="auto"/>
          <w:sz w:val="21"/>
          <w:szCs w:val="21"/>
          <w:highlight w:val="none"/>
        </w:rPr>
        <w:t xml:space="preserve">自愿、公平和诚信的原则，双方就下述工程委托监理与相关服务事项协商一致，订立 </w:t>
      </w:r>
      <w:r>
        <w:rPr>
          <w:rFonts w:ascii="宋体" w:hAnsi="宋体" w:eastAsia="宋体" w:cs="宋体"/>
          <w:color w:val="auto"/>
          <w:spacing w:val="-2"/>
          <w:sz w:val="21"/>
          <w:szCs w:val="21"/>
          <w:highlight w:val="none"/>
        </w:rPr>
        <w:t>本合同</w:t>
      </w:r>
      <w:r>
        <w:rPr>
          <w:rFonts w:ascii="宋体" w:hAnsi="宋体" w:eastAsia="宋体" w:cs="宋体"/>
          <w:b/>
          <w:bCs/>
          <w:color w:val="auto"/>
          <w:spacing w:val="-2"/>
          <w:sz w:val="21"/>
          <w:szCs w:val="21"/>
          <w:highlight w:val="none"/>
        </w:rPr>
        <w:t>。</w:t>
      </w:r>
    </w:p>
    <w:p>
      <w:pPr>
        <w:spacing w:before="29" w:line="221" w:lineRule="auto"/>
        <w:ind w:left="446"/>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一、工程概况</w:t>
      </w:r>
    </w:p>
    <w:p>
      <w:pPr>
        <w:spacing w:before="157" w:line="221" w:lineRule="auto"/>
        <w:ind w:left="456"/>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  </w:t>
      </w:r>
      <w:r>
        <w:rPr>
          <w:rFonts w:ascii="宋体" w:hAnsi="宋体" w:eastAsia="宋体" w:cs="宋体"/>
          <w:color w:val="auto"/>
          <w:spacing w:val="-1"/>
          <w:sz w:val="21"/>
          <w:szCs w:val="21"/>
          <w:highlight w:val="none"/>
        </w:rPr>
        <w:t>项目名称：</w:t>
      </w:r>
      <w:r>
        <w:rPr>
          <w:rFonts w:hint="eastAsia" w:ascii="宋体" w:hAnsi="宋体" w:cs="宋体"/>
          <w:color w:val="auto"/>
          <w:spacing w:val="-1"/>
          <w:sz w:val="21"/>
          <w:szCs w:val="21"/>
          <w:highlight w:val="none"/>
          <w:u w:val="single" w:color="auto"/>
          <w:lang w:val="en-US" w:eastAsia="zh-CN"/>
        </w:rPr>
        <w:t xml:space="preserve">       </w:t>
      </w:r>
      <w:r>
        <w:rPr>
          <w:rFonts w:ascii="宋体" w:hAnsi="宋体" w:eastAsia="宋体" w:cs="宋体"/>
          <w:color w:val="auto"/>
          <w:spacing w:val="-4"/>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pacing w:val="-4"/>
          <w:sz w:val="21"/>
          <w:szCs w:val="21"/>
          <w:highlight w:val="none"/>
          <w:u w:val="single" w:color="auto"/>
        </w:rPr>
        <w:t>）</w:t>
      </w:r>
      <w:r>
        <w:rPr>
          <w:rFonts w:hint="eastAsia" w:ascii="宋体" w:hAnsi="宋体" w:cs="宋体"/>
          <w:color w:val="auto"/>
          <w:spacing w:val="-1"/>
          <w:sz w:val="21"/>
          <w:szCs w:val="21"/>
          <w:highlight w:val="none"/>
          <w:u w:val="single" w:color="auto"/>
          <w:lang w:val="en-US" w:eastAsia="zh-CN"/>
        </w:rPr>
        <w:t xml:space="preserve">                       </w:t>
      </w:r>
      <w:r>
        <w:rPr>
          <w:rFonts w:ascii="宋体" w:hAnsi="宋体" w:eastAsia="宋体" w:cs="宋体"/>
          <w:color w:val="auto"/>
          <w:spacing w:val="-2"/>
          <w:sz w:val="21"/>
          <w:szCs w:val="21"/>
          <w:highlight w:val="none"/>
        </w:rPr>
        <w:t>；</w:t>
      </w:r>
    </w:p>
    <w:p>
      <w:pPr>
        <w:spacing w:before="157" w:line="221" w:lineRule="auto"/>
        <w:ind w:left="436"/>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  </w:t>
      </w:r>
      <w:r>
        <w:rPr>
          <w:rFonts w:ascii="宋体" w:hAnsi="宋体" w:eastAsia="宋体" w:cs="宋体"/>
          <w:color w:val="auto"/>
          <w:spacing w:val="-1"/>
          <w:sz w:val="21"/>
          <w:szCs w:val="21"/>
          <w:highlight w:val="none"/>
        </w:rPr>
        <w:t>工程地点：</w:t>
      </w:r>
      <w:r>
        <w:rPr>
          <w:rFonts w:hint="eastAsia" w:ascii="宋体" w:hAnsi="宋体" w:cs="宋体"/>
          <w:color w:val="auto"/>
          <w:spacing w:val="-1"/>
          <w:sz w:val="21"/>
          <w:szCs w:val="21"/>
          <w:highlight w:val="none"/>
          <w:u w:val="single" w:color="auto"/>
          <w:lang w:val="en-US" w:eastAsia="zh-CN"/>
        </w:rPr>
        <w:t xml:space="preserve">         </w:t>
      </w:r>
      <w:r>
        <w:rPr>
          <w:rFonts w:ascii="宋体" w:hAnsi="宋体" w:eastAsia="宋体" w:cs="宋体"/>
          <w:color w:val="auto"/>
          <w:spacing w:val="-4"/>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pacing w:val="-4"/>
          <w:sz w:val="21"/>
          <w:szCs w:val="21"/>
          <w:highlight w:val="none"/>
          <w:u w:val="single" w:color="auto"/>
        </w:rPr>
        <w:t>）</w:t>
      </w:r>
      <w:r>
        <w:rPr>
          <w:rFonts w:hint="eastAsia" w:ascii="宋体" w:hAnsi="宋体" w:cs="宋体"/>
          <w:color w:val="auto"/>
          <w:spacing w:val="-1"/>
          <w:sz w:val="21"/>
          <w:szCs w:val="21"/>
          <w:highlight w:val="none"/>
          <w:u w:val="single" w:color="auto"/>
          <w:lang w:val="en-US" w:eastAsia="zh-CN"/>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8" w:line="313" w:lineRule="auto"/>
        <w:ind w:left="20" w:firstLine="420"/>
        <w:rPr>
          <w:rFonts w:hint="default" w:ascii="宋体" w:hAnsi="宋体" w:eastAsia="宋体" w:cs="宋体"/>
          <w:color w:val="auto"/>
          <w:sz w:val="21"/>
          <w:szCs w:val="21"/>
          <w:highlight w:val="none"/>
          <w:lang w:val="en-US" w:eastAsia="zh-CN"/>
        </w:rPr>
      </w:pPr>
      <w:r>
        <w:rPr>
          <w:rFonts w:ascii="Times New Roman" w:hAnsi="Times New Roman" w:eastAsia="Times New Roman" w:cs="Times New Roman"/>
          <w:color w:val="auto"/>
          <w:spacing w:val="-6"/>
          <w:sz w:val="21"/>
          <w:szCs w:val="21"/>
          <w:highlight w:val="none"/>
        </w:rPr>
        <w:t xml:space="preserve">3.  </w:t>
      </w:r>
      <w:r>
        <w:rPr>
          <w:rFonts w:ascii="宋体" w:hAnsi="宋体" w:eastAsia="宋体" w:cs="宋体"/>
          <w:color w:val="auto"/>
          <w:spacing w:val="-6"/>
          <w:sz w:val="21"/>
          <w:szCs w:val="21"/>
          <w:highlight w:val="none"/>
        </w:rPr>
        <w:t>工程规模：</w:t>
      </w:r>
      <w:r>
        <w:rPr>
          <w:rFonts w:hint="eastAsia" w:ascii="宋体" w:hAnsi="宋体" w:cs="宋体"/>
          <w:color w:val="auto"/>
          <w:spacing w:val="-6"/>
          <w:sz w:val="21"/>
          <w:szCs w:val="21"/>
          <w:highlight w:val="none"/>
          <w:u w:val="single" w:color="auto"/>
          <w:lang w:val="en-US" w:eastAsia="zh-CN"/>
        </w:rPr>
        <w:t xml:space="preserve">            </w:t>
      </w:r>
      <w:r>
        <w:rPr>
          <w:rFonts w:ascii="宋体" w:hAnsi="宋体" w:eastAsia="宋体" w:cs="宋体"/>
          <w:color w:val="auto"/>
          <w:spacing w:val="-4"/>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pacing w:val="-4"/>
          <w:sz w:val="21"/>
          <w:szCs w:val="21"/>
          <w:highlight w:val="none"/>
          <w:u w:val="single" w:color="auto"/>
        </w:rPr>
        <w:t>）</w:t>
      </w:r>
      <w:r>
        <w:rPr>
          <w:rFonts w:hint="eastAsia" w:ascii="宋体" w:hAnsi="宋体" w:cs="宋体"/>
          <w:color w:val="auto"/>
          <w:spacing w:val="-6"/>
          <w:sz w:val="21"/>
          <w:szCs w:val="21"/>
          <w:highlight w:val="none"/>
          <w:u w:val="single" w:color="auto"/>
          <w:lang w:val="en-US" w:eastAsia="zh-CN"/>
        </w:rPr>
        <w:t xml:space="preserve">                       </w:t>
      </w:r>
      <w:r>
        <w:rPr>
          <w:rFonts w:hint="eastAsia" w:ascii="宋体" w:hAnsi="宋体" w:cs="宋体"/>
          <w:color w:val="auto"/>
          <w:spacing w:val="-6"/>
          <w:sz w:val="21"/>
          <w:szCs w:val="21"/>
          <w:highlight w:val="none"/>
          <w:u w:val="none" w:color="auto"/>
          <w:lang w:val="en-US" w:eastAsia="zh-CN"/>
        </w:rPr>
        <w:t>。</w:t>
      </w:r>
    </w:p>
    <w:p>
      <w:pPr>
        <w:spacing w:before="157" w:line="221"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4.  </w:t>
      </w:r>
      <w:r>
        <w:rPr>
          <w:rFonts w:ascii="宋体" w:hAnsi="宋体" w:eastAsia="宋体" w:cs="宋体"/>
          <w:color w:val="auto"/>
          <w:spacing w:val="-1"/>
          <w:sz w:val="21"/>
          <w:szCs w:val="21"/>
          <w:highlight w:val="none"/>
        </w:rPr>
        <w:t>工程概算投资额（或建筑安装工程费</w:t>
      </w:r>
      <w:r>
        <w:rPr>
          <w:rFonts w:ascii="宋体" w:hAnsi="宋体" w:eastAsia="宋体" w:cs="宋体"/>
          <w:color w:val="auto"/>
          <w:spacing w:val="5"/>
          <w:sz w:val="21"/>
          <w:szCs w:val="21"/>
          <w:highlight w:val="none"/>
        </w:rPr>
        <w:t>）：</w:t>
      </w:r>
      <w:r>
        <w:rPr>
          <w:rFonts w:ascii="宋体" w:hAnsi="宋体" w:eastAsia="宋体" w:cs="宋体"/>
          <w:color w:val="auto"/>
          <w:spacing w:val="2"/>
          <w:sz w:val="21"/>
          <w:szCs w:val="21"/>
          <w:highlight w:val="none"/>
          <w:u w:val="single" w:color="auto"/>
        </w:rPr>
        <w:t xml:space="preserve">    </w:t>
      </w:r>
      <w:r>
        <w:rPr>
          <w:rFonts w:hint="eastAsia" w:ascii="宋体" w:hAnsi="宋体" w:cs="宋体"/>
          <w:color w:val="auto"/>
          <w:spacing w:val="2"/>
          <w:sz w:val="21"/>
          <w:szCs w:val="21"/>
          <w:highlight w:val="none"/>
          <w:u w:val="single" w:color="auto"/>
          <w:lang w:val="en-US" w:eastAsia="zh-CN"/>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万元  </w:t>
      </w:r>
      <w:r>
        <w:rPr>
          <w:rFonts w:ascii="宋体" w:hAnsi="宋体" w:eastAsia="宋体" w:cs="宋体"/>
          <w:color w:val="auto"/>
          <w:spacing w:val="-1"/>
          <w:sz w:val="21"/>
          <w:szCs w:val="21"/>
          <w:highlight w:val="none"/>
        </w:rPr>
        <w:t>。</w:t>
      </w:r>
    </w:p>
    <w:p>
      <w:pPr>
        <w:spacing w:before="157" w:line="221" w:lineRule="auto"/>
        <w:ind w:left="446"/>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二、词语限定</w:t>
      </w:r>
    </w:p>
    <w:p>
      <w:pPr>
        <w:spacing w:before="156" w:line="220" w:lineRule="auto"/>
        <w:ind w:left="441"/>
        <w:rPr>
          <w:rFonts w:ascii="宋体" w:hAnsi="宋体" w:eastAsia="宋体" w:cs="宋体"/>
          <w:color w:val="auto"/>
          <w:sz w:val="21"/>
          <w:szCs w:val="21"/>
          <w:highlight w:val="none"/>
        </w:rPr>
      </w:pPr>
      <w:r>
        <w:rPr>
          <w:rFonts w:ascii="宋体" w:hAnsi="宋体" w:eastAsia="宋体" w:cs="宋体"/>
          <w:color w:val="auto"/>
          <w:sz w:val="21"/>
          <w:szCs w:val="21"/>
          <w:highlight w:val="none"/>
        </w:rPr>
        <w:t>协议书中相关词语的含义与通用条件中的定义与解</w:t>
      </w:r>
      <w:r>
        <w:rPr>
          <w:rFonts w:ascii="宋体" w:hAnsi="宋体" w:eastAsia="宋体" w:cs="宋体"/>
          <w:color w:val="auto"/>
          <w:spacing w:val="-1"/>
          <w:sz w:val="21"/>
          <w:szCs w:val="21"/>
          <w:highlight w:val="none"/>
        </w:rPr>
        <w:t>释相同。</w:t>
      </w:r>
    </w:p>
    <w:p>
      <w:pPr>
        <w:spacing w:before="161" w:line="220" w:lineRule="auto"/>
        <w:ind w:left="442"/>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三、组成本合同的文件</w:t>
      </w:r>
    </w:p>
    <w:p>
      <w:pPr>
        <w:spacing w:before="157" w:line="220" w:lineRule="auto"/>
        <w:ind w:left="456"/>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1.</w:t>
      </w:r>
      <w:r>
        <w:rPr>
          <w:rFonts w:ascii="Times New Roman" w:hAnsi="Times New Roman" w:eastAsia="Times New Roman" w:cs="Times New Roman"/>
          <w:color w:val="auto"/>
          <w:spacing w:val="6"/>
          <w:sz w:val="21"/>
          <w:szCs w:val="21"/>
          <w:highlight w:val="none"/>
        </w:rPr>
        <w:t xml:space="preserve">  </w:t>
      </w:r>
      <w:r>
        <w:rPr>
          <w:rFonts w:ascii="宋体" w:hAnsi="宋体" w:eastAsia="宋体" w:cs="宋体"/>
          <w:color w:val="auto"/>
          <w:spacing w:val="-6"/>
          <w:sz w:val="21"/>
          <w:szCs w:val="21"/>
          <w:highlight w:val="none"/>
        </w:rPr>
        <w:t>协议书；</w:t>
      </w:r>
    </w:p>
    <w:p>
      <w:pPr>
        <w:spacing w:before="158" w:line="220" w:lineRule="auto"/>
        <w:ind w:left="436"/>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2.</w:t>
      </w:r>
      <w:r>
        <w:rPr>
          <w:rFonts w:ascii="Times New Roman" w:hAnsi="Times New Roman" w:eastAsia="Times New Roman" w:cs="Times New Roman"/>
          <w:color w:val="auto"/>
          <w:spacing w:val="14"/>
          <w:w w:val="101"/>
          <w:sz w:val="21"/>
          <w:szCs w:val="21"/>
          <w:highlight w:val="none"/>
        </w:rPr>
        <w:t xml:space="preserve">  </w:t>
      </w:r>
      <w:r>
        <w:rPr>
          <w:rFonts w:ascii="宋体" w:hAnsi="宋体" w:eastAsia="宋体" w:cs="宋体"/>
          <w:color w:val="auto"/>
          <w:spacing w:val="-1"/>
          <w:sz w:val="21"/>
          <w:szCs w:val="21"/>
          <w:highlight w:val="none"/>
        </w:rPr>
        <w:t>中标通知书（适用于招标工程）或委托书（适用于非招标工程）；</w:t>
      </w:r>
    </w:p>
    <w:p>
      <w:pPr>
        <w:spacing w:before="158" w:line="220" w:lineRule="auto"/>
        <w:ind w:left="440"/>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  </w:t>
      </w:r>
      <w:r>
        <w:rPr>
          <w:rFonts w:ascii="宋体" w:hAnsi="宋体" w:eastAsia="宋体" w:cs="宋体"/>
          <w:color w:val="auto"/>
          <w:spacing w:val="-1"/>
          <w:sz w:val="21"/>
          <w:szCs w:val="21"/>
          <w:highlight w:val="none"/>
        </w:rPr>
        <w:t>投标文件（适用于招标工程）或监理与相关服务建议书（适用于非招标工程</w:t>
      </w:r>
      <w:r>
        <w:rPr>
          <w:rFonts w:ascii="宋体" w:hAnsi="宋体" w:eastAsia="宋体" w:cs="宋体"/>
          <w:color w:val="auto"/>
          <w:sz w:val="21"/>
          <w:szCs w:val="21"/>
          <w:highlight w:val="none"/>
        </w:rPr>
        <w:t>）；</w:t>
      </w:r>
    </w:p>
    <w:p>
      <w:pPr>
        <w:spacing w:before="160" w:line="221"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5"/>
          <w:sz w:val="21"/>
          <w:szCs w:val="21"/>
          <w:highlight w:val="none"/>
        </w:rPr>
        <w:t>4.</w:t>
      </w:r>
      <w:r>
        <w:rPr>
          <w:rFonts w:ascii="Times New Roman" w:hAnsi="Times New Roman" w:eastAsia="Times New Roman" w:cs="Times New Roman"/>
          <w:color w:val="auto"/>
          <w:spacing w:val="4"/>
          <w:sz w:val="21"/>
          <w:szCs w:val="21"/>
          <w:highlight w:val="none"/>
        </w:rPr>
        <w:t xml:space="preserve">  </w:t>
      </w:r>
      <w:r>
        <w:rPr>
          <w:rFonts w:ascii="宋体" w:hAnsi="宋体" w:eastAsia="宋体" w:cs="宋体"/>
          <w:color w:val="auto"/>
          <w:spacing w:val="-5"/>
          <w:sz w:val="21"/>
          <w:szCs w:val="21"/>
          <w:highlight w:val="none"/>
        </w:rPr>
        <w:t>专用条件；</w:t>
      </w:r>
    </w:p>
    <w:p>
      <w:pPr>
        <w:spacing w:before="157" w:line="221" w:lineRule="auto"/>
        <w:ind w:left="442"/>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5.</w:t>
      </w:r>
      <w:r>
        <w:rPr>
          <w:rFonts w:ascii="Times New Roman" w:hAnsi="Times New Roman" w:eastAsia="Times New Roman" w:cs="Times New Roman"/>
          <w:color w:val="auto"/>
          <w:spacing w:val="4"/>
          <w:sz w:val="21"/>
          <w:szCs w:val="21"/>
          <w:highlight w:val="none"/>
        </w:rPr>
        <w:t xml:space="preserve">  </w:t>
      </w:r>
      <w:r>
        <w:rPr>
          <w:rFonts w:ascii="宋体" w:hAnsi="宋体" w:eastAsia="宋体" w:cs="宋体"/>
          <w:color w:val="auto"/>
          <w:spacing w:val="-6"/>
          <w:sz w:val="21"/>
          <w:szCs w:val="21"/>
          <w:highlight w:val="none"/>
        </w:rPr>
        <w:t>通用条件；</w:t>
      </w:r>
    </w:p>
    <w:p>
      <w:pPr>
        <w:spacing w:before="157" w:line="220" w:lineRule="auto"/>
        <w:ind w:left="441"/>
        <w:rPr>
          <w:rFonts w:ascii="宋体" w:hAnsi="宋体" w:eastAsia="宋体" w:cs="宋体"/>
          <w:color w:val="auto"/>
          <w:sz w:val="21"/>
          <w:szCs w:val="21"/>
          <w:highlight w:val="none"/>
        </w:rPr>
      </w:pPr>
      <w:r>
        <w:rPr>
          <w:rFonts w:ascii="Times New Roman" w:hAnsi="Times New Roman" w:eastAsia="Times New Roman" w:cs="Times New Roman"/>
          <w:color w:val="auto"/>
          <w:spacing w:val="-7"/>
          <w:sz w:val="21"/>
          <w:szCs w:val="21"/>
          <w:highlight w:val="none"/>
        </w:rPr>
        <w:t>6.</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7"/>
          <w:sz w:val="21"/>
          <w:szCs w:val="21"/>
          <w:highlight w:val="none"/>
        </w:rPr>
        <w:t>附录，即：</w:t>
      </w:r>
    </w:p>
    <w:p>
      <w:pPr>
        <w:spacing w:before="157" w:line="220" w:lineRule="auto"/>
        <w:ind w:left="45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附录</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3"/>
          <w:sz w:val="21"/>
          <w:szCs w:val="21"/>
          <w:highlight w:val="none"/>
        </w:rPr>
        <w:t>A</w:t>
      </w:r>
      <w:r>
        <w:rPr>
          <w:rFonts w:ascii="Times New Roman" w:hAnsi="Times New Roman" w:eastAsia="Times New Roman" w:cs="Times New Roman"/>
          <w:color w:val="auto"/>
          <w:spacing w:val="16"/>
          <w:sz w:val="21"/>
          <w:szCs w:val="21"/>
          <w:highlight w:val="none"/>
        </w:rPr>
        <w:t xml:space="preserve">   </w:t>
      </w:r>
      <w:r>
        <w:rPr>
          <w:rFonts w:ascii="宋体" w:hAnsi="宋体" w:eastAsia="宋体" w:cs="宋体"/>
          <w:color w:val="auto"/>
          <w:spacing w:val="-3"/>
          <w:sz w:val="21"/>
          <w:szCs w:val="21"/>
          <w:highlight w:val="none"/>
        </w:rPr>
        <w:t>相关服务的范围和内容</w:t>
      </w:r>
    </w:p>
    <w:p>
      <w:pPr>
        <w:spacing w:before="158" w:line="220" w:lineRule="auto"/>
        <w:ind w:left="45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附录</w:t>
      </w:r>
      <w:r>
        <w:rPr>
          <w:rFonts w:ascii="宋体" w:hAnsi="宋体" w:eastAsia="宋体" w:cs="宋体"/>
          <w:color w:val="auto"/>
          <w:spacing w:val="-51"/>
          <w:sz w:val="21"/>
          <w:szCs w:val="21"/>
          <w:highlight w:val="none"/>
        </w:rPr>
        <w:t xml:space="preserve"> </w:t>
      </w:r>
      <w:r>
        <w:rPr>
          <w:rFonts w:ascii="Times New Roman" w:hAnsi="Times New Roman" w:eastAsia="Times New Roman" w:cs="Times New Roman"/>
          <w:color w:val="auto"/>
          <w:spacing w:val="-1"/>
          <w:sz w:val="21"/>
          <w:szCs w:val="21"/>
          <w:highlight w:val="none"/>
        </w:rPr>
        <w:t xml:space="preserve">B    </w:t>
      </w:r>
      <w:r>
        <w:rPr>
          <w:rFonts w:ascii="宋体" w:hAnsi="宋体" w:eastAsia="宋体" w:cs="宋体"/>
          <w:color w:val="auto"/>
          <w:spacing w:val="-1"/>
          <w:sz w:val="21"/>
          <w:szCs w:val="21"/>
          <w:highlight w:val="none"/>
        </w:rPr>
        <w:t>委托人派遣的人员和提供的房</w:t>
      </w:r>
      <w:r>
        <w:rPr>
          <w:rFonts w:ascii="宋体" w:hAnsi="宋体" w:eastAsia="宋体" w:cs="宋体"/>
          <w:color w:val="auto"/>
          <w:spacing w:val="-2"/>
          <w:sz w:val="21"/>
          <w:szCs w:val="21"/>
          <w:highlight w:val="none"/>
        </w:rPr>
        <w:t>屋、资料、设备</w:t>
      </w:r>
    </w:p>
    <w:p>
      <w:pPr>
        <w:spacing w:before="160" w:line="220" w:lineRule="auto"/>
        <w:ind w:left="4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本合同签订后，双方依法签订的补充协议也是本合同文件的组成部分。</w:t>
      </w:r>
    </w:p>
    <w:p>
      <w:pPr>
        <w:spacing w:before="158" w:line="221" w:lineRule="auto"/>
        <w:ind w:left="462"/>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四、总监理工程师</w:t>
      </w:r>
    </w:p>
    <w:p>
      <w:pPr>
        <w:spacing w:before="156" w:line="346" w:lineRule="auto"/>
        <w:ind w:left="20" w:right="67"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总监理工程师姓名</w:t>
      </w:r>
      <w:r>
        <w:rPr>
          <w:rFonts w:ascii="宋体" w:hAnsi="宋体" w:eastAsia="宋体" w:cs="宋体"/>
          <w:color w:val="auto"/>
          <w:spacing w:val="-4"/>
          <w:sz w:val="21"/>
          <w:szCs w:val="21"/>
          <w:highlight w:val="none"/>
        </w:rPr>
        <w:t>：</w:t>
      </w:r>
      <w:r>
        <w:rPr>
          <w:rFonts w:ascii="宋体" w:hAnsi="宋体" w:eastAsia="宋体" w:cs="宋体"/>
          <w:color w:val="auto"/>
          <w:spacing w:val="109"/>
          <w:sz w:val="21"/>
          <w:szCs w:val="21"/>
          <w:highlight w:val="none"/>
          <w:u w:val="single" w:color="auto"/>
        </w:rPr>
        <w:t xml:space="preserve"> </w:t>
      </w:r>
      <w:r>
        <w:rPr>
          <w:rFonts w:ascii="宋体" w:hAnsi="宋体" w:eastAsia="宋体" w:cs="宋体"/>
          <w:color w:val="auto"/>
          <w:spacing w:val="-4"/>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pacing w:val="-4"/>
          <w:sz w:val="21"/>
          <w:szCs w:val="21"/>
          <w:highlight w:val="none"/>
          <w:u w:val="single" w:color="auto"/>
        </w:rPr>
        <w:t>）</w:t>
      </w:r>
      <w:r>
        <w:rPr>
          <w:rFonts w:ascii="宋体" w:hAnsi="宋体" w:eastAsia="宋体" w:cs="宋体"/>
          <w:color w:val="auto"/>
          <w:spacing w:val="8"/>
          <w:sz w:val="21"/>
          <w:szCs w:val="21"/>
          <w:highlight w:val="none"/>
          <w:u w:val="single" w:color="auto"/>
        </w:rPr>
        <w:t xml:space="preserve">    </w:t>
      </w:r>
      <w:r>
        <w:rPr>
          <w:rFonts w:ascii="宋体" w:hAnsi="宋体" w:eastAsia="宋体" w:cs="宋体"/>
          <w:color w:val="auto"/>
          <w:spacing w:val="-80"/>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身份证号码</w:t>
      </w:r>
      <w:r>
        <w:rPr>
          <w:rFonts w:ascii="宋体" w:hAnsi="宋体" w:eastAsia="宋体" w:cs="宋体"/>
          <w:color w:val="auto"/>
          <w:spacing w:val="-4"/>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
          <w:sz w:val="21"/>
          <w:szCs w:val="21"/>
          <w:highlight w:val="none"/>
          <w:u w:val="single" w:color="auto"/>
        </w:rPr>
        <w:t>（</w:t>
      </w:r>
      <w:r>
        <w:rPr>
          <w:rFonts w:ascii="宋体" w:hAnsi="宋体" w:eastAsia="宋体" w:cs="宋体"/>
          <w:color w:val="auto"/>
          <w:spacing w:val="-1"/>
          <w:sz w:val="21"/>
          <w:szCs w:val="21"/>
          <w:highlight w:val="none"/>
          <w:u w:val="single" w:color="auto"/>
        </w:rPr>
        <w:t>中标</w:t>
      </w:r>
      <w:r>
        <w:rPr>
          <w:rFonts w:ascii="宋体" w:hAnsi="宋体" w:eastAsia="宋体" w:cs="宋体"/>
          <w:color w:val="auto"/>
          <w:spacing w:val="-2"/>
          <w:sz w:val="21"/>
          <w:szCs w:val="21"/>
          <w:highlight w:val="none"/>
          <w:u w:val="single" w:color="auto"/>
        </w:rPr>
        <w:t>后填写</w:t>
      </w:r>
      <w:r>
        <w:rPr>
          <w:rFonts w:ascii="宋体" w:hAnsi="宋体" w:eastAsia="宋体" w:cs="宋体"/>
          <w:color w:val="auto"/>
          <w:spacing w:val="-4"/>
          <w:sz w:val="21"/>
          <w:szCs w:val="21"/>
          <w:highlight w:val="none"/>
          <w:u w:val="single" w:color="auto"/>
        </w:rPr>
        <w:t>）</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78"/>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2"/>
          <w:sz w:val="21"/>
          <w:szCs w:val="21"/>
          <w:highlight w:val="none"/>
        </w:rPr>
        <w:t>注</w:t>
      </w:r>
      <w:r>
        <w:rPr>
          <w:rFonts w:ascii="宋体" w:hAnsi="宋体" w:eastAsia="宋体" w:cs="宋体"/>
          <w:color w:val="auto"/>
          <w:sz w:val="21"/>
          <w:szCs w:val="21"/>
          <w:highlight w:val="none"/>
        </w:rPr>
        <w:t xml:space="preserve"> 册号</w:t>
      </w:r>
      <w:r>
        <w:rPr>
          <w:rFonts w:ascii="宋体" w:hAnsi="宋体" w:eastAsia="宋体" w:cs="宋体"/>
          <w:color w:val="auto"/>
          <w:spacing w:val="-4"/>
          <w:sz w:val="21"/>
          <w:szCs w:val="21"/>
          <w:highlight w:val="none"/>
        </w:rPr>
        <w:t>：</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4"/>
          <w:sz w:val="21"/>
          <w:szCs w:val="21"/>
          <w:highlight w:val="none"/>
          <w:u w:val="single" w:color="auto"/>
        </w:rPr>
        <w:t>（</w:t>
      </w:r>
      <w:r>
        <w:rPr>
          <w:rFonts w:ascii="宋体" w:hAnsi="宋体" w:eastAsia="宋体" w:cs="宋体"/>
          <w:color w:val="auto"/>
          <w:sz w:val="21"/>
          <w:szCs w:val="21"/>
          <w:highlight w:val="none"/>
          <w:u w:val="single" w:color="auto"/>
        </w:rPr>
        <w:t>中标后填写）</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z w:val="21"/>
          <w:szCs w:val="21"/>
          <w:highlight w:val="none"/>
        </w:rPr>
        <w:t>。</w:t>
      </w:r>
    </w:p>
    <w:p>
      <w:pPr>
        <w:spacing w:before="30" w:line="221" w:lineRule="auto"/>
        <w:ind w:left="446"/>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五、签约酬金</w:t>
      </w:r>
    </w:p>
    <w:p>
      <w:pPr>
        <w:spacing w:before="159" w:line="221" w:lineRule="auto"/>
        <w:ind w:left="44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签约酬金（大写</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w:t>
      </w:r>
      <w:r>
        <w:rPr>
          <w:rFonts w:ascii="宋体" w:hAnsi="宋体" w:eastAsia="宋体" w:cs="宋体"/>
          <w:color w:val="auto"/>
          <w:spacing w:val="4"/>
          <w:sz w:val="21"/>
          <w:szCs w:val="21"/>
          <w:highlight w:val="none"/>
          <w:u w:val="single" w:color="auto"/>
        </w:rPr>
        <w:t>中标后填写）</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4"/>
          <w:sz w:val="21"/>
          <w:szCs w:val="21"/>
          <w:highlight w:val="none"/>
        </w:rPr>
        <w:t xml:space="preserve"> (</w:t>
      </w:r>
      <w:r>
        <w:rPr>
          <w:rFonts w:ascii="Times New Roman" w:hAnsi="Times New Roman" w:eastAsia="Times New Roman" w:cs="Times New Roman"/>
          <w:color w:val="auto"/>
          <w:spacing w:val="4"/>
          <w:sz w:val="21"/>
          <w:szCs w:val="21"/>
          <w:highlight w:val="none"/>
        </w:rPr>
        <w:t xml:space="preserve">¥            </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w:t>
      </w:r>
    </w:p>
    <w:p>
      <w:pPr>
        <w:spacing w:before="157" w:line="223" w:lineRule="auto"/>
        <w:ind w:left="44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包括：</w:t>
      </w:r>
    </w:p>
    <w:p>
      <w:pPr>
        <w:pStyle w:val="17"/>
        <w:spacing w:line="339" w:lineRule="auto"/>
        <w:rPr>
          <w:color w:val="auto"/>
          <w:highlight w:val="none"/>
        </w:rPr>
      </w:pPr>
    </w:p>
    <w:p>
      <w:pPr>
        <w:spacing w:before="69" w:line="221" w:lineRule="auto"/>
        <w:ind w:left="456"/>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1.  </w:t>
      </w:r>
      <w:r>
        <w:rPr>
          <w:rFonts w:ascii="宋体" w:hAnsi="宋体" w:eastAsia="宋体" w:cs="宋体"/>
          <w:color w:val="auto"/>
          <w:sz w:val="21"/>
          <w:szCs w:val="21"/>
          <w:highlight w:val="none"/>
        </w:rPr>
        <w:t>施工阶段监理酬金</w:t>
      </w:r>
      <w:r>
        <w:rPr>
          <w:rFonts w:ascii="宋体" w:hAnsi="宋体" w:eastAsia="宋体" w:cs="宋体"/>
          <w:color w:val="auto"/>
          <w:spacing w:val="-13"/>
          <w:sz w:val="21"/>
          <w:szCs w:val="21"/>
          <w:highlight w:val="none"/>
        </w:rPr>
        <w:t>：</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13"/>
          <w:sz w:val="21"/>
          <w:szCs w:val="21"/>
          <w:highlight w:val="none"/>
          <w:u w:val="single" w:color="auto"/>
        </w:rPr>
        <w:t>（</w:t>
      </w:r>
      <w:r>
        <w:rPr>
          <w:rFonts w:ascii="宋体" w:hAnsi="宋体" w:eastAsia="宋体" w:cs="宋体"/>
          <w:color w:val="auto"/>
          <w:sz w:val="21"/>
          <w:szCs w:val="21"/>
          <w:highlight w:val="none"/>
          <w:u w:val="single" w:color="auto"/>
        </w:rPr>
        <w:t xml:space="preserve">中标后填写）      </w:t>
      </w:r>
      <w:r>
        <w:rPr>
          <w:rFonts w:ascii="宋体" w:hAnsi="宋体" w:eastAsia="宋体" w:cs="宋体"/>
          <w:color w:val="auto"/>
          <w:sz w:val="21"/>
          <w:szCs w:val="21"/>
          <w:highlight w:val="none"/>
        </w:rPr>
        <w:t>。</w:t>
      </w:r>
    </w:p>
    <w:p>
      <w:pPr>
        <w:spacing w:line="221" w:lineRule="auto"/>
        <w:rPr>
          <w:rFonts w:ascii="宋体" w:hAnsi="宋体" w:eastAsia="宋体" w:cs="宋体"/>
          <w:color w:val="auto"/>
          <w:sz w:val="21"/>
          <w:szCs w:val="21"/>
          <w:highlight w:val="none"/>
        </w:rPr>
        <w:sectPr>
          <w:footerReference r:id="rId10" w:type="default"/>
          <w:pgSz w:w="11907" w:h="16841"/>
          <w:pgMar w:top="1440" w:right="1080" w:bottom="1440" w:left="1080" w:header="0" w:footer="594" w:gutter="0"/>
          <w:pgNumType w:fmt="decimal"/>
          <w:cols w:space="720" w:num="1"/>
        </w:sectPr>
      </w:pPr>
    </w:p>
    <w:p>
      <w:pPr>
        <w:spacing w:before="42" w:line="290" w:lineRule="auto"/>
        <w:ind w:left="440" w:right="3177" w:hanging="4"/>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  </w:t>
      </w:r>
      <w:r>
        <w:rPr>
          <w:rFonts w:ascii="宋体" w:hAnsi="宋体" w:eastAsia="宋体" w:cs="宋体"/>
          <w:color w:val="auto"/>
          <w:spacing w:val="-1"/>
          <w:sz w:val="21"/>
          <w:szCs w:val="21"/>
          <w:highlight w:val="none"/>
        </w:rPr>
        <w:t>相关服务酬金</w:t>
      </w:r>
      <w:r>
        <w:rPr>
          <w:rFonts w:ascii="宋体" w:hAnsi="宋体" w:eastAsia="宋体" w:cs="宋体"/>
          <w:color w:val="auto"/>
          <w:spacing w:val="-5"/>
          <w:sz w:val="21"/>
          <w:szCs w:val="21"/>
          <w:highlight w:val="none"/>
        </w:rPr>
        <w:t>：</w:t>
      </w:r>
      <w:r>
        <w:rPr>
          <w:rFonts w:ascii="宋体" w:hAnsi="宋体" w:eastAsia="宋体" w:cs="宋体"/>
          <w:color w:val="auto"/>
          <w:spacing w:val="15"/>
          <w:sz w:val="21"/>
          <w:szCs w:val="21"/>
          <w:highlight w:val="none"/>
          <w:u w:val="single" w:color="auto"/>
        </w:rPr>
        <w:t xml:space="preserve">       </w:t>
      </w:r>
      <w:r>
        <w:rPr>
          <w:rFonts w:ascii="宋体" w:hAnsi="宋体" w:eastAsia="宋体" w:cs="宋体"/>
          <w:color w:val="auto"/>
          <w:spacing w:val="-5"/>
          <w:sz w:val="21"/>
          <w:szCs w:val="21"/>
          <w:highlight w:val="none"/>
          <w:u w:val="single" w:color="auto"/>
        </w:rPr>
        <w:t>（</w:t>
      </w:r>
      <w:r>
        <w:rPr>
          <w:rFonts w:ascii="宋体" w:hAnsi="宋体" w:eastAsia="宋体" w:cs="宋体"/>
          <w:color w:val="auto"/>
          <w:spacing w:val="-1"/>
          <w:sz w:val="21"/>
          <w:szCs w:val="21"/>
          <w:highlight w:val="none"/>
          <w:u w:val="single" w:color="auto"/>
        </w:rPr>
        <w:t xml:space="preserve">中标后填写）        </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3"/>
          <w:sz w:val="21"/>
          <w:szCs w:val="21"/>
          <w:highlight w:val="none"/>
        </w:rPr>
        <w:t>其中：</w:t>
      </w:r>
    </w:p>
    <w:p>
      <w:pPr>
        <w:spacing w:before="155" w:line="221" w:lineRule="auto"/>
        <w:ind w:left="86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）勘察阶段服务酬金</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7"/>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pacing w:val="26"/>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9" w:line="221" w:lineRule="auto"/>
        <w:ind w:left="86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）设计阶段服务酬金</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7"/>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pacing w:val="26"/>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6" w:line="221" w:lineRule="auto"/>
        <w:ind w:left="86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）保修阶段服务酬金</w:t>
      </w:r>
      <w:r>
        <w:rPr>
          <w:rFonts w:ascii="宋体" w:hAnsi="宋体" w:eastAsia="宋体" w:cs="宋体"/>
          <w:color w:val="auto"/>
          <w:spacing w:val="-1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7"/>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6" w:line="221" w:lineRule="auto"/>
        <w:ind w:left="866"/>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4</w:t>
      </w:r>
      <w:r>
        <w:rPr>
          <w:rFonts w:ascii="宋体" w:hAnsi="宋体" w:eastAsia="宋体" w:cs="宋体"/>
          <w:color w:val="auto"/>
          <w:sz w:val="21"/>
          <w:szCs w:val="21"/>
          <w:highlight w:val="none"/>
        </w:rPr>
        <w:t>）其他相关服务酬金</w:t>
      </w:r>
      <w:r>
        <w:rPr>
          <w:rFonts w:ascii="宋体" w:hAnsi="宋体" w:eastAsia="宋体" w:cs="宋体"/>
          <w:color w:val="auto"/>
          <w:spacing w:val="-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7"/>
          <w:sz w:val="21"/>
          <w:szCs w:val="21"/>
          <w:highlight w:val="none"/>
          <w:u w:val="single" w:color="auto"/>
        </w:rPr>
        <w:t>（</w:t>
      </w:r>
      <w:r>
        <w:rPr>
          <w:rFonts w:ascii="宋体" w:hAnsi="宋体" w:eastAsia="宋体" w:cs="宋体"/>
          <w:color w:val="auto"/>
          <w:sz w:val="21"/>
          <w:szCs w:val="21"/>
          <w:highlight w:val="none"/>
          <w:u w:val="single" w:color="auto"/>
        </w:rPr>
        <w:t xml:space="preserve">中标后填写）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8" w:line="221" w:lineRule="auto"/>
        <w:ind w:left="444"/>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六、期限</w:t>
      </w:r>
    </w:p>
    <w:p>
      <w:pPr>
        <w:keepNext w:val="0"/>
        <w:keepLines w:val="0"/>
        <w:pageBreakBefore w:val="0"/>
        <w:widowControl w:val="0"/>
        <w:kinsoku/>
        <w:wordWrap/>
        <w:overflowPunct/>
        <w:topLinePunct w:val="0"/>
        <w:autoSpaceDE/>
        <w:autoSpaceDN/>
        <w:bidi w:val="0"/>
        <w:adjustRightInd/>
        <w:snapToGrid/>
        <w:spacing w:line="291" w:lineRule="auto"/>
        <w:ind w:left="0" w:right="0" w:firstLine="455" w:firstLineChars="219"/>
        <w:textAlignment w:val="auto"/>
        <w:rPr>
          <w:rFonts w:ascii="宋体" w:hAnsi="宋体" w:eastAsia="宋体" w:cs="宋体"/>
          <w:color w:val="auto"/>
          <w:spacing w:val="-4"/>
          <w:sz w:val="21"/>
          <w:szCs w:val="21"/>
          <w:highlight w:val="none"/>
        </w:rPr>
      </w:pPr>
      <w:r>
        <w:rPr>
          <w:rFonts w:ascii="Times New Roman" w:hAnsi="Times New Roman" w:eastAsia="Times New Roman" w:cs="Times New Roman"/>
          <w:color w:val="auto"/>
          <w:spacing w:val="-1"/>
          <w:sz w:val="21"/>
          <w:szCs w:val="21"/>
          <w:highlight w:val="none"/>
        </w:rPr>
        <w:t xml:space="preserve">1. </w:t>
      </w:r>
      <w:r>
        <w:rPr>
          <w:rFonts w:ascii="宋体" w:hAnsi="宋体" w:eastAsia="宋体" w:cs="宋体"/>
          <w:color w:val="auto"/>
          <w:spacing w:val="-1"/>
          <w:sz w:val="21"/>
          <w:szCs w:val="21"/>
          <w:highlight w:val="none"/>
        </w:rPr>
        <w:t>施工阶段监理服务期限：</w:t>
      </w:r>
      <w:r>
        <w:rPr>
          <w:rFonts w:ascii="宋体" w:hAnsi="宋体" w:eastAsia="宋体" w:cs="宋体"/>
          <w:color w:val="auto"/>
          <w:spacing w:val="-1"/>
          <w:sz w:val="21"/>
          <w:szCs w:val="21"/>
          <w:highlight w:val="none"/>
          <w:u w:val="single" w:color="auto"/>
        </w:rPr>
        <w:t>工程开工之日起至工程竣工验收完毕之日。</w:t>
      </w:r>
      <w:r>
        <w:rPr>
          <w:rFonts w:ascii="宋体" w:hAnsi="宋体" w:eastAsia="宋体" w:cs="宋体"/>
          <w:color w:val="auto"/>
          <w:spacing w:val="-4"/>
          <w:sz w:val="21"/>
          <w:szCs w:val="21"/>
          <w:highlight w:val="none"/>
        </w:rPr>
        <w:t>自</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hint="eastAsia" w:ascii="宋体" w:hAnsi="宋体" w:cs="宋体"/>
          <w:color w:val="auto"/>
          <w:spacing w:val="-4"/>
          <w:sz w:val="21"/>
          <w:szCs w:val="21"/>
          <w:highlight w:val="none"/>
          <w:u w:val="single" w:color="auto"/>
          <w:lang w:val="en-US" w:eastAsia="zh-CN"/>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hint="eastAsia" w:ascii="宋体" w:hAnsi="宋体" w:cs="宋体"/>
          <w:color w:val="auto"/>
          <w:spacing w:val="-4"/>
          <w:sz w:val="21"/>
          <w:szCs w:val="21"/>
          <w:highlight w:val="none"/>
          <w:u w:val="single" w:color="auto"/>
          <w:lang w:val="en-US" w:eastAsia="zh-CN"/>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日始，</w:t>
      </w:r>
    </w:p>
    <w:p>
      <w:pPr>
        <w:keepNext w:val="0"/>
        <w:keepLines w:val="0"/>
        <w:pageBreakBefore w:val="0"/>
        <w:widowControl w:val="0"/>
        <w:kinsoku/>
        <w:wordWrap/>
        <w:overflowPunct/>
        <w:topLinePunct w:val="0"/>
        <w:autoSpaceDE/>
        <w:autoSpaceDN/>
        <w:bidi w:val="0"/>
        <w:adjustRightInd/>
        <w:snapToGrid/>
        <w:spacing w:line="291" w:lineRule="auto"/>
        <w:ind w:right="0"/>
        <w:textAlignment w:val="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至</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日止。</w:t>
      </w:r>
    </w:p>
    <w:p>
      <w:pPr>
        <w:spacing w:before="157" w:line="221" w:lineRule="auto"/>
        <w:ind w:left="542"/>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 xml:space="preserve">2.  </w:t>
      </w:r>
      <w:r>
        <w:rPr>
          <w:rFonts w:ascii="宋体" w:hAnsi="宋体" w:eastAsia="宋体" w:cs="宋体"/>
          <w:color w:val="auto"/>
          <w:spacing w:val="-3"/>
          <w:sz w:val="21"/>
          <w:szCs w:val="21"/>
          <w:highlight w:val="none"/>
        </w:rPr>
        <w:t>相关服务期限：</w:t>
      </w:r>
    </w:p>
    <w:p>
      <w:pPr>
        <w:spacing w:before="157" w:line="221" w:lineRule="auto"/>
        <w:ind w:left="55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1</w:t>
      </w:r>
      <w:r>
        <w:rPr>
          <w:rFonts w:ascii="宋体" w:hAnsi="宋体" w:eastAsia="宋体" w:cs="宋体"/>
          <w:color w:val="auto"/>
          <w:spacing w:val="-4"/>
          <w:sz w:val="21"/>
          <w:szCs w:val="21"/>
          <w:highlight w:val="none"/>
        </w:rPr>
        <w:t>）勘察阶段服务期限自</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日始，至</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日止。</w:t>
      </w:r>
    </w:p>
    <w:p>
      <w:pPr>
        <w:spacing w:before="157" w:line="221" w:lineRule="auto"/>
        <w:ind w:left="55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2</w:t>
      </w:r>
      <w:r>
        <w:rPr>
          <w:rFonts w:ascii="宋体" w:hAnsi="宋体" w:eastAsia="宋体" w:cs="宋体"/>
          <w:color w:val="auto"/>
          <w:spacing w:val="-4"/>
          <w:sz w:val="21"/>
          <w:szCs w:val="21"/>
          <w:highlight w:val="none"/>
        </w:rPr>
        <w:t>）设计阶段服务期限自</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日始，至</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日止。</w:t>
      </w:r>
    </w:p>
    <w:p>
      <w:pPr>
        <w:spacing w:before="159" w:line="221" w:lineRule="auto"/>
        <w:ind w:left="55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3</w:t>
      </w:r>
      <w:r>
        <w:rPr>
          <w:rFonts w:ascii="宋体" w:hAnsi="宋体" w:eastAsia="宋体" w:cs="宋体"/>
          <w:color w:val="auto"/>
          <w:spacing w:val="-4"/>
          <w:sz w:val="21"/>
          <w:szCs w:val="21"/>
          <w:highlight w:val="none"/>
        </w:rPr>
        <w:t>）保修阶段服务期限自</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日始，至</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日止。</w:t>
      </w:r>
    </w:p>
    <w:p>
      <w:pPr>
        <w:spacing w:before="156" w:line="221" w:lineRule="auto"/>
        <w:ind w:left="55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w:t>
      </w:r>
      <w:r>
        <w:rPr>
          <w:rFonts w:ascii="Times New Roman" w:hAnsi="Times New Roman" w:eastAsia="Times New Roman" w:cs="Times New Roman"/>
          <w:color w:val="auto"/>
          <w:spacing w:val="-4"/>
          <w:sz w:val="21"/>
          <w:szCs w:val="21"/>
          <w:highlight w:val="none"/>
        </w:rPr>
        <w:t>4</w:t>
      </w:r>
      <w:r>
        <w:rPr>
          <w:rFonts w:ascii="宋体" w:hAnsi="宋体" w:eastAsia="宋体" w:cs="宋体"/>
          <w:color w:val="auto"/>
          <w:spacing w:val="-4"/>
          <w:sz w:val="21"/>
          <w:szCs w:val="21"/>
          <w:highlight w:val="none"/>
        </w:rPr>
        <w:t>）其他相关服务期限自</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4"/>
          <w:sz w:val="21"/>
          <w:szCs w:val="21"/>
          <w:highlight w:val="none"/>
        </w:rPr>
        <w:t>日始，至</w:t>
      </w:r>
      <w:r>
        <w:rPr>
          <w:rFonts w:ascii="宋体" w:hAnsi="宋体" w:eastAsia="宋体" w:cs="宋体"/>
          <w:color w:val="auto"/>
          <w:spacing w:val="-104"/>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4"/>
          <w:sz w:val="21"/>
          <w:szCs w:val="21"/>
          <w:highlight w:val="none"/>
        </w:rPr>
        <w:t>年</w:t>
      </w:r>
      <w:r>
        <w:rPr>
          <w:rFonts w:ascii="宋体" w:hAnsi="宋体" w:eastAsia="宋体" w:cs="宋体"/>
          <w:color w:val="auto"/>
          <w:spacing w:val="-105"/>
          <w:sz w:val="21"/>
          <w:szCs w:val="21"/>
          <w:highlight w:val="none"/>
        </w:rPr>
        <w:t xml:space="preserve"> </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91"/>
          <w:sz w:val="21"/>
          <w:szCs w:val="21"/>
          <w:highlight w:val="none"/>
        </w:rPr>
        <w:t xml:space="preserve"> </w:t>
      </w:r>
      <w:r>
        <w:rPr>
          <w:rFonts w:ascii="宋体" w:hAnsi="宋体" w:eastAsia="宋体" w:cs="宋体"/>
          <w:color w:val="auto"/>
          <w:spacing w:val="-4"/>
          <w:sz w:val="21"/>
          <w:szCs w:val="21"/>
          <w:highlight w:val="none"/>
        </w:rPr>
        <w:t>月</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日止。</w:t>
      </w:r>
    </w:p>
    <w:p>
      <w:pPr>
        <w:spacing w:before="157" w:line="221" w:lineRule="auto"/>
        <w:ind w:left="441"/>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七、双方承诺</w:t>
      </w:r>
    </w:p>
    <w:p>
      <w:pPr>
        <w:spacing w:before="157" w:line="220" w:lineRule="auto"/>
        <w:ind w:left="456"/>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1.  </w:t>
      </w:r>
      <w:r>
        <w:rPr>
          <w:rFonts w:ascii="宋体" w:hAnsi="宋体" w:eastAsia="宋体" w:cs="宋体"/>
          <w:color w:val="auto"/>
          <w:spacing w:val="-1"/>
          <w:sz w:val="21"/>
          <w:szCs w:val="21"/>
          <w:highlight w:val="none"/>
        </w:rPr>
        <w:t>监理人向委托人承诺，按照本合同约定提供监理与相关服务。</w:t>
      </w:r>
    </w:p>
    <w:p>
      <w:pPr>
        <w:spacing w:before="159" w:line="290" w:lineRule="auto"/>
        <w:ind w:left="21" w:firstLine="415"/>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  </w:t>
      </w:r>
      <w:r>
        <w:rPr>
          <w:rFonts w:ascii="宋体" w:hAnsi="宋体" w:eastAsia="宋体" w:cs="宋体"/>
          <w:color w:val="auto"/>
          <w:sz w:val="21"/>
          <w:szCs w:val="21"/>
          <w:highlight w:val="none"/>
        </w:rPr>
        <w:t>委托人向监理人承诺，按照本合同约定派遣相应的人员，提供房屋、</w:t>
      </w:r>
      <w:r>
        <w:rPr>
          <w:rFonts w:ascii="宋体" w:hAnsi="宋体" w:eastAsia="宋体" w:cs="宋体"/>
          <w:color w:val="auto"/>
          <w:spacing w:val="-1"/>
          <w:sz w:val="21"/>
          <w:szCs w:val="21"/>
          <w:highlight w:val="none"/>
        </w:rPr>
        <w:t>资料、设备，并按</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本合同约定支付酬金。</w:t>
      </w:r>
    </w:p>
    <w:p>
      <w:pPr>
        <w:spacing w:before="158" w:line="221" w:lineRule="auto"/>
        <w:ind w:left="446"/>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八、合同订立</w:t>
      </w:r>
    </w:p>
    <w:p>
      <w:pPr>
        <w:spacing w:before="156" w:line="221" w:lineRule="auto"/>
        <w:ind w:left="456"/>
        <w:rPr>
          <w:rFonts w:ascii="宋体" w:hAnsi="宋体" w:eastAsia="宋体" w:cs="宋体"/>
          <w:color w:val="auto"/>
          <w:sz w:val="21"/>
          <w:szCs w:val="21"/>
          <w:highlight w:val="none"/>
        </w:rPr>
      </w:pPr>
      <w:r>
        <w:rPr>
          <w:rFonts w:ascii="Times New Roman" w:hAnsi="Times New Roman" w:eastAsia="Times New Roman" w:cs="Times New Roman"/>
          <w:color w:val="auto"/>
          <w:spacing w:val="-7"/>
          <w:sz w:val="21"/>
          <w:szCs w:val="21"/>
          <w:highlight w:val="none"/>
        </w:rPr>
        <w:t xml:space="preserve">1.  </w:t>
      </w:r>
      <w:r>
        <w:rPr>
          <w:rFonts w:ascii="宋体" w:hAnsi="宋体" w:eastAsia="宋体" w:cs="宋体"/>
          <w:color w:val="auto"/>
          <w:spacing w:val="-7"/>
          <w:sz w:val="21"/>
          <w:szCs w:val="21"/>
          <w:highlight w:val="none"/>
        </w:rPr>
        <w:t>订立时间：</w:t>
      </w:r>
      <w:r>
        <w:rPr>
          <w:rFonts w:ascii="宋体" w:hAnsi="宋体" w:eastAsia="宋体" w:cs="宋体"/>
          <w:color w:val="auto"/>
          <w:spacing w:val="14"/>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7"/>
          <w:sz w:val="21"/>
          <w:szCs w:val="21"/>
          <w:highlight w:val="none"/>
        </w:rPr>
        <w:t>月</w:t>
      </w:r>
      <w:r>
        <w:rPr>
          <w:rFonts w:ascii="宋体" w:hAnsi="宋体" w:eastAsia="宋体" w:cs="宋体"/>
          <w:color w:val="auto"/>
          <w:spacing w:val="34"/>
          <w:sz w:val="21"/>
          <w:szCs w:val="21"/>
          <w:highlight w:val="none"/>
          <w:u w:val="single" w:color="auto"/>
        </w:rPr>
        <w:t xml:space="preserve">   </w:t>
      </w:r>
      <w:r>
        <w:rPr>
          <w:rFonts w:ascii="宋体" w:hAnsi="宋体" w:eastAsia="宋体" w:cs="宋体"/>
          <w:color w:val="auto"/>
          <w:spacing w:val="-60"/>
          <w:sz w:val="21"/>
          <w:szCs w:val="21"/>
          <w:highlight w:val="none"/>
        </w:rPr>
        <w:t xml:space="preserve"> </w:t>
      </w:r>
      <w:r>
        <w:rPr>
          <w:rFonts w:ascii="宋体" w:hAnsi="宋体" w:eastAsia="宋体" w:cs="宋体"/>
          <w:color w:val="auto"/>
          <w:spacing w:val="-7"/>
          <w:sz w:val="21"/>
          <w:szCs w:val="21"/>
          <w:highlight w:val="none"/>
        </w:rPr>
        <w:t>日。</w:t>
      </w:r>
    </w:p>
    <w:p>
      <w:pPr>
        <w:spacing w:before="158" w:line="223" w:lineRule="auto"/>
        <w:ind w:left="436"/>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 xml:space="preserve">2.  </w:t>
      </w:r>
      <w:r>
        <w:rPr>
          <w:rFonts w:ascii="宋体" w:hAnsi="宋体" w:eastAsia="宋体" w:cs="宋体"/>
          <w:color w:val="auto"/>
          <w:sz w:val="21"/>
          <w:szCs w:val="21"/>
          <w:highlight w:val="none"/>
        </w:rPr>
        <w:t>订立地点：</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6" w:line="220" w:lineRule="auto"/>
        <w:ind w:left="440"/>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  </w:t>
      </w:r>
      <w:r>
        <w:rPr>
          <w:rFonts w:ascii="宋体" w:hAnsi="宋体" w:eastAsia="宋体" w:cs="宋体"/>
          <w:color w:val="auto"/>
          <w:spacing w:val="-1"/>
          <w:sz w:val="21"/>
          <w:szCs w:val="21"/>
          <w:highlight w:val="none"/>
        </w:rPr>
        <w:t>本合同一式</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1"/>
          <w:sz w:val="21"/>
          <w:szCs w:val="21"/>
          <w:highlight w:val="none"/>
        </w:rPr>
        <w:t>份，具有同等法律效力，</w:t>
      </w:r>
      <w:r>
        <w:rPr>
          <w:rFonts w:ascii="宋体" w:hAnsi="宋体" w:eastAsia="宋体" w:cs="宋体"/>
          <w:color w:val="auto"/>
          <w:spacing w:val="-2"/>
          <w:sz w:val="21"/>
          <w:szCs w:val="21"/>
          <w:highlight w:val="none"/>
        </w:rPr>
        <w:t>双方各执</w:t>
      </w:r>
      <w:r>
        <w:rPr>
          <w:rFonts w:ascii="宋体" w:hAnsi="宋体" w:eastAsia="宋体" w:cs="宋体"/>
          <w:color w:val="auto"/>
          <w:spacing w:val="-105"/>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6"/>
          <w:sz w:val="21"/>
          <w:szCs w:val="21"/>
          <w:highlight w:val="none"/>
        </w:rPr>
        <w:t xml:space="preserve"> </w:t>
      </w:r>
      <w:r>
        <w:rPr>
          <w:rFonts w:ascii="宋体" w:hAnsi="宋体" w:eastAsia="宋体" w:cs="宋体"/>
          <w:color w:val="auto"/>
          <w:spacing w:val="-2"/>
          <w:sz w:val="21"/>
          <w:szCs w:val="21"/>
          <w:highlight w:val="none"/>
        </w:rPr>
        <w:t>份。</w:t>
      </w:r>
    </w:p>
    <w:p>
      <w:pPr>
        <w:spacing w:before="158" w:line="220" w:lineRule="auto"/>
        <w:ind w:left="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委托人</w:t>
      </w:r>
      <w:r>
        <w:rPr>
          <w:rFonts w:ascii="宋体" w:hAnsi="宋体" w:eastAsia="宋体" w:cs="宋体"/>
          <w:color w:val="auto"/>
          <w:spacing w:val="-14"/>
          <w:sz w:val="21"/>
          <w:szCs w:val="21"/>
          <w:highlight w:val="none"/>
        </w:rPr>
        <w:t>：</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14"/>
          <w:sz w:val="21"/>
          <w:szCs w:val="21"/>
          <w:highlight w:val="none"/>
          <w:u w:val="single" w:color="auto"/>
        </w:rPr>
        <w:t>（</w:t>
      </w:r>
      <w:r>
        <w:rPr>
          <w:rFonts w:ascii="宋体" w:hAnsi="宋体" w:eastAsia="宋体" w:cs="宋体"/>
          <w:color w:val="auto"/>
          <w:spacing w:val="2"/>
          <w:sz w:val="21"/>
          <w:szCs w:val="21"/>
          <w:highlight w:val="none"/>
          <w:u w:val="single" w:color="auto"/>
        </w:rPr>
        <w:t>盖章）</w:t>
      </w:r>
      <w:r>
        <w:rPr>
          <w:rFonts w:ascii="宋体" w:hAnsi="宋体" w:eastAsia="宋体" w:cs="宋体"/>
          <w:color w:val="auto"/>
          <w:spacing w:val="12"/>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2"/>
          <w:sz w:val="21"/>
          <w:szCs w:val="21"/>
          <w:highlight w:val="none"/>
        </w:rPr>
        <w:t>监理人</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4"/>
          <w:sz w:val="21"/>
          <w:szCs w:val="21"/>
          <w:highlight w:val="none"/>
          <w:u w:val="single" w:color="auto"/>
        </w:rPr>
        <w:t>（</w:t>
      </w:r>
      <w:r>
        <w:rPr>
          <w:rFonts w:ascii="宋体" w:hAnsi="宋体" w:eastAsia="宋体" w:cs="宋体"/>
          <w:color w:val="auto"/>
          <w:spacing w:val="2"/>
          <w:sz w:val="21"/>
          <w:szCs w:val="21"/>
          <w:highlight w:val="none"/>
          <w:u w:val="single" w:color="auto"/>
        </w:rPr>
        <w:t xml:space="preserve">盖章）           </w:t>
      </w:r>
    </w:p>
    <w:p>
      <w:pPr>
        <w:spacing w:before="158" w:line="221" w:lineRule="auto"/>
        <w:ind w:left="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住所：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rPr>
        <w:t xml:space="preserve">        住所： </w:t>
      </w:r>
      <w:r>
        <w:rPr>
          <w:rFonts w:ascii="宋体" w:hAnsi="宋体" w:eastAsia="宋体" w:cs="宋体"/>
          <w:color w:val="auto"/>
          <w:spacing w:val="-2"/>
          <w:sz w:val="21"/>
          <w:szCs w:val="21"/>
          <w:highlight w:val="none"/>
          <w:u w:val="single" w:color="auto"/>
        </w:rPr>
        <w:t xml:space="preserve">                             </w:t>
      </w:r>
    </w:p>
    <w:p>
      <w:pPr>
        <w:spacing w:before="156" w:line="221" w:lineRule="auto"/>
        <w:ind w:left="45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邮政编码：</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邮政编码：</w:t>
      </w:r>
      <w:r>
        <w:rPr>
          <w:rFonts w:ascii="宋体" w:hAnsi="宋体" w:eastAsia="宋体" w:cs="宋体"/>
          <w:color w:val="auto"/>
          <w:sz w:val="21"/>
          <w:szCs w:val="21"/>
          <w:highlight w:val="none"/>
          <w:u w:val="single" w:color="auto"/>
        </w:rPr>
        <w:t xml:space="preserve">                         </w:t>
      </w:r>
    </w:p>
    <w:p>
      <w:pPr>
        <w:spacing w:before="156" w:line="221" w:lineRule="auto"/>
        <w:ind w:left="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法定代表人或其授权代理人</w:t>
      </w:r>
      <w:r>
        <w:rPr>
          <w:rFonts w:ascii="宋体" w:hAnsi="宋体" w:eastAsia="宋体" w:cs="宋体"/>
          <w:color w:val="auto"/>
          <w:spacing w:val="-9"/>
          <w:sz w:val="21"/>
          <w:szCs w:val="21"/>
          <w:highlight w:val="none"/>
        </w:rPr>
        <w:t>：</w:t>
      </w:r>
      <w:r>
        <w:rPr>
          <w:rFonts w:ascii="宋体" w:hAnsi="宋体" w:eastAsia="宋体" w:cs="宋体"/>
          <w:color w:val="auto"/>
          <w:spacing w:val="-9"/>
          <w:sz w:val="21"/>
          <w:szCs w:val="21"/>
          <w:highlight w:val="none"/>
          <w:u w:val="single" w:color="auto"/>
        </w:rPr>
        <w:t>（</w:t>
      </w:r>
      <w:r>
        <w:rPr>
          <w:rFonts w:ascii="宋体" w:hAnsi="宋体" w:eastAsia="宋体" w:cs="宋体"/>
          <w:color w:val="auto"/>
          <w:spacing w:val="1"/>
          <w:sz w:val="21"/>
          <w:szCs w:val="21"/>
          <w:highlight w:val="none"/>
          <w:u w:val="single" w:color="auto"/>
        </w:rPr>
        <w:t>签字）</w:t>
      </w:r>
      <w:r>
        <w:rPr>
          <w:rFonts w:ascii="宋体" w:hAnsi="宋体" w:eastAsia="宋体" w:cs="宋体"/>
          <w:color w:val="auto"/>
          <w:spacing w:val="1"/>
          <w:sz w:val="21"/>
          <w:szCs w:val="21"/>
          <w:highlight w:val="none"/>
        </w:rPr>
        <w:t xml:space="preserve">        法定代表人或</w:t>
      </w:r>
      <w:r>
        <w:rPr>
          <w:rFonts w:ascii="宋体" w:hAnsi="宋体" w:eastAsia="宋体" w:cs="宋体"/>
          <w:color w:val="auto"/>
          <w:sz w:val="21"/>
          <w:szCs w:val="21"/>
          <w:highlight w:val="none"/>
        </w:rPr>
        <w:t>其授权代理人</w:t>
      </w:r>
      <w:r>
        <w:rPr>
          <w:rFonts w:ascii="宋体" w:hAnsi="宋体" w:eastAsia="宋体" w:cs="宋体"/>
          <w:color w:val="auto"/>
          <w:spacing w:val="-9"/>
          <w:sz w:val="21"/>
          <w:szCs w:val="21"/>
          <w:highlight w:val="none"/>
        </w:rPr>
        <w:t>：</w:t>
      </w:r>
      <w:r>
        <w:rPr>
          <w:rFonts w:ascii="宋体" w:hAnsi="宋体" w:eastAsia="宋体" w:cs="宋体"/>
          <w:color w:val="auto"/>
          <w:spacing w:val="-9"/>
          <w:sz w:val="21"/>
          <w:szCs w:val="21"/>
          <w:highlight w:val="none"/>
          <w:u w:val="single" w:color="auto"/>
        </w:rPr>
        <w:t>（</w:t>
      </w:r>
      <w:r>
        <w:rPr>
          <w:rFonts w:ascii="宋体" w:hAnsi="宋体" w:eastAsia="宋体" w:cs="宋体"/>
          <w:color w:val="auto"/>
          <w:sz w:val="21"/>
          <w:szCs w:val="21"/>
          <w:highlight w:val="none"/>
          <w:u w:val="single" w:color="auto"/>
        </w:rPr>
        <w:t>签字）</w:t>
      </w:r>
    </w:p>
    <w:p>
      <w:pPr>
        <w:spacing w:before="160" w:line="221" w:lineRule="auto"/>
        <w:ind w:left="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开户银行：</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 xml:space="preserve">        开户银行：</w:t>
      </w:r>
      <w:r>
        <w:rPr>
          <w:rFonts w:ascii="宋体" w:hAnsi="宋体" w:eastAsia="宋体" w:cs="宋体"/>
          <w:color w:val="auto"/>
          <w:spacing w:val="-2"/>
          <w:sz w:val="21"/>
          <w:szCs w:val="21"/>
          <w:highlight w:val="none"/>
          <w:u w:val="single" w:color="auto"/>
        </w:rPr>
        <w:t xml:space="preserve">                          </w:t>
      </w:r>
    </w:p>
    <w:p>
      <w:pPr>
        <w:spacing w:before="157" w:line="222" w:lineRule="auto"/>
        <w:ind w:left="43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账号：</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1"/>
          <w:sz w:val="21"/>
          <w:szCs w:val="21"/>
          <w:highlight w:val="none"/>
        </w:rPr>
        <w:t xml:space="preserve">        </w:t>
      </w:r>
      <w:r>
        <w:rPr>
          <w:rFonts w:ascii="宋体" w:hAnsi="宋体" w:eastAsia="宋体" w:cs="宋体"/>
          <w:color w:val="auto"/>
          <w:spacing w:val="-4"/>
          <w:sz w:val="21"/>
          <w:szCs w:val="21"/>
          <w:highlight w:val="none"/>
        </w:rPr>
        <w:t>账号：</w:t>
      </w:r>
      <w:r>
        <w:rPr>
          <w:rFonts w:ascii="宋体" w:hAnsi="宋体" w:eastAsia="宋体" w:cs="宋体"/>
          <w:color w:val="auto"/>
          <w:sz w:val="21"/>
          <w:szCs w:val="21"/>
          <w:highlight w:val="none"/>
          <w:u w:val="single" w:color="auto"/>
        </w:rPr>
        <w:t xml:space="preserve">                             </w:t>
      </w:r>
    </w:p>
    <w:p>
      <w:pPr>
        <w:spacing w:before="155" w:line="223" w:lineRule="auto"/>
        <w:ind w:left="460"/>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电话：</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 xml:space="preserve">        </w:t>
      </w:r>
      <w:r>
        <w:rPr>
          <w:rFonts w:ascii="宋体" w:hAnsi="宋体" w:eastAsia="宋体" w:cs="宋体"/>
          <w:color w:val="auto"/>
          <w:spacing w:val="-11"/>
          <w:sz w:val="21"/>
          <w:szCs w:val="21"/>
          <w:highlight w:val="none"/>
        </w:rPr>
        <w:t>电话：</w:t>
      </w:r>
      <w:r>
        <w:rPr>
          <w:rFonts w:ascii="宋体" w:hAnsi="宋体" w:eastAsia="宋体" w:cs="宋体"/>
          <w:color w:val="auto"/>
          <w:sz w:val="21"/>
          <w:szCs w:val="21"/>
          <w:highlight w:val="none"/>
          <w:u w:val="single" w:color="auto"/>
        </w:rPr>
        <w:t xml:space="preserve">                             </w:t>
      </w:r>
    </w:p>
    <w:p>
      <w:pPr>
        <w:spacing w:before="155" w:line="220" w:lineRule="auto"/>
        <w:ind w:left="43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传真：</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rPr>
        <w:t xml:space="preserve">        传真：</w:t>
      </w:r>
      <w:r>
        <w:rPr>
          <w:rFonts w:ascii="宋体" w:hAnsi="宋体" w:eastAsia="宋体" w:cs="宋体"/>
          <w:color w:val="auto"/>
          <w:spacing w:val="-2"/>
          <w:sz w:val="21"/>
          <w:szCs w:val="21"/>
          <w:highlight w:val="none"/>
          <w:u w:val="single" w:color="auto"/>
        </w:rPr>
        <w:t xml:space="preserve">                              </w:t>
      </w:r>
    </w:p>
    <w:p>
      <w:pPr>
        <w:spacing w:before="158" w:line="221" w:lineRule="auto"/>
        <w:ind w:left="46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电子邮箱：</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
          <w:sz w:val="21"/>
          <w:szCs w:val="21"/>
          <w:highlight w:val="none"/>
        </w:rPr>
        <w:t xml:space="preserve">         </w:t>
      </w:r>
      <w:r>
        <w:rPr>
          <w:rFonts w:ascii="宋体" w:hAnsi="宋体" w:eastAsia="宋体" w:cs="宋体"/>
          <w:color w:val="auto"/>
          <w:spacing w:val="-5"/>
          <w:sz w:val="21"/>
          <w:szCs w:val="21"/>
          <w:highlight w:val="none"/>
        </w:rPr>
        <w:t>电子邮箱：</w:t>
      </w:r>
      <w:r>
        <w:rPr>
          <w:rFonts w:ascii="宋体" w:hAnsi="宋体" w:eastAsia="宋体" w:cs="宋体"/>
          <w:color w:val="auto"/>
          <w:spacing w:val="-5"/>
          <w:sz w:val="21"/>
          <w:szCs w:val="21"/>
          <w:highlight w:val="none"/>
          <w:u w:val="single" w:color="auto"/>
        </w:rPr>
        <w:t xml:space="preserve">                          </w:t>
      </w:r>
    </w:p>
    <w:p>
      <w:pPr>
        <w:spacing w:line="221" w:lineRule="auto"/>
        <w:rPr>
          <w:rFonts w:ascii="宋体" w:hAnsi="宋体" w:eastAsia="宋体" w:cs="宋体"/>
          <w:color w:val="auto"/>
          <w:sz w:val="21"/>
          <w:szCs w:val="21"/>
          <w:highlight w:val="none"/>
        </w:rPr>
        <w:sectPr>
          <w:footerReference r:id="rId11" w:type="default"/>
          <w:pgSz w:w="11907" w:h="16841"/>
          <w:pgMar w:top="1440" w:right="1080" w:bottom="1440" w:left="1080" w:header="0" w:footer="594" w:gutter="0"/>
          <w:pgNumType w:fmt="decimal"/>
          <w:cols w:space="720" w:num="1"/>
        </w:sectPr>
      </w:pPr>
    </w:p>
    <w:p>
      <w:pPr>
        <w:spacing w:before="88" w:line="223" w:lineRule="auto"/>
        <w:ind w:left="3480"/>
        <w:rPr>
          <w:rFonts w:ascii="宋体" w:hAnsi="宋体" w:eastAsia="宋体" w:cs="宋体"/>
          <w:color w:val="auto"/>
          <w:sz w:val="43"/>
          <w:szCs w:val="43"/>
          <w:highlight w:val="none"/>
        </w:rPr>
      </w:pPr>
      <w:r>
        <w:rPr>
          <w:rFonts w:ascii="宋体" w:hAnsi="宋体" w:eastAsia="宋体" w:cs="宋体"/>
          <w:b/>
          <w:bCs/>
          <w:color w:val="auto"/>
          <w:spacing w:val="2"/>
          <w:sz w:val="43"/>
          <w:szCs w:val="43"/>
          <w:highlight w:val="none"/>
        </w:rPr>
        <w:t>第二部分</w:t>
      </w:r>
    </w:p>
    <w:p>
      <w:pPr>
        <w:spacing w:before="301" w:line="220" w:lineRule="auto"/>
        <w:ind w:left="1625"/>
        <w:rPr>
          <w:rFonts w:ascii="宋体" w:hAnsi="宋体" w:eastAsia="宋体" w:cs="宋体"/>
          <w:color w:val="auto"/>
          <w:sz w:val="21"/>
          <w:szCs w:val="21"/>
          <w:highlight w:val="none"/>
        </w:rPr>
      </w:pPr>
      <w:r>
        <w:rPr>
          <w:rFonts w:ascii="宋体" w:hAnsi="宋体" w:eastAsia="宋体" w:cs="宋体"/>
          <w:color w:val="auto"/>
          <w:sz w:val="21"/>
          <w:szCs w:val="21"/>
          <w:highlight w:val="none"/>
        </w:rPr>
        <w:t>采用《建设工程监理合同（示范文本）》（GF-2012-0</w:t>
      </w:r>
      <w:r>
        <w:rPr>
          <w:rFonts w:ascii="宋体" w:hAnsi="宋体" w:eastAsia="宋体" w:cs="宋体"/>
          <w:color w:val="auto"/>
          <w:spacing w:val="-1"/>
          <w:sz w:val="21"/>
          <w:szCs w:val="21"/>
          <w:highlight w:val="none"/>
        </w:rPr>
        <w:t>202）</w:t>
      </w:r>
    </w:p>
    <w:p>
      <w:pPr>
        <w:spacing w:before="193" w:line="223" w:lineRule="auto"/>
        <w:ind w:left="2376"/>
        <w:rPr>
          <w:rFonts w:ascii="宋体" w:hAnsi="宋体" w:eastAsia="宋体" w:cs="宋体"/>
          <w:color w:val="auto"/>
          <w:sz w:val="43"/>
          <w:szCs w:val="43"/>
          <w:highlight w:val="none"/>
        </w:rPr>
      </w:pPr>
      <w:r>
        <w:rPr>
          <w:rFonts w:ascii="宋体" w:hAnsi="宋体" w:eastAsia="宋体" w:cs="宋体"/>
          <w:b/>
          <w:bCs/>
          <w:color w:val="auto"/>
          <w:spacing w:val="4"/>
          <w:sz w:val="43"/>
          <w:szCs w:val="43"/>
          <w:highlight w:val="none"/>
        </w:rPr>
        <w:t>第三部分</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专用条件</w:t>
      </w:r>
    </w:p>
    <w:p>
      <w:pPr>
        <w:spacing w:before="317" w:line="225" w:lineRule="auto"/>
        <w:ind w:left="614"/>
        <w:rPr>
          <w:rFonts w:ascii="宋体" w:hAnsi="宋体" w:eastAsia="宋体" w:cs="宋体"/>
          <w:color w:val="auto"/>
          <w:sz w:val="31"/>
          <w:szCs w:val="31"/>
          <w:highlight w:val="none"/>
        </w:rPr>
      </w:pPr>
      <w:r>
        <w:rPr>
          <w:rFonts w:ascii="宋体" w:hAnsi="宋体" w:eastAsia="宋体" w:cs="宋体"/>
          <w:b/>
          <w:bCs/>
          <w:color w:val="auto"/>
          <w:spacing w:val="-2"/>
          <w:sz w:val="31"/>
          <w:szCs w:val="31"/>
          <w:highlight w:val="none"/>
        </w:rPr>
        <w:t>1.</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2"/>
          <w:sz w:val="31"/>
          <w:szCs w:val="31"/>
          <w:highlight w:val="none"/>
        </w:rPr>
        <w:t>定义与解释</w:t>
      </w:r>
    </w:p>
    <w:p>
      <w:pPr>
        <w:spacing w:before="228" w:line="221" w:lineRule="auto"/>
        <w:ind w:left="3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1.2</w:t>
      </w:r>
      <w:r>
        <w:rPr>
          <w:rFonts w:ascii="宋体" w:hAnsi="宋体" w:eastAsia="宋体" w:cs="宋体"/>
          <w:color w:val="auto"/>
          <w:spacing w:val="3"/>
          <w:sz w:val="21"/>
          <w:szCs w:val="21"/>
          <w:highlight w:val="none"/>
        </w:rPr>
        <w:t xml:space="preserve">  </w:t>
      </w:r>
      <w:r>
        <w:rPr>
          <w:rFonts w:ascii="宋体" w:hAnsi="宋体" w:eastAsia="宋体" w:cs="宋体"/>
          <w:color w:val="auto"/>
          <w:spacing w:val="-5"/>
          <w:sz w:val="21"/>
          <w:szCs w:val="21"/>
          <w:highlight w:val="none"/>
        </w:rPr>
        <w:t>解释</w:t>
      </w:r>
    </w:p>
    <w:p>
      <w:pPr>
        <w:spacing w:before="157" w:line="220" w:lineRule="auto"/>
        <w:ind w:left="455"/>
        <w:rPr>
          <w:rFonts w:ascii="宋体" w:hAnsi="宋体" w:eastAsia="宋体" w:cs="宋体"/>
          <w:color w:val="auto"/>
          <w:sz w:val="21"/>
          <w:szCs w:val="21"/>
          <w:highlight w:val="none"/>
        </w:rPr>
      </w:pPr>
      <w:r>
        <w:rPr>
          <w:rFonts w:ascii="宋体" w:hAnsi="宋体" w:eastAsia="宋体" w:cs="宋体"/>
          <w:color w:val="auto"/>
          <w:sz w:val="21"/>
          <w:szCs w:val="21"/>
          <w:highlight w:val="none"/>
        </w:rPr>
        <w:t>1.2.1 本合同文件除使用中文外，还可用</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                 </w:t>
      </w:r>
      <w:r>
        <w:rPr>
          <w:rFonts w:ascii="宋体" w:hAnsi="宋体" w:eastAsia="宋体" w:cs="宋体"/>
          <w:color w:val="auto"/>
          <w:spacing w:val="-1"/>
          <w:sz w:val="21"/>
          <w:szCs w:val="21"/>
          <w:highlight w:val="none"/>
        </w:rPr>
        <w:t>。</w:t>
      </w:r>
    </w:p>
    <w:p>
      <w:pPr>
        <w:spacing w:before="157" w:line="220" w:lineRule="auto"/>
        <w:ind w:left="455"/>
        <w:rPr>
          <w:rFonts w:ascii="宋体" w:hAnsi="宋体" w:eastAsia="宋体" w:cs="宋体"/>
          <w:color w:val="auto"/>
          <w:sz w:val="21"/>
          <w:szCs w:val="21"/>
          <w:highlight w:val="none"/>
        </w:rPr>
      </w:pPr>
      <w:r>
        <w:rPr>
          <w:rFonts w:ascii="宋体" w:hAnsi="宋体" w:eastAsia="宋体" w:cs="宋体"/>
          <w:color w:val="auto"/>
          <w:sz w:val="21"/>
          <w:szCs w:val="21"/>
          <w:highlight w:val="none"/>
        </w:rPr>
        <w:t>1.2.2 约定本合同文件的解释顺序为</w:t>
      </w:r>
      <w:r>
        <w:rPr>
          <w:rFonts w:ascii="宋体" w:hAnsi="宋体" w:eastAsia="宋体" w:cs="宋体"/>
          <w:color w:val="auto"/>
          <w:spacing w:val="-6"/>
          <w:sz w:val="21"/>
          <w:szCs w:val="21"/>
          <w:highlight w:val="none"/>
        </w:rPr>
        <w:t>：</w:t>
      </w:r>
      <w:r>
        <w:rPr>
          <w:rFonts w:ascii="宋体" w:hAnsi="宋体" w:eastAsia="宋体" w:cs="宋体"/>
          <w:color w:val="auto"/>
          <w:spacing w:val="26"/>
          <w:sz w:val="21"/>
          <w:szCs w:val="21"/>
          <w:highlight w:val="none"/>
          <w:u w:val="single" w:color="auto"/>
        </w:rPr>
        <w:t xml:space="preserve">    </w:t>
      </w:r>
      <w:r>
        <w:rPr>
          <w:rFonts w:ascii="宋体" w:hAnsi="宋体" w:eastAsia="宋体" w:cs="宋体"/>
          <w:color w:val="auto"/>
          <w:spacing w:val="-6"/>
          <w:sz w:val="21"/>
          <w:szCs w:val="21"/>
          <w:highlight w:val="none"/>
          <w:u w:val="single" w:color="auto"/>
        </w:rPr>
        <w:t>（</w:t>
      </w:r>
      <w:r>
        <w:rPr>
          <w:rFonts w:ascii="宋体" w:hAnsi="宋体" w:eastAsia="宋体" w:cs="宋体"/>
          <w:color w:val="auto"/>
          <w:sz w:val="21"/>
          <w:szCs w:val="21"/>
          <w:highlight w:val="none"/>
          <w:u w:val="single" w:color="auto"/>
        </w:rPr>
        <w:t>中标后填写）</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79" w:line="225" w:lineRule="auto"/>
        <w:ind w:left="594"/>
        <w:rPr>
          <w:rFonts w:ascii="宋体" w:hAnsi="宋体" w:eastAsia="宋体" w:cs="宋体"/>
          <w:color w:val="auto"/>
          <w:sz w:val="31"/>
          <w:szCs w:val="31"/>
          <w:highlight w:val="none"/>
        </w:rPr>
      </w:pPr>
      <w:r>
        <w:rPr>
          <w:rFonts w:ascii="宋体" w:hAnsi="宋体" w:eastAsia="宋体" w:cs="宋体"/>
          <w:b/>
          <w:bCs/>
          <w:color w:val="auto"/>
          <w:spacing w:val="1"/>
          <w:sz w:val="31"/>
          <w:szCs w:val="31"/>
          <w:highlight w:val="none"/>
        </w:rPr>
        <w:t>2.</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1"/>
          <w:sz w:val="31"/>
          <w:szCs w:val="31"/>
          <w:highlight w:val="none"/>
        </w:rPr>
        <w:t>监理人义务</w:t>
      </w:r>
    </w:p>
    <w:p>
      <w:pPr>
        <w:spacing w:before="226" w:line="221" w:lineRule="auto"/>
        <w:ind w:left="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 监理的范围和内容</w:t>
      </w:r>
    </w:p>
    <w:p>
      <w:pPr>
        <w:spacing w:before="156" w:line="317" w:lineRule="auto"/>
        <w:ind w:left="22" w:firstLine="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2.1.1 监理范围包括：本合同约定的监理服务，</w:t>
      </w:r>
      <w:r>
        <w:rPr>
          <w:rFonts w:ascii="宋体" w:hAnsi="宋体" w:eastAsia="宋体" w:cs="宋体"/>
          <w:b/>
          <w:bCs/>
          <w:color w:val="auto"/>
          <w:spacing w:val="-3"/>
          <w:sz w:val="21"/>
          <w:szCs w:val="21"/>
          <w:highlight w:val="none"/>
        </w:rPr>
        <w:t>包括</w:t>
      </w:r>
      <w:r>
        <w:rPr>
          <w:rFonts w:hint="eastAsia" w:ascii="宋体" w:hAnsi="宋体" w:cs="宋体"/>
          <w:b/>
          <w:bCs/>
          <w:color w:val="auto"/>
          <w:spacing w:val="-3"/>
          <w:sz w:val="21"/>
          <w:szCs w:val="21"/>
          <w:highlight w:val="none"/>
          <w:u w:val="single"/>
          <w:lang w:val="en-US" w:eastAsia="zh-CN"/>
        </w:rPr>
        <w:t xml:space="preserve">                          </w:t>
      </w:r>
      <w:r>
        <w:rPr>
          <w:rFonts w:hint="eastAsia" w:ascii="宋体" w:hAnsi="宋体" w:cs="宋体"/>
          <w:b/>
          <w:bCs/>
          <w:color w:val="auto"/>
          <w:spacing w:val="-1"/>
          <w:sz w:val="21"/>
          <w:szCs w:val="21"/>
          <w:highlight w:val="none"/>
          <w:u w:val="single" w:color="auto"/>
          <w:lang w:val="en-US" w:eastAsia="zh-CN"/>
        </w:rPr>
        <w:t xml:space="preserve"> </w:t>
      </w:r>
      <w:r>
        <w:rPr>
          <w:rFonts w:ascii="宋体" w:hAnsi="宋体" w:eastAsia="宋体" w:cs="宋体"/>
          <w:b/>
          <w:bCs/>
          <w:color w:val="auto"/>
          <w:spacing w:val="-1"/>
          <w:sz w:val="21"/>
          <w:szCs w:val="21"/>
          <w:highlight w:val="none"/>
        </w:rPr>
        <w:t>阶段的监</w:t>
      </w:r>
      <w:r>
        <w:rPr>
          <w:rFonts w:ascii="宋体" w:hAnsi="宋体" w:eastAsia="宋体" w:cs="宋体"/>
          <w:b/>
          <w:bCs/>
          <w:color w:val="auto"/>
          <w:spacing w:val="-6"/>
          <w:sz w:val="21"/>
          <w:szCs w:val="21"/>
          <w:highlight w:val="none"/>
        </w:rPr>
        <w:t>理</w:t>
      </w:r>
      <w:r>
        <w:rPr>
          <w:rFonts w:ascii="宋体" w:hAnsi="宋体" w:eastAsia="宋体" w:cs="宋体"/>
          <w:color w:val="auto"/>
          <w:spacing w:val="-6"/>
          <w:sz w:val="21"/>
          <w:szCs w:val="21"/>
          <w:highlight w:val="none"/>
        </w:rPr>
        <w:t>。</w:t>
      </w:r>
    </w:p>
    <w:p>
      <w:pPr>
        <w:spacing w:before="145" w:line="220"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2.1.2 监理工作内容还包括：</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u w:val="single" w:color="auto"/>
        </w:rPr>
        <w:t>附录</w:t>
      </w:r>
      <w:r>
        <w:rPr>
          <w:rFonts w:ascii="宋体" w:hAnsi="宋体" w:eastAsia="宋体" w:cs="宋体"/>
          <w:color w:val="auto"/>
          <w:spacing w:val="-44"/>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A                           </w:t>
      </w:r>
      <w:r>
        <w:rPr>
          <w:rFonts w:ascii="宋体" w:hAnsi="宋体" w:eastAsia="宋体" w:cs="宋体"/>
          <w:color w:val="auto"/>
          <w:spacing w:val="-1"/>
          <w:sz w:val="21"/>
          <w:szCs w:val="21"/>
          <w:highlight w:val="none"/>
        </w:rPr>
        <w:t>。</w:t>
      </w:r>
    </w:p>
    <w:p>
      <w:pPr>
        <w:spacing w:before="158" w:line="220" w:lineRule="auto"/>
        <w:ind w:left="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 监理与相关服务依据</w:t>
      </w:r>
    </w:p>
    <w:p>
      <w:pPr>
        <w:spacing w:before="158" w:line="220"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2.2.1 监理依据包括</w:t>
      </w:r>
      <w:r>
        <w:rPr>
          <w:rFonts w:ascii="宋体" w:hAnsi="宋体" w:eastAsia="宋体" w:cs="宋体"/>
          <w:color w:val="auto"/>
          <w:spacing w:val="-14"/>
          <w:sz w:val="21"/>
          <w:szCs w:val="21"/>
          <w:highlight w:val="none"/>
        </w:rPr>
        <w:t>：</w:t>
      </w:r>
      <w:r>
        <w:rPr>
          <w:rFonts w:ascii="宋体" w:hAnsi="宋体" w:eastAsia="宋体" w:cs="宋体"/>
          <w:color w:val="auto"/>
          <w:spacing w:val="11"/>
          <w:sz w:val="21"/>
          <w:szCs w:val="21"/>
          <w:highlight w:val="none"/>
          <w:u w:val="single" w:color="auto"/>
        </w:rPr>
        <w:t xml:space="preserve">         </w:t>
      </w:r>
      <w:r>
        <w:rPr>
          <w:rFonts w:ascii="宋体" w:hAnsi="宋体" w:eastAsia="宋体" w:cs="宋体"/>
          <w:color w:val="auto"/>
          <w:spacing w:val="-14"/>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8" w:line="220" w:lineRule="auto"/>
        <w:ind w:left="44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2.2.2 相关服务依据包括</w:t>
      </w:r>
      <w:r>
        <w:rPr>
          <w:rFonts w:ascii="宋体" w:hAnsi="宋体" w:eastAsia="宋体" w:cs="宋体"/>
          <w:color w:val="auto"/>
          <w:spacing w:val="-27"/>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7"/>
          <w:sz w:val="21"/>
          <w:szCs w:val="21"/>
          <w:highlight w:val="none"/>
          <w:u w:val="single" w:color="auto"/>
        </w:rPr>
        <w:t>（</w:t>
      </w:r>
      <w:r>
        <w:rPr>
          <w:rFonts w:ascii="宋体" w:hAnsi="宋体" w:eastAsia="宋体" w:cs="宋体"/>
          <w:color w:val="auto"/>
          <w:spacing w:val="2"/>
          <w:sz w:val="21"/>
          <w:szCs w:val="21"/>
          <w:highlight w:val="none"/>
          <w:u w:val="single" w:color="auto"/>
        </w:rPr>
        <w:t>中标后填写）</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p>
    <w:p>
      <w:pPr>
        <w:spacing w:before="160" w:line="220" w:lineRule="auto"/>
        <w:ind w:left="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w:t>
      </w:r>
      <w:r>
        <w:rPr>
          <w:rFonts w:ascii="宋体" w:hAnsi="宋体" w:eastAsia="宋体" w:cs="宋体"/>
          <w:color w:val="auto"/>
          <w:spacing w:val="-37"/>
          <w:sz w:val="21"/>
          <w:szCs w:val="21"/>
          <w:highlight w:val="none"/>
        </w:rPr>
        <w:t xml:space="preserve"> </w:t>
      </w:r>
      <w:r>
        <w:rPr>
          <w:rFonts w:ascii="宋体" w:hAnsi="宋体" w:eastAsia="宋体" w:cs="宋体"/>
          <w:color w:val="auto"/>
          <w:spacing w:val="-2"/>
          <w:sz w:val="21"/>
          <w:szCs w:val="21"/>
          <w:highlight w:val="none"/>
        </w:rPr>
        <w:t>项目监理机构和人员</w:t>
      </w:r>
    </w:p>
    <w:p>
      <w:pPr>
        <w:spacing w:before="158" w:line="345" w:lineRule="auto"/>
        <w:ind w:left="22" w:right="1"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更换监理人员的其他情形：</w:t>
      </w:r>
      <w:r>
        <w:rPr>
          <w:rFonts w:ascii="宋体" w:hAnsi="宋体" w:eastAsia="宋体" w:cs="宋体"/>
          <w:color w:val="auto"/>
          <w:spacing w:val="1"/>
          <w:sz w:val="21"/>
          <w:szCs w:val="21"/>
          <w:highlight w:val="none"/>
          <w:u w:val="single" w:color="auto"/>
        </w:rPr>
        <w:t xml:space="preserve">  如监理人需要调换施工现场监理人员时，须经委托人与监理</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u w:val="single" w:color="auto"/>
        </w:rPr>
        <w:t>人双方协商，报委托人同意后生效</w:t>
      </w:r>
      <w:r>
        <w:rPr>
          <w:rFonts w:ascii="宋体" w:hAnsi="宋体" w:eastAsia="宋体" w:cs="宋体"/>
          <w:color w:val="auto"/>
          <w:spacing w:val="112"/>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31" w:line="221" w:lineRule="auto"/>
        <w:ind w:left="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2.4</w:t>
      </w:r>
      <w:r>
        <w:rPr>
          <w:rFonts w:ascii="宋体" w:hAnsi="宋体" w:eastAsia="宋体" w:cs="宋体"/>
          <w:color w:val="auto"/>
          <w:spacing w:val="12"/>
          <w:sz w:val="21"/>
          <w:szCs w:val="21"/>
          <w:highlight w:val="none"/>
        </w:rPr>
        <w:t xml:space="preserve"> </w:t>
      </w:r>
      <w:r>
        <w:rPr>
          <w:rFonts w:ascii="宋体" w:hAnsi="宋体" w:eastAsia="宋体" w:cs="宋体"/>
          <w:color w:val="auto"/>
          <w:spacing w:val="-3"/>
          <w:sz w:val="21"/>
          <w:szCs w:val="21"/>
          <w:highlight w:val="none"/>
        </w:rPr>
        <w:t>履行职责</w:t>
      </w:r>
    </w:p>
    <w:p>
      <w:pPr>
        <w:spacing w:before="156" w:line="221"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2.4.1 对监理人的授权范围</w:t>
      </w:r>
      <w:r>
        <w:rPr>
          <w:rFonts w:ascii="宋体" w:hAnsi="宋体" w:eastAsia="宋体" w:cs="宋体"/>
          <w:color w:val="auto"/>
          <w:spacing w:val="-4"/>
          <w:sz w:val="21"/>
          <w:szCs w:val="21"/>
          <w:highlight w:val="none"/>
        </w:rPr>
        <w:t>：</w:t>
      </w:r>
      <w:r>
        <w:rPr>
          <w:rFonts w:ascii="宋体" w:hAnsi="宋体" w:eastAsia="宋体" w:cs="宋体"/>
          <w:color w:val="auto"/>
          <w:spacing w:val="21"/>
          <w:sz w:val="21"/>
          <w:szCs w:val="21"/>
          <w:highlight w:val="none"/>
          <w:u w:val="single" w:color="auto"/>
        </w:rPr>
        <w:t xml:space="preserve">     </w:t>
      </w:r>
      <w:r>
        <w:rPr>
          <w:rFonts w:ascii="宋体" w:hAnsi="宋体" w:eastAsia="宋体" w:cs="宋体"/>
          <w:color w:val="auto"/>
          <w:spacing w:val="-4"/>
          <w:sz w:val="21"/>
          <w:szCs w:val="21"/>
          <w:highlight w:val="none"/>
          <w:u w:val="single" w:color="auto"/>
        </w:rPr>
        <w:t>（</w:t>
      </w:r>
      <w:r>
        <w:rPr>
          <w:rFonts w:ascii="宋体" w:hAnsi="宋体" w:eastAsia="宋体" w:cs="宋体"/>
          <w:color w:val="auto"/>
          <w:sz w:val="21"/>
          <w:szCs w:val="21"/>
          <w:highlight w:val="none"/>
          <w:u w:val="single" w:color="auto"/>
        </w:rPr>
        <w:t xml:space="preserve">中标后填写）                </w:t>
      </w:r>
      <w:r>
        <w:rPr>
          <w:rFonts w:ascii="宋体" w:hAnsi="宋体" w:eastAsia="宋体" w:cs="宋体"/>
          <w:color w:val="auto"/>
          <w:sz w:val="21"/>
          <w:szCs w:val="21"/>
          <w:highlight w:val="none"/>
        </w:rPr>
        <w:t>。</w:t>
      </w:r>
    </w:p>
    <w:p>
      <w:pPr>
        <w:spacing w:before="159" w:line="345" w:lineRule="auto"/>
        <w:ind w:left="22" w:right="2" w:firstLine="41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在涉及工程延期</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天内和（或）金额</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2"/>
          <w:sz w:val="21"/>
          <w:szCs w:val="21"/>
          <w:highlight w:val="none"/>
        </w:rPr>
        <w:t>万元内的变更，监理人不需请示委托人即</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可向承包人发布变更通知。</w:t>
      </w:r>
    </w:p>
    <w:p>
      <w:pPr>
        <w:spacing w:before="31" w:line="221" w:lineRule="auto"/>
        <w:ind w:left="337"/>
        <w:rPr>
          <w:rFonts w:ascii="宋体" w:hAnsi="宋体" w:eastAsia="宋体" w:cs="宋体"/>
          <w:color w:val="auto"/>
          <w:sz w:val="21"/>
          <w:szCs w:val="21"/>
          <w:highlight w:val="none"/>
        </w:rPr>
      </w:pPr>
      <w:r>
        <w:rPr>
          <w:rFonts w:ascii="宋体" w:hAnsi="宋体" w:eastAsia="宋体" w:cs="宋体"/>
          <w:color w:val="auto"/>
          <w:sz w:val="21"/>
          <w:szCs w:val="21"/>
          <w:highlight w:val="none"/>
        </w:rPr>
        <w:t>2.4.2 监理人有权要求承包人调换其人员的限制条件</w:t>
      </w:r>
      <w:r>
        <w:rPr>
          <w:rFonts w:ascii="宋体" w:hAnsi="宋体" w:eastAsia="宋体" w:cs="宋体"/>
          <w:color w:val="auto"/>
          <w:spacing w:val="-3"/>
          <w:sz w:val="21"/>
          <w:szCs w:val="21"/>
          <w:highlight w:val="none"/>
        </w:rPr>
        <w:t>：</w:t>
      </w:r>
      <w:r>
        <w:rPr>
          <w:rFonts w:ascii="宋体" w:hAnsi="宋体" w:eastAsia="宋体" w:cs="宋体"/>
          <w:color w:val="auto"/>
          <w:spacing w:val="26"/>
          <w:sz w:val="21"/>
          <w:szCs w:val="21"/>
          <w:highlight w:val="none"/>
          <w:u w:val="single" w:color="auto"/>
        </w:rPr>
        <w:t xml:space="preserve">    </w:t>
      </w:r>
      <w:r>
        <w:rPr>
          <w:rFonts w:ascii="宋体" w:hAnsi="宋体" w:eastAsia="宋体" w:cs="宋体"/>
          <w:color w:val="auto"/>
          <w:spacing w:val="-3"/>
          <w:sz w:val="21"/>
          <w:szCs w:val="21"/>
          <w:highlight w:val="none"/>
          <w:u w:val="single" w:color="auto"/>
        </w:rPr>
        <w:t>（</w:t>
      </w:r>
      <w:r>
        <w:rPr>
          <w:rFonts w:ascii="宋体" w:hAnsi="宋体" w:eastAsia="宋体" w:cs="宋体"/>
          <w:color w:val="auto"/>
          <w:sz w:val="21"/>
          <w:szCs w:val="21"/>
          <w:highlight w:val="none"/>
          <w:u w:val="single" w:color="auto"/>
        </w:rPr>
        <w:t xml:space="preserve">中标后填写）       </w:t>
      </w:r>
      <w:r>
        <w:rPr>
          <w:rFonts w:ascii="宋体" w:hAnsi="宋体" w:eastAsia="宋体" w:cs="宋体"/>
          <w:color w:val="auto"/>
          <w:sz w:val="21"/>
          <w:szCs w:val="21"/>
          <w:highlight w:val="none"/>
        </w:rPr>
        <w:t>。</w:t>
      </w:r>
    </w:p>
    <w:p>
      <w:pPr>
        <w:spacing w:before="158" w:line="219" w:lineRule="auto"/>
        <w:ind w:left="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2.5 提交报告</w:t>
      </w:r>
    </w:p>
    <w:p>
      <w:pPr>
        <w:tabs>
          <w:tab w:val="left" w:pos="761"/>
        </w:tabs>
        <w:spacing w:before="160" w:line="346" w:lineRule="auto"/>
        <w:ind w:left="12" w:right="2" w:firstLine="429"/>
        <w:rPr>
          <w:rFonts w:ascii="宋体" w:hAnsi="宋体" w:eastAsia="宋体" w:cs="宋体"/>
          <w:color w:val="auto"/>
          <w:sz w:val="21"/>
          <w:szCs w:val="21"/>
          <w:highlight w:val="none"/>
        </w:rPr>
      </w:pPr>
      <w:r>
        <w:rPr>
          <w:rFonts w:ascii="宋体" w:hAnsi="宋体" w:eastAsia="宋体" w:cs="宋体"/>
          <w:color w:val="auto"/>
          <w:sz w:val="21"/>
          <w:szCs w:val="21"/>
          <w:highlight w:val="none"/>
        </w:rPr>
        <w:t>监理人应提交报告的种类（包括监理规划、监理月报及约定的专项报告）、时间</w:t>
      </w:r>
      <w:r>
        <w:rPr>
          <w:rFonts w:ascii="宋体" w:hAnsi="宋体" w:eastAsia="宋体" w:cs="宋体"/>
          <w:color w:val="auto"/>
          <w:spacing w:val="-1"/>
          <w:sz w:val="21"/>
          <w:szCs w:val="21"/>
          <w:highlight w:val="none"/>
        </w:rPr>
        <w:t>和份数：</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u w:val="single" w:color="auto"/>
        </w:rPr>
        <w:t>（中标后填写）</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5"/>
          <w:sz w:val="21"/>
          <w:szCs w:val="21"/>
          <w:highlight w:val="none"/>
        </w:rPr>
        <w:t>。</w:t>
      </w:r>
    </w:p>
    <w:p>
      <w:pPr>
        <w:spacing w:before="30" w:line="221" w:lineRule="auto"/>
        <w:ind w:left="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2.6 使用委托人的财产</w:t>
      </w:r>
    </w:p>
    <w:p>
      <w:pPr>
        <w:spacing w:before="156" w:line="220" w:lineRule="auto"/>
        <w:ind w:left="45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附录</w:t>
      </w:r>
      <w:r>
        <w:rPr>
          <w:rFonts w:ascii="宋体" w:hAnsi="宋体" w:eastAsia="宋体" w:cs="宋体"/>
          <w:color w:val="auto"/>
          <w:spacing w:val="-49"/>
          <w:sz w:val="21"/>
          <w:szCs w:val="21"/>
          <w:highlight w:val="none"/>
        </w:rPr>
        <w:t xml:space="preserve"> </w:t>
      </w:r>
      <w:r>
        <w:rPr>
          <w:rFonts w:ascii="宋体" w:hAnsi="宋体" w:eastAsia="宋体" w:cs="宋体"/>
          <w:color w:val="auto"/>
          <w:spacing w:val="-1"/>
          <w:sz w:val="21"/>
          <w:szCs w:val="21"/>
          <w:highlight w:val="none"/>
        </w:rPr>
        <w:t>B</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中由委托人无偿提供的房屋、设备的所有权属于</w:t>
      </w:r>
      <w:r>
        <w:rPr>
          <w:rFonts w:ascii="宋体" w:hAnsi="宋体" w:eastAsia="宋体" w:cs="宋体"/>
          <w:color w:val="auto"/>
          <w:spacing w:val="-6"/>
          <w:sz w:val="21"/>
          <w:szCs w:val="21"/>
          <w:highlight w:val="none"/>
        </w:rPr>
        <w:t>：</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6"/>
          <w:sz w:val="21"/>
          <w:szCs w:val="21"/>
          <w:highlight w:val="none"/>
          <w:u w:val="single" w:color="auto"/>
        </w:rPr>
        <w:t>（</w:t>
      </w:r>
      <w:r>
        <w:rPr>
          <w:rFonts w:ascii="宋体" w:hAnsi="宋体" w:eastAsia="宋体" w:cs="宋体"/>
          <w:color w:val="auto"/>
          <w:spacing w:val="-1"/>
          <w:sz w:val="21"/>
          <w:szCs w:val="21"/>
          <w:highlight w:val="none"/>
          <w:u w:val="single" w:color="auto"/>
        </w:rPr>
        <w:t xml:space="preserve">中标后填写）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w:t>
      </w:r>
    </w:p>
    <w:p>
      <w:pPr>
        <w:spacing w:before="157" w:line="348" w:lineRule="auto"/>
        <w:ind w:left="22" w:firstLine="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监理人应在本合同终止后</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93"/>
          <w:sz w:val="21"/>
          <w:szCs w:val="21"/>
          <w:highlight w:val="none"/>
        </w:rPr>
        <w:t xml:space="preserve"> </w:t>
      </w:r>
      <w:r>
        <w:rPr>
          <w:rFonts w:ascii="宋体" w:hAnsi="宋体" w:eastAsia="宋体" w:cs="宋体"/>
          <w:color w:val="auto"/>
          <w:spacing w:val="-1"/>
          <w:sz w:val="21"/>
          <w:szCs w:val="21"/>
          <w:highlight w:val="none"/>
        </w:rPr>
        <w:t>天内移交委</w:t>
      </w:r>
      <w:r>
        <w:rPr>
          <w:rFonts w:ascii="宋体" w:hAnsi="宋体" w:eastAsia="宋体" w:cs="宋体"/>
          <w:color w:val="auto"/>
          <w:spacing w:val="-2"/>
          <w:sz w:val="21"/>
          <w:szCs w:val="21"/>
          <w:highlight w:val="none"/>
        </w:rPr>
        <w:t>托人无偿提供的房屋、设备，移交的时间和方式</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为</w:t>
      </w:r>
      <w:r>
        <w:rPr>
          <w:rFonts w:ascii="宋体" w:hAnsi="宋体" w:eastAsia="宋体" w:cs="宋体"/>
          <w:color w:val="auto"/>
          <w:spacing w:val="-17"/>
          <w:sz w:val="21"/>
          <w:szCs w:val="21"/>
          <w:highlight w:val="none"/>
        </w:rPr>
        <w:t>：</w:t>
      </w:r>
      <w:r>
        <w:rPr>
          <w:rFonts w:ascii="宋体" w:hAnsi="宋体" w:eastAsia="宋体" w:cs="宋体"/>
          <w:color w:val="auto"/>
          <w:spacing w:val="52"/>
          <w:sz w:val="21"/>
          <w:szCs w:val="21"/>
          <w:highlight w:val="none"/>
          <w:u w:val="single" w:color="auto"/>
        </w:rPr>
        <w:t xml:space="preserve">  </w:t>
      </w:r>
      <w:r>
        <w:rPr>
          <w:rFonts w:ascii="宋体" w:hAnsi="宋体" w:eastAsia="宋体" w:cs="宋体"/>
          <w:color w:val="auto"/>
          <w:spacing w:val="-17"/>
          <w:sz w:val="21"/>
          <w:szCs w:val="21"/>
          <w:highlight w:val="none"/>
          <w:u w:val="single" w:color="auto"/>
        </w:rPr>
        <w:t>（</w:t>
      </w:r>
      <w:r>
        <w:rPr>
          <w:rFonts w:ascii="宋体" w:hAnsi="宋体" w:eastAsia="宋体" w:cs="宋体"/>
          <w:color w:val="auto"/>
          <w:spacing w:val="3"/>
          <w:sz w:val="21"/>
          <w:szCs w:val="21"/>
          <w:highlight w:val="none"/>
          <w:u w:val="single" w:color="auto"/>
        </w:rPr>
        <w:t>中标后填写）</w:t>
      </w:r>
      <w:r>
        <w:rPr>
          <w:rFonts w:ascii="宋体" w:hAnsi="宋体" w:eastAsia="宋体" w:cs="宋体"/>
          <w:color w:val="auto"/>
          <w:spacing w:val="17"/>
          <w:sz w:val="21"/>
          <w:szCs w:val="21"/>
          <w:highlight w:val="none"/>
          <w:u w:val="single" w:color="auto"/>
        </w:rPr>
        <w:t xml:space="preserve">      </w:t>
      </w:r>
      <w:r>
        <w:rPr>
          <w:rFonts w:ascii="宋体" w:hAnsi="宋体" w:eastAsia="宋体" w:cs="宋体"/>
          <w:color w:val="auto"/>
          <w:spacing w:val="3"/>
          <w:sz w:val="21"/>
          <w:szCs w:val="21"/>
          <w:highlight w:val="none"/>
        </w:rPr>
        <w:t>。</w:t>
      </w:r>
    </w:p>
    <w:p>
      <w:pPr>
        <w:spacing w:line="348" w:lineRule="auto"/>
        <w:rPr>
          <w:rFonts w:ascii="宋体" w:hAnsi="宋体" w:eastAsia="宋体" w:cs="宋体"/>
          <w:color w:val="auto"/>
          <w:sz w:val="21"/>
          <w:szCs w:val="21"/>
          <w:highlight w:val="none"/>
        </w:rPr>
        <w:sectPr>
          <w:footerReference r:id="rId12" w:type="default"/>
          <w:pgSz w:w="11907" w:h="16841"/>
          <w:pgMar w:top="1440" w:right="1080" w:bottom="1440" w:left="1080" w:header="0" w:footer="594" w:gutter="0"/>
          <w:pgNumType w:fmt="decimal"/>
          <w:cols w:space="720" w:num="1"/>
        </w:sectPr>
      </w:pPr>
    </w:p>
    <w:p>
      <w:pPr>
        <w:spacing w:before="63" w:line="225" w:lineRule="auto"/>
        <w:ind w:left="597"/>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3.</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委托人义务</w:t>
      </w:r>
    </w:p>
    <w:p>
      <w:pPr>
        <w:spacing w:before="226" w:line="221" w:lineRule="auto"/>
        <w:ind w:left="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 委托人代表</w:t>
      </w:r>
    </w:p>
    <w:p>
      <w:pPr>
        <w:spacing w:before="159" w:line="221"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委托人代表为</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0"/>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pacing w:val="9"/>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7" w:line="221" w:lineRule="auto"/>
        <w:ind w:left="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3.2</w:t>
      </w:r>
      <w:r>
        <w:rPr>
          <w:rFonts w:ascii="宋体" w:hAnsi="宋体" w:eastAsia="宋体" w:cs="宋体"/>
          <w:color w:val="auto"/>
          <w:spacing w:val="8"/>
          <w:sz w:val="21"/>
          <w:szCs w:val="21"/>
          <w:highlight w:val="none"/>
        </w:rPr>
        <w:t xml:space="preserve"> </w:t>
      </w:r>
      <w:r>
        <w:rPr>
          <w:rFonts w:ascii="宋体" w:hAnsi="宋体" w:eastAsia="宋体" w:cs="宋体"/>
          <w:color w:val="auto"/>
          <w:spacing w:val="-3"/>
          <w:sz w:val="21"/>
          <w:szCs w:val="21"/>
          <w:highlight w:val="none"/>
        </w:rPr>
        <w:t>答复</w:t>
      </w:r>
    </w:p>
    <w:p>
      <w:pPr>
        <w:spacing w:before="156" w:line="220"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委托人同意在</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78"/>
          <w:sz w:val="21"/>
          <w:szCs w:val="21"/>
          <w:highlight w:val="none"/>
        </w:rPr>
        <w:t xml:space="preserve"> </w:t>
      </w:r>
      <w:r>
        <w:rPr>
          <w:rFonts w:ascii="宋体" w:hAnsi="宋体" w:eastAsia="宋体" w:cs="宋体"/>
          <w:color w:val="auto"/>
          <w:spacing w:val="-1"/>
          <w:sz w:val="21"/>
          <w:szCs w:val="21"/>
          <w:highlight w:val="none"/>
        </w:rPr>
        <w:t>天内，对监理人书面提交并要求做出决定的事宜给予书面答复。</w:t>
      </w:r>
    </w:p>
    <w:p>
      <w:pPr>
        <w:spacing w:before="175" w:line="225" w:lineRule="auto"/>
        <w:ind w:left="589"/>
        <w:rPr>
          <w:rFonts w:ascii="宋体" w:hAnsi="宋体" w:eastAsia="宋体" w:cs="宋体"/>
          <w:color w:val="auto"/>
          <w:sz w:val="31"/>
          <w:szCs w:val="31"/>
          <w:highlight w:val="none"/>
        </w:rPr>
      </w:pPr>
      <w:r>
        <w:rPr>
          <w:rFonts w:ascii="宋体" w:hAnsi="宋体" w:eastAsia="宋体" w:cs="宋体"/>
          <w:b/>
          <w:bCs/>
          <w:color w:val="auto"/>
          <w:spacing w:val="1"/>
          <w:sz w:val="31"/>
          <w:szCs w:val="31"/>
          <w:highlight w:val="none"/>
        </w:rPr>
        <w:t>4.</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1"/>
          <w:sz w:val="31"/>
          <w:szCs w:val="31"/>
          <w:highlight w:val="none"/>
        </w:rPr>
        <w:t>违约责任</w:t>
      </w:r>
    </w:p>
    <w:p>
      <w:pPr>
        <w:spacing w:before="228" w:line="221" w:lineRule="auto"/>
        <w:ind w:left="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 监理人的违约责任</w:t>
      </w:r>
    </w:p>
    <w:p>
      <w:pPr>
        <w:spacing w:before="156" w:line="221" w:lineRule="auto"/>
        <w:ind w:left="4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监理人赔偿金额按下列方法确定：</w:t>
      </w:r>
    </w:p>
    <w:p>
      <w:pPr>
        <w:spacing w:before="158" w:line="345" w:lineRule="auto"/>
        <w:ind w:left="19" w:right="912"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赔偿金＝直接经济损失×正常工作酬金÷工程概算投资额（或建筑安装工程费）</w:t>
      </w:r>
      <w:r>
        <w:rPr>
          <w:rFonts w:ascii="宋体" w:hAnsi="宋体" w:eastAsia="宋体" w:cs="宋体"/>
          <w:color w:val="auto"/>
          <w:spacing w:val="18"/>
          <w:sz w:val="21"/>
          <w:szCs w:val="21"/>
          <w:highlight w:val="none"/>
        </w:rPr>
        <w:t xml:space="preserve"> </w:t>
      </w:r>
      <w:r>
        <w:rPr>
          <w:rFonts w:ascii="宋体" w:hAnsi="宋体" w:eastAsia="宋体" w:cs="宋体"/>
          <w:color w:val="auto"/>
          <w:spacing w:val="-1"/>
          <w:sz w:val="21"/>
          <w:szCs w:val="21"/>
          <w:highlight w:val="none"/>
        </w:rPr>
        <w:t>4.2 委托人的违约责任</w:t>
      </w:r>
    </w:p>
    <w:p>
      <w:pPr>
        <w:spacing w:before="31" w:line="221"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委托人逾期付款利息按下列方法确定：</w:t>
      </w:r>
    </w:p>
    <w:p>
      <w:pPr>
        <w:spacing w:before="159" w:line="221" w:lineRule="auto"/>
        <w:ind w:left="438"/>
        <w:rPr>
          <w:rFonts w:ascii="宋体" w:hAnsi="宋体" w:eastAsia="宋体" w:cs="宋体"/>
          <w:color w:val="auto"/>
          <w:sz w:val="21"/>
          <w:szCs w:val="21"/>
          <w:highlight w:val="none"/>
        </w:rPr>
      </w:pPr>
      <w:r>
        <w:rPr>
          <w:rFonts w:ascii="宋体" w:hAnsi="宋体" w:eastAsia="宋体" w:cs="宋体"/>
          <w:color w:val="auto"/>
          <w:sz w:val="21"/>
          <w:szCs w:val="21"/>
          <w:highlight w:val="none"/>
        </w:rPr>
        <w:t>逾期付款利息＝当期应付款总额×银行同期贷款日利率×拖延支付天数</w:t>
      </w:r>
    </w:p>
    <w:p>
      <w:pPr>
        <w:spacing w:before="174" w:line="225" w:lineRule="auto"/>
        <w:ind w:left="597"/>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5.</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4"/>
          <w:sz w:val="31"/>
          <w:szCs w:val="31"/>
          <w:highlight w:val="none"/>
        </w:rPr>
        <w:t>支付</w:t>
      </w:r>
    </w:p>
    <w:p>
      <w:pPr>
        <w:spacing w:before="226" w:line="220" w:lineRule="auto"/>
        <w:ind w:left="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5.1 支付货币</w:t>
      </w:r>
    </w:p>
    <w:p>
      <w:pPr>
        <w:tabs>
          <w:tab w:val="left" w:pos="653"/>
        </w:tabs>
        <w:spacing w:before="158" w:line="220" w:lineRule="auto"/>
        <w:ind w:left="432"/>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3"/>
          <w:sz w:val="21"/>
          <w:szCs w:val="21"/>
          <w:highlight w:val="none"/>
          <w:u w:val="single" w:color="auto"/>
        </w:rPr>
        <w:t>人民币</w:t>
      </w:r>
      <w:r>
        <w:rPr>
          <w:rFonts w:ascii="宋体" w:hAnsi="宋体" w:eastAsia="宋体" w:cs="宋体"/>
          <w:color w:val="auto"/>
          <w:sz w:val="21"/>
          <w:szCs w:val="21"/>
          <w:highlight w:val="none"/>
          <w:u w:val="single" w:color="auto"/>
        </w:rPr>
        <w:t xml:space="preserve">   </w:t>
      </w:r>
    </w:p>
    <w:p>
      <w:pPr>
        <w:spacing w:before="160" w:line="221" w:lineRule="auto"/>
        <w:ind w:left="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5.2</w:t>
      </w:r>
      <w:r>
        <w:rPr>
          <w:rFonts w:ascii="宋体" w:hAnsi="宋体" w:eastAsia="宋体" w:cs="宋体"/>
          <w:color w:val="auto"/>
          <w:spacing w:val="11"/>
          <w:sz w:val="21"/>
          <w:szCs w:val="21"/>
          <w:highlight w:val="none"/>
        </w:rPr>
        <w:t xml:space="preserve"> </w:t>
      </w:r>
      <w:r>
        <w:rPr>
          <w:rFonts w:ascii="宋体" w:hAnsi="宋体" w:eastAsia="宋体" w:cs="宋体"/>
          <w:color w:val="auto"/>
          <w:spacing w:val="-3"/>
          <w:sz w:val="21"/>
          <w:szCs w:val="21"/>
          <w:highlight w:val="none"/>
        </w:rPr>
        <w:t>支付酬金</w:t>
      </w:r>
    </w:p>
    <w:p>
      <w:pPr>
        <w:spacing w:before="156" w:line="221"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委托人同意按以下的计算方法、支付时间与金额，支付监理人的酬金：</w:t>
      </w:r>
    </w:p>
    <w:p>
      <w:pPr>
        <w:spacing w:before="157" w:line="221" w:lineRule="auto"/>
        <w:ind w:left="44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5.2.1</w:t>
      </w:r>
      <w:r>
        <w:rPr>
          <w:rFonts w:ascii="宋体" w:hAnsi="宋体" w:eastAsia="宋体" w:cs="宋体"/>
          <w:color w:val="auto"/>
          <w:spacing w:val="-35"/>
          <w:sz w:val="21"/>
          <w:szCs w:val="21"/>
          <w:highlight w:val="none"/>
        </w:rPr>
        <w:t xml:space="preserve"> </w:t>
      </w:r>
      <w:r>
        <w:rPr>
          <w:rFonts w:ascii="宋体" w:hAnsi="宋体" w:eastAsia="宋体" w:cs="宋体"/>
          <w:color w:val="auto"/>
          <w:spacing w:val="-2"/>
          <w:sz w:val="21"/>
          <w:szCs w:val="21"/>
          <w:highlight w:val="none"/>
        </w:rPr>
        <w:t>监理酬金计算方法：</w:t>
      </w:r>
    </w:p>
    <w:p>
      <w:pPr>
        <w:spacing w:before="158" w:line="347" w:lineRule="auto"/>
        <w:ind w:left="20" w:right="12"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监理酬金以</w:t>
      </w:r>
      <w:r>
        <w:rPr>
          <w:rFonts w:ascii="宋体" w:hAnsi="宋体" w:eastAsia="宋体" w:cs="宋体"/>
          <w:color w:val="auto"/>
          <w:spacing w:val="1"/>
          <w:sz w:val="21"/>
          <w:szCs w:val="21"/>
          <w:highlight w:val="none"/>
          <w:u w:val="single" w:color="auto"/>
        </w:rPr>
        <w:t>建筑安装工程费最终工程结算价</w:t>
      </w:r>
      <w:r>
        <w:rPr>
          <w:rFonts w:ascii="宋体" w:hAnsi="宋体" w:eastAsia="宋体" w:cs="宋体"/>
          <w:color w:val="auto"/>
          <w:spacing w:val="1"/>
          <w:sz w:val="21"/>
          <w:szCs w:val="21"/>
          <w:highlight w:val="none"/>
        </w:rPr>
        <w:t>为计费基数，结合中标人的投标报价方式进行</w:t>
      </w:r>
      <w:r>
        <w:rPr>
          <w:rFonts w:ascii="宋体" w:hAnsi="宋体" w:eastAsia="宋体" w:cs="宋体"/>
          <w:color w:val="auto"/>
          <w:spacing w:val="3"/>
          <w:sz w:val="21"/>
          <w:szCs w:val="21"/>
          <w:highlight w:val="none"/>
        </w:rPr>
        <w:t xml:space="preserve"> </w:t>
      </w:r>
      <w:r>
        <w:rPr>
          <w:rFonts w:ascii="宋体" w:hAnsi="宋体" w:eastAsia="宋体" w:cs="宋体"/>
          <w:color w:val="auto"/>
          <w:spacing w:val="-8"/>
          <w:sz w:val="21"/>
          <w:szCs w:val="21"/>
          <w:highlight w:val="none"/>
        </w:rPr>
        <w:t>计算。</w:t>
      </w:r>
    </w:p>
    <w:p>
      <w:pPr>
        <w:spacing w:before="28" w:line="221"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5.2.2</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施工阶段监理酬金支付时间与金额：</w:t>
      </w:r>
    </w:p>
    <w:p>
      <w:pPr>
        <w:spacing w:line="400" w:lineRule="exact"/>
        <w:ind w:firstLine="416" w:firstLineChars="200"/>
        <w:rPr>
          <w:rFonts w:hint="eastAsia" w:cs="宋体"/>
          <w:b w:val="0"/>
          <w:bCs w:val="0"/>
          <w:color w:val="auto"/>
          <w:kern w:val="0"/>
          <w:sz w:val="21"/>
          <w:szCs w:val="21"/>
          <w:highlight w:val="none"/>
          <w:lang w:val="en-US" w:eastAsia="zh-CN" w:bidi="ar-SA"/>
        </w:rPr>
      </w:pPr>
      <w:r>
        <w:rPr>
          <w:rFonts w:ascii="宋体" w:hAnsi="宋体" w:eastAsia="宋体" w:cs="宋体"/>
          <w:color w:val="auto"/>
          <w:spacing w:val="-1"/>
          <w:sz w:val="21"/>
          <w:szCs w:val="21"/>
          <w:highlight w:val="none"/>
        </w:rPr>
        <w:t>（1）本工程监理费预付款为：</w:t>
      </w:r>
      <w:r>
        <w:rPr>
          <w:rFonts w:hint="eastAsia" w:cs="宋体"/>
          <w:b w:val="0"/>
          <w:bCs w:val="0"/>
          <w:color w:val="auto"/>
          <w:kern w:val="0"/>
          <w:sz w:val="21"/>
          <w:szCs w:val="21"/>
          <w:highlight w:val="none"/>
          <w:u w:val="single"/>
          <w:lang w:val="en-US" w:eastAsia="zh-CN" w:bidi="ar-SA"/>
        </w:rPr>
        <w:t>合同价的20%，在本监理合同签订后7日内由采购人支付给成交供应商。</w:t>
      </w:r>
    </w:p>
    <w:p>
      <w:pPr>
        <w:spacing w:before="157" w:line="290" w:lineRule="auto"/>
        <w:ind w:left="20" w:right="2" w:firstLine="366"/>
        <w:rPr>
          <w:rFonts w:ascii="宋体" w:hAnsi="宋体" w:eastAsia="宋体" w:cs="宋体"/>
          <w:color w:val="auto"/>
          <w:sz w:val="21"/>
          <w:szCs w:val="21"/>
          <w:highlight w:val="none"/>
        </w:rPr>
      </w:pPr>
      <w:r>
        <w:rPr>
          <w:rFonts w:ascii="宋体" w:hAnsi="宋体" w:eastAsia="宋体" w:cs="宋体"/>
          <w:color w:val="auto"/>
          <w:sz w:val="21"/>
          <w:szCs w:val="21"/>
          <w:highlight w:val="none"/>
        </w:rPr>
        <w:t>（2）在监理合同已签订，监理人员进场并正常开展监理业务后，委托人向监理人支付监理</w:t>
      </w:r>
      <w:r>
        <w:rPr>
          <w:rFonts w:ascii="宋体" w:hAnsi="宋体" w:eastAsia="宋体" w:cs="宋体"/>
          <w:color w:val="auto"/>
          <w:spacing w:val="-6"/>
          <w:sz w:val="21"/>
          <w:szCs w:val="21"/>
          <w:highlight w:val="none"/>
        </w:rPr>
        <w:t>服务酬金：</w:t>
      </w:r>
    </w:p>
    <w:p>
      <w:pPr>
        <w:spacing w:line="400" w:lineRule="exact"/>
        <w:ind w:firstLine="420" w:firstLineChars="200"/>
        <w:rPr>
          <w:rFonts w:hint="eastAsia" w:cs="宋体"/>
          <w:b w:val="0"/>
          <w:bCs w:val="0"/>
          <w:color w:val="auto"/>
          <w:kern w:val="0"/>
          <w:sz w:val="21"/>
          <w:szCs w:val="21"/>
          <w:highlight w:val="none"/>
          <w:lang w:val="en-US" w:eastAsia="zh-CN" w:bidi="ar-SA"/>
        </w:rPr>
      </w:pPr>
      <w:r>
        <w:rPr>
          <w:rFonts w:ascii="宋体" w:hAnsi="宋体" w:eastAsia="宋体" w:cs="宋体"/>
          <w:color w:val="auto"/>
          <w:sz w:val="21"/>
          <w:szCs w:val="21"/>
          <w:highlight w:val="none"/>
        </w:rPr>
        <w:t>①</w:t>
      </w:r>
      <w:r>
        <w:rPr>
          <w:rFonts w:ascii="宋体" w:hAnsi="宋体" w:eastAsia="宋体" w:cs="宋体"/>
          <w:color w:val="auto"/>
          <w:sz w:val="21"/>
          <w:szCs w:val="21"/>
          <w:highlight w:val="none"/>
          <w:u w:val="single" w:color="auto"/>
        </w:rPr>
        <w:t>首次支付：</w:t>
      </w:r>
      <w:r>
        <w:rPr>
          <w:rFonts w:hint="eastAsia" w:cs="宋体"/>
          <w:b w:val="0"/>
          <w:bCs w:val="0"/>
          <w:color w:val="auto"/>
          <w:kern w:val="0"/>
          <w:sz w:val="21"/>
          <w:szCs w:val="21"/>
          <w:highlight w:val="none"/>
          <w:u w:val="single"/>
          <w:lang w:val="en-US" w:eastAsia="zh-CN" w:bidi="ar-SA"/>
        </w:rPr>
        <w:t>且工程主体工程完成后，向成交供应商支付监理合同价的40%。</w:t>
      </w:r>
    </w:p>
    <w:p>
      <w:pPr>
        <w:spacing w:line="400" w:lineRule="exact"/>
        <w:ind w:firstLine="412" w:firstLineChars="200"/>
        <w:rPr>
          <w:rFonts w:ascii="宋体" w:hAnsi="宋体" w:eastAsia="宋体" w:cs="宋体"/>
          <w:color w:val="auto"/>
          <w:sz w:val="21"/>
          <w:szCs w:val="21"/>
          <w:highlight w:val="none"/>
        </w:rPr>
      </w:pPr>
      <w:r>
        <w:rPr>
          <w:rFonts w:hint="eastAsia" w:ascii="宋体" w:hAnsi="宋体" w:cs="宋体"/>
          <w:color w:val="auto"/>
          <w:spacing w:val="-2"/>
          <w:sz w:val="21"/>
          <w:szCs w:val="21"/>
          <w:highlight w:val="none"/>
          <w:u w:val="single" w:color="auto"/>
          <w:lang w:eastAsia="zh-CN"/>
        </w:rPr>
        <w:t>②</w:t>
      </w:r>
      <w:r>
        <w:rPr>
          <w:rFonts w:ascii="宋体" w:hAnsi="宋体" w:eastAsia="宋体" w:cs="宋体"/>
          <w:color w:val="auto"/>
          <w:spacing w:val="-2"/>
          <w:sz w:val="21"/>
          <w:szCs w:val="21"/>
          <w:highlight w:val="none"/>
          <w:u w:val="single" w:color="auto"/>
        </w:rPr>
        <w:t>最终支付：</w:t>
      </w:r>
      <w:r>
        <w:rPr>
          <w:rFonts w:hint="eastAsia" w:cs="宋体"/>
          <w:b w:val="0"/>
          <w:bCs w:val="0"/>
          <w:color w:val="auto"/>
          <w:kern w:val="0"/>
          <w:sz w:val="21"/>
          <w:szCs w:val="21"/>
          <w:highlight w:val="none"/>
          <w:u w:val="single"/>
          <w:lang w:val="en-US" w:eastAsia="zh-CN" w:bidi="ar-SA"/>
        </w:rPr>
        <w:t>在工程通过竣工验收后，成交供应商提供合法的正式发票后的30日内，采购人向成交供应商支付监理合同价的40%（无息）。</w:t>
      </w:r>
    </w:p>
    <w:p>
      <w:pPr>
        <w:spacing w:before="161" w:line="221"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5.2.3 延期费用的支付：</w:t>
      </w:r>
      <w:r>
        <w:rPr>
          <w:rFonts w:ascii="宋体" w:hAnsi="宋体" w:eastAsia="宋体" w:cs="宋体"/>
          <w:color w:val="auto"/>
          <w:spacing w:val="-1"/>
          <w:sz w:val="21"/>
          <w:szCs w:val="21"/>
          <w:highlight w:val="none"/>
          <w:u w:val="single" w:color="auto"/>
        </w:rPr>
        <w:t>无</w:t>
      </w:r>
      <w:r>
        <w:rPr>
          <w:rFonts w:ascii="宋体" w:hAnsi="宋体" w:eastAsia="宋体" w:cs="宋体"/>
          <w:color w:val="auto"/>
          <w:spacing w:val="-1"/>
          <w:sz w:val="21"/>
          <w:szCs w:val="21"/>
          <w:highlight w:val="none"/>
        </w:rPr>
        <w:t>。</w:t>
      </w:r>
    </w:p>
    <w:p>
      <w:pPr>
        <w:spacing w:before="157" w:line="345" w:lineRule="auto"/>
        <w:ind w:left="41" w:right="3"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由于非监理人原因，使得施工阶段的实际监理服务期超出合</w:t>
      </w:r>
      <w:r>
        <w:rPr>
          <w:rFonts w:ascii="宋体" w:hAnsi="宋体" w:eastAsia="宋体" w:cs="宋体"/>
          <w:color w:val="auto"/>
          <w:sz w:val="21"/>
          <w:szCs w:val="21"/>
          <w:highlight w:val="none"/>
        </w:rPr>
        <w:t xml:space="preserve">同监理服务期时，委托人另行 </w:t>
      </w:r>
      <w:r>
        <w:rPr>
          <w:rFonts w:ascii="宋体" w:hAnsi="宋体" w:eastAsia="宋体" w:cs="宋体"/>
          <w:color w:val="auto"/>
          <w:spacing w:val="-1"/>
          <w:sz w:val="21"/>
          <w:szCs w:val="21"/>
          <w:highlight w:val="none"/>
        </w:rPr>
        <w:t>向监理人支付延期费用，延期费用按以下公式</w:t>
      </w:r>
      <w:r>
        <w:rPr>
          <w:rFonts w:ascii="宋体" w:hAnsi="宋体" w:eastAsia="宋体" w:cs="宋体"/>
          <w:color w:val="auto"/>
          <w:spacing w:val="-2"/>
          <w:sz w:val="21"/>
          <w:szCs w:val="21"/>
          <w:highlight w:val="none"/>
        </w:rPr>
        <w:t>计取：</w:t>
      </w:r>
    </w:p>
    <w:p>
      <w:pPr>
        <w:spacing w:line="345" w:lineRule="auto"/>
        <w:rPr>
          <w:rFonts w:ascii="宋体" w:hAnsi="宋体" w:eastAsia="宋体" w:cs="宋体"/>
          <w:color w:val="auto"/>
          <w:sz w:val="21"/>
          <w:szCs w:val="21"/>
          <w:highlight w:val="none"/>
        </w:rPr>
        <w:sectPr>
          <w:footerReference r:id="rId13" w:type="default"/>
          <w:pgSz w:w="11907" w:h="16841"/>
          <w:pgMar w:top="1440" w:right="1080" w:bottom="1440" w:left="1080" w:header="0" w:footer="594" w:gutter="0"/>
          <w:pgNumType w:fmt="decimal"/>
          <w:cols w:space="720" w:num="1"/>
        </w:sectPr>
      </w:pPr>
    </w:p>
    <w:p>
      <w:pPr>
        <w:spacing w:before="42" w:line="346" w:lineRule="auto"/>
        <w:ind w:left="4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延期费用=本合同期限延长时间（天）</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×暂定施工阶段监理酬金÷本合同监理</w:t>
      </w:r>
      <w:r>
        <w:rPr>
          <w:rFonts w:ascii="宋体" w:hAnsi="宋体" w:eastAsia="宋体" w:cs="宋体"/>
          <w:color w:val="auto"/>
          <w:spacing w:val="-3"/>
          <w:sz w:val="21"/>
          <w:szCs w:val="21"/>
          <w:highlight w:val="none"/>
        </w:rPr>
        <w:t>服务期（天）</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其他约定：</w:t>
      </w:r>
      <w:r>
        <w:rPr>
          <w:rFonts w:ascii="宋体" w:hAnsi="宋体" w:eastAsia="宋体" w:cs="宋体"/>
          <w:color w:val="auto"/>
          <w:sz w:val="21"/>
          <w:szCs w:val="21"/>
          <w:highlight w:val="none"/>
          <w:u w:val="single" w:color="auto"/>
        </w:rPr>
        <w:t xml:space="preserve">                </w:t>
      </w:r>
    </w:p>
    <w:p>
      <w:pPr>
        <w:spacing w:before="47" w:line="225" w:lineRule="auto"/>
        <w:ind w:left="59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6.</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合同生效、变更、暂停、解除与终止</w:t>
      </w:r>
    </w:p>
    <w:p>
      <w:pPr>
        <w:spacing w:before="228" w:line="221" w:lineRule="auto"/>
        <w:ind w:left="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6.1</w:t>
      </w:r>
      <w:r>
        <w:rPr>
          <w:rFonts w:ascii="宋体" w:hAnsi="宋体" w:eastAsia="宋体" w:cs="宋体"/>
          <w:color w:val="auto"/>
          <w:spacing w:val="11"/>
          <w:sz w:val="21"/>
          <w:szCs w:val="21"/>
          <w:highlight w:val="none"/>
        </w:rPr>
        <w:t xml:space="preserve"> </w:t>
      </w:r>
      <w:r>
        <w:rPr>
          <w:rFonts w:ascii="宋体" w:hAnsi="宋体" w:eastAsia="宋体" w:cs="宋体"/>
          <w:color w:val="auto"/>
          <w:spacing w:val="-3"/>
          <w:sz w:val="21"/>
          <w:szCs w:val="21"/>
          <w:highlight w:val="none"/>
        </w:rPr>
        <w:t>生效</w:t>
      </w:r>
    </w:p>
    <w:p>
      <w:pPr>
        <w:spacing w:before="156" w:line="220" w:lineRule="auto"/>
        <w:ind w:left="50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本合同生效条件：</w:t>
      </w:r>
      <w:r>
        <w:rPr>
          <w:rFonts w:ascii="宋体" w:hAnsi="宋体" w:eastAsia="宋体" w:cs="宋体"/>
          <w:color w:val="auto"/>
          <w:spacing w:val="-1"/>
          <w:sz w:val="21"/>
          <w:szCs w:val="21"/>
          <w:highlight w:val="none"/>
          <w:u w:val="single" w:color="auto"/>
        </w:rPr>
        <w:t xml:space="preserve">   双方签字盖章后即生效    </w:t>
      </w:r>
      <w:r>
        <w:rPr>
          <w:rFonts w:ascii="宋体" w:hAnsi="宋体" w:eastAsia="宋体" w:cs="宋体"/>
          <w:color w:val="auto"/>
          <w:spacing w:val="-1"/>
          <w:sz w:val="21"/>
          <w:szCs w:val="21"/>
          <w:highlight w:val="none"/>
        </w:rPr>
        <w:t>。</w:t>
      </w:r>
    </w:p>
    <w:p>
      <w:pPr>
        <w:spacing w:before="157" w:line="222" w:lineRule="auto"/>
        <w:ind w:left="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6.2</w:t>
      </w:r>
      <w:r>
        <w:rPr>
          <w:rFonts w:ascii="宋体" w:hAnsi="宋体" w:eastAsia="宋体" w:cs="宋体"/>
          <w:color w:val="auto"/>
          <w:spacing w:val="10"/>
          <w:sz w:val="21"/>
          <w:szCs w:val="21"/>
          <w:highlight w:val="none"/>
        </w:rPr>
        <w:t xml:space="preserve"> </w:t>
      </w:r>
      <w:r>
        <w:rPr>
          <w:rFonts w:ascii="宋体" w:hAnsi="宋体" w:eastAsia="宋体" w:cs="宋体"/>
          <w:color w:val="auto"/>
          <w:spacing w:val="-3"/>
          <w:sz w:val="21"/>
          <w:szCs w:val="21"/>
          <w:highlight w:val="none"/>
        </w:rPr>
        <w:t>变更</w:t>
      </w:r>
    </w:p>
    <w:p>
      <w:pPr>
        <w:spacing w:before="155" w:line="291" w:lineRule="auto"/>
        <w:ind w:left="20" w:right="34"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6.2.1 除不可抗力外，因非监理人原因导致本合同期限延长时，附加工作酬金按下列方法</w:t>
      </w:r>
      <w:r>
        <w:rPr>
          <w:rFonts w:ascii="宋体" w:hAnsi="宋体" w:eastAsia="宋体" w:cs="宋体"/>
          <w:color w:val="auto"/>
          <w:spacing w:val="8"/>
          <w:sz w:val="21"/>
          <w:szCs w:val="21"/>
          <w:highlight w:val="none"/>
        </w:rPr>
        <w:t xml:space="preserve"> </w:t>
      </w:r>
      <w:r>
        <w:rPr>
          <w:rFonts w:ascii="宋体" w:hAnsi="宋体" w:eastAsia="宋体" w:cs="宋体"/>
          <w:color w:val="auto"/>
          <w:spacing w:val="-12"/>
          <w:sz w:val="21"/>
          <w:szCs w:val="21"/>
          <w:highlight w:val="none"/>
        </w:rPr>
        <w:t>确定：</w:t>
      </w:r>
    </w:p>
    <w:p>
      <w:pPr>
        <w:spacing w:before="157" w:line="346" w:lineRule="auto"/>
        <w:ind w:left="22" w:right="30" w:firstLine="43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附加工作酬金=本合同期限延长时间（天）</w:t>
      </w:r>
      <w:r>
        <w:rPr>
          <w:rFonts w:ascii="宋体" w:hAnsi="宋体" w:eastAsia="宋体" w:cs="宋体"/>
          <w:color w:val="auto"/>
          <w:spacing w:val="-82"/>
          <w:sz w:val="21"/>
          <w:szCs w:val="21"/>
          <w:highlight w:val="none"/>
        </w:rPr>
        <w:t xml:space="preserve"> </w:t>
      </w:r>
      <w:r>
        <w:rPr>
          <w:rFonts w:ascii="宋体" w:hAnsi="宋体" w:eastAsia="宋体" w:cs="宋体"/>
          <w:color w:val="auto"/>
          <w:spacing w:val="-2"/>
          <w:sz w:val="21"/>
          <w:szCs w:val="21"/>
          <w:highlight w:val="none"/>
        </w:rPr>
        <w:t>×正常工作酬金÷协议书约</w:t>
      </w:r>
      <w:r>
        <w:rPr>
          <w:rFonts w:ascii="宋体" w:hAnsi="宋体" w:eastAsia="宋体" w:cs="宋体"/>
          <w:color w:val="auto"/>
          <w:spacing w:val="-3"/>
          <w:sz w:val="21"/>
          <w:szCs w:val="21"/>
          <w:highlight w:val="none"/>
        </w:rPr>
        <w:t>定的监理与相关服务</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期限（天）</w:t>
      </w:r>
    </w:p>
    <w:p>
      <w:pPr>
        <w:spacing w:before="29" w:line="220" w:lineRule="auto"/>
        <w:ind w:left="4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6.2.2 附加工作酬金按下列方法确定：</w:t>
      </w:r>
    </w:p>
    <w:p>
      <w:pPr>
        <w:spacing w:before="160" w:line="345" w:lineRule="auto"/>
        <w:ind w:left="21" w:right="31" w:firstLine="4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附加工作酬金=善后工作及恢复服务的准备工作时间（天）</w:t>
      </w:r>
      <w:r>
        <w:rPr>
          <w:rFonts w:ascii="宋体" w:hAnsi="宋体" w:eastAsia="宋体" w:cs="宋体"/>
          <w:color w:val="auto"/>
          <w:spacing w:val="-81"/>
          <w:sz w:val="21"/>
          <w:szCs w:val="21"/>
          <w:highlight w:val="none"/>
        </w:rPr>
        <w:t xml:space="preserve"> </w:t>
      </w:r>
      <w:r>
        <w:rPr>
          <w:rFonts w:ascii="宋体" w:hAnsi="宋体" w:eastAsia="宋体" w:cs="宋体"/>
          <w:color w:val="auto"/>
          <w:spacing w:val="-2"/>
          <w:sz w:val="21"/>
          <w:szCs w:val="21"/>
          <w:highlight w:val="none"/>
        </w:rPr>
        <w:t>×正常工</w:t>
      </w:r>
      <w:r>
        <w:rPr>
          <w:rFonts w:ascii="宋体" w:hAnsi="宋体" w:eastAsia="宋体" w:cs="宋体"/>
          <w:color w:val="auto"/>
          <w:spacing w:val="-3"/>
          <w:sz w:val="21"/>
          <w:szCs w:val="21"/>
          <w:highlight w:val="none"/>
        </w:rPr>
        <w:t>作酬金÷协议书约定的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监理与相关服务期限（天）</w:t>
      </w:r>
    </w:p>
    <w:p>
      <w:pPr>
        <w:spacing w:before="31" w:line="221" w:lineRule="auto"/>
        <w:ind w:left="4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6.2.3 正常工作酬金增加额按下列方法确定：</w:t>
      </w:r>
    </w:p>
    <w:p>
      <w:pPr>
        <w:spacing w:before="156" w:line="346" w:lineRule="auto"/>
        <w:ind w:left="31" w:right="30" w:firstLine="47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正常工作酬金增加额=工程增加投资额×正常工作酬金÷工程概算投资额（或建筑安装工程</w:t>
      </w:r>
      <w:r>
        <w:rPr>
          <w:rFonts w:ascii="宋体" w:hAnsi="宋体" w:eastAsia="宋体" w:cs="宋体"/>
          <w:color w:val="auto"/>
          <w:spacing w:val="6"/>
          <w:sz w:val="21"/>
          <w:szCs w:val="21"/>
          <w:highlight w:val="none"/>
        </w:rPr>
        <w:t xml:space="preserve"> </w:t>
      </w:r>
      <w:r>
        <w:rPr>
          <w:rFonts w:ascii="宋体" w:hAnsi="宋体" w:eastAsia="宋体" w:cs="宋体"/>
          <w:color w:val="auto"/>
          <w:spacing w:val="-8"/>
          <w:sz w:val="21"/>
          <w:szCs w:val="21"/>
          <w:highlight w:val="none"/>
        </w:rPr>
        <w:t>费）</w:t>
      </w:r>
    </w:p>
    <w:p>
      <w:pPr>
        <w:spacing w:before="32" w:line="345" w:lineRule="auto"/>
        <w:ind w:left="20" w:right="34"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6.2.4 因工程规模、监理范围的变化导致监理人的正常工作量减少时，按减少工作量的比</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例从协议书约定的正常工作酬金中扣减相同比例的酬金。</w:t>
      </w:r>
    </w:p>
    <w:p>
      <w:pPr>
        <w:spacing w:before="49" w:line="225" w:lineRule="auto"/>
        <w:ind w:left="598"/>
        <w:rPr>
          <w:rFonts w:ascii="宋体" w:hAnsi="宋体" w:eastAsia="宋体" w:cs="宋体"/>
          <w:color w:val="auto"/>
          <w:sz w:val="31"/>
          <w:szCs w:val="31"/>
          <w:highlight w:val="none"/>
        </w:rPr>
      </w:pPr>
      <w:r>
        <w:rPr>
          <w:rFonts w:ascii="宋体" w:hAnsi="宋体" w:eastAsia="宋体" w:cs="宋体"/>
          <w:b/>
          <w:bCs/>
          <w:color w:val="auto"/>
          <w:spacing w:val="-1"/>
          <w:sz w:val="31"/>
          <w:szCs w:val="31"/>
          <w:highlight w:val="none"/>
        </w:rPr>
        <w:t>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1"/>
          <w:sz w:val="31"/>
          <w:szCs w:val="31"/>
          <w:highlight w:val="none"/>
        </w:rPr>
        <w:t>争议解决</w:t>
      </w:r>
    </w:p>
    <w:p>
      <w:pPr>
        <w:spacing w:before="227" w:line="221" w:lineRule="auto"/>
        <w:ind w:left="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7.1</w:t>
      </w:r>
      <w:r>
        <w:rPr>
          <w:rFonts w:ascii="宋体" w:hAnsi="宋体" w:eastAsia="宋体" w:cs="宋体"/>
          <w:color w:val="auto"/>
          <w:spacing w:val="12"/>
          <w:sz w:val="21"/>
          <w:szCs w:val="21"/>
          <w:highlight w:val="none"/>
        </w:rPr>
        <w:t xml:space="preserve"> </w:t>
      </w:r>
      <w:r>
        <w:rPr>
          <w:rFonts w:ascii="宋体" w:hAnsi="宋体" w:eastAsia="宋体" w:cs="宋体"/>
          <w:color w:val="auto"/>
          <w:spacing w:val="-4"/>
          <w:sz w:val="21"/>
          <w:szCs w:val="21"/>
          <w:highlight w:val="none"/>
        </w:rPr>
        <w:t>调解</w:t>
      </w:r>
    </w:p>
    <w:p>
      <w:pPr>
        <w:spacing w:before="158" w:line="220" w:lineRule="auto"/>
        <w:ind w:left="433"/>
        <w:rPr>
          <w:rFonts w:ascii="宋体" w:hAnsi="宋体" w:eastAsia="宋体" w:cs="宋体"/>
          <w:color w:val="auto"/>
          <w:sz w:val="21"/>
          <w:szCs w:val="21"/>
          <w:highlight w:val="none"/>
        </w:rPr>
      </w:pPr>
      <w:r>
        <w:rPr>
          <w:rFonts w:ascii="宋体" w:hAnsi="宋体" w:eastAsia="宋体" w:cs="宋体"/>
          <w:color w:val="auto"/>
          <w:sz w:val="21"/>
          <w:szCs w:val="21"/>
          <w:highlight w:val="none"/>
        </w:rPr>
        <w:t>本合同争议进行调解时，可提交</w:t>
      </w:r>
      <w:r>
        <w:rPr>
          <w:rFonts w:ascii="宋体" w:hAnsi="宋体" w:eastAsia="宋体" w:cs="宋体"/>
          <w:color w:val="auto"/>
          <w:sz w:val="21"/>
          <w:szCs w:val="21"/>
          <w:highlight w:val="none"/>
          <w:u w:val="single" w:color="auto"/>
        </w:rPr>
        <w:t xml:space="preserve">   主管</w:t>
      </w:r>
      <w:r>
        <w:rPr>
          <w:rFonts w:ascii="宋体" w:hAnsi="宋体" w:eastAsia="宋体" w:cs="宋体"/>
          <w:color w:val="auto"/>
          <w:spacing w:val="-1"/>
          <w:sz w:val="21"/>
          <w:szCs w:val="21"/>
          <w:highlight w:val="none"/>
          <w:u w:val="single" w:color="auto"/>
        </w:rPr>
        <w:t xml:space="preserve">部门   </w:t>
      </w:r>
      <w:r>
        <w:rPr>
          <w:rFonts w:ascii="宋体" w:hAnsi="宋体" w:eastAsia="宋体" w:cs="宋体"/>
          <w:color w:val="auto"/>
          <w:spacing w:val="-99"/>
          <w:sz w:val="21"/>
          <w:szCs w:val="21"/>
          <w:highlight w:val="none"/>
        </w:rPr>
        <w:t xml:space="preserve"> </w:t>
      </w:r>
      <w:r>
        <w:rPr>
          <w:rFonts w:ascii="宋体" w:hAnsi="宋体" w:eastAsia="宋体" w:cs="宋体"/>
          <w:color w:val="auto"/>
          <w:spacing w:val="-1"/>
          <w:sz w:val="21"/>
          <w:szCs w:val="21"/>
          <w:highlight w:val="none"/>
        </w:rPr>
        <w:t>进行调解。</w:t>
      </w:r>
    </w:p>
    <w:p>
      <w:pPr>
        <w:spacing w:before="158" w:line="221" w:lineRule="auto"/>
        <w:ind w:left="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7.2 仲裁或诉讼</w:t>
      </w:r>
    </w:p>
    <w:p>
      <w:pPr>
        <w:spacing w:before="156" w:line="221" w:lineRule="auto"/>
        <w:ind w:left="4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合同争议的最终解决方式为下列第</w:t>
      </w:r>
      <w:r>
        <w:rPr>
          <w:rFonts w:ascii="宋体" w:hAnsi="宋体" w:eastAsia="宋体" w:cs="宋体"/>
          <w:color w:val="auto"/>
          <w:spacing w:val="-1"/>
          <w:sz w:val="21"/>
          <w:szCs w:val="21"/>
          <w:highlight w:val="none"/>
          <w:u w:val="single" w:color="auto"/>
        </w:rPr>
        <w:t xml:space="preserve">   2   </w:t>
      </w:r>
      <w:r>
        <w:rPr>
          <w:rFonts w:ascii="宋体" w:hAnsi="宋体" w:eastAsia="宋体" w:cs="宋体"/>
          <w:color w:val="auto"/>
          <w:spacing w:val="-85"/>
          <w:sz w:val="21"/>
          <w:szCs w:val="21"/>
          <w:highlight w:val="none"/>
        </w:rPr>
        <w:t xml:space="preserve"> </w:t>
      </w:r>
      <w:r>
        <w:rPr>
          <w:rFonts w:ascii="宋体" w:hAnsi="宋体" w:eastAsia="宋体" w:cs="宋体"/>
          <w:color w:val="auto"/>
          <w:spacing w:val="-1"/>
          <w:sz w:val="21"/>
          <w:szCs w:val="21"/>
          <w:highlight w:val="none"/>
        </w:rPr>
        <w:t>种方式：</w:t>
      </w:r>
    </w:p>
    <w:p>
      <w:pPr>
        <w:spacing w:before="157"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（1）提请</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2"/>
          <w:sz w:val="21"/>
          <w:szCs w:val="21"/>
          <w:highlight w:val="none"/>
        </w:rPr>
        <w:t>仲裁委员会进行仲裁。</w:t>
      </w:r>
    </w:p>
    <w:p>
      <w:pPr>
        <w:spacing w:before="158" w:line="221"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（2）向</w:t>
      </w:r>
      <w:r>
        <w:rPr>
          <w:rFonts w:ascii="宋体" w:hAnsi="宋体" w:eastAsia="宋体" w:cs="宋体"/>
          <w:color w:val="auto"/>
          <w:spacing w:val="-83"/>
          <w:sz w:val="21"/>
          <w:szCs w:val="21"/>
          <w:highlight w:val="none"/>
        </w:rPr>
        <w:t xml:space="preserve"> </w:t>
      </w:r>
      <w:r>
        <w:rPr>
          <w:rFonts w:ascii="宋体" w:hAnsi="宋体" w:eastAsia="宋体" w:cs="宋体"/>
          <w:color w:val="auto"/>
          <w:spacing w:val="-2"/>
          <w:sz w:val="21"/>
          <w:szCs w:val="21"/>
          <w:highlight w:val="none"/>
          <w:u w:val="single" w:color="auto"/>
        </w:rPr>
        <w:t xml:space="preserve">  项目所在地  </w:t>
      </w:r>
      <w:r>
        <w:rPr>
          <w:rFonts w:ascii="宋体" w:hAnsi="宋体" w:eastAsia="宋体" w:cs="宋体"/>
          <w:color w:val="auto"/>
          <w:spacing w:val="-95"/>
          <w:sz w:val="21"/>
          <w:szCs w:val="21"/>
          <w:highlight w:val="none"/>
        </w:rPr>
        <w:t xml:space="preserve"> </w:t>
      </w:r>
      <w:r>
        <w:rPr>
          <w:rFonts w:ascii="宋体" w:hAnsi="宋体" w:eastAsia="宋体" w:cs="宋体"/>
          <w:color w:val="auto"/>
          <w:spacing w:val="-2"/>
          <w:sz w:val="21"/>
          <w:szCs w:val="21"/>
          <w:highlight w:val="none"/>
        </w:rPr>
        <w:t>人民法院提起诉讼。</w:t>
      </w:r>
    </w:p>
    <w:p>
      <w:pPr>
        <w:spacing w:before="176" w:line="226" w:lineRule="auto"/>
        <w:ind w:left="592"/>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8.</w:t>
      </w:r>
      <w:r>
        <w:rPr>
          <w:rFonts w:ascii="宋体" w:hAnsi="宋体" w:eastAsia="宋体" w:cs="宋体"/>
          <w:color w:val="auto"/>
          <w:spacing w:val="24"/>
          <w:sz w:val="31"/>
          <w:szCs w:val="31"/>
          <w:highlight w:val="none"/>
        </w:rPr>
        <w:t xml:space="preserve"> </w:t>
      </w:r>
      <w:r>
        <w:rPr>
          <w:rFonts w:ascii="宋体" w:hAnsi="宋体" w:eastAsia="宋体" w:cs="宋体"/>
          <w:b/>
          <w:bCs/>
          <w:color w:val="auto"/>
          <w:spacing w:val="-3"/>
          <w:sz w:val="31"/>
          <w:szCs w:val="31"/>
          <w:highlight w:val="none"/>
        </w:rPr>
        <w:t>其他</w:t>
      </w:r>
    </w:p>
    <w:p>
      <w:pPr>
        <w:spacing w:before="225" w:line="221" w:lineRule="auto"/>
        <w:ind w:left="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 检测费用</w:t>
      </w:r>
    </w:p>
    <w:p>
      <w:pPr>
        <w:spacing w:before="157" w:line="221"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委托人应在检测工作完成后</w:t>
      </w:r>
      <w:r>
        <w:rPr>
          <w:rFonts w:ascii="宋体" w:hAnsi="宋体" w:eastAsia="宋体" w:cs="宋体"/>
          <w:color w:val="auto"/>
          <w:spacing w:val="-102"/>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天内支付检测费用。</w:t>
      </w:r>
    </w:p>
    <w:p>
      <w:pPr>
        <w:spacing w:before="157" w:line="221" w:lineRule="auto"/>
        <w:ind w:left="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8.2</w:t>
      </w:r>
      <w:r>
        <w:rPr>
          <w:rFonts w:ascii="宋体" w:hAnsi="宋体" w:eastAsia="宋体" w:cs="宋体"/>
          <w:color w:val="auto"/>
          <w:spacing w:val="21"/>
          <w:sz w:val="21"/>
          <w:szCs w:val="21"/>
          <w:highlight w:val="none"/>
        </w:rPr>
        <w:t xml:space="preserve"> </w:t>
      </w:r>
      <w:r>
        <w:rPr>
          <w:rFonts w:ascii="宋体" w:hAnsi="宋体" w:eastAsia="宋体" w:cs="宋体"/>
          <w:color w:val="auto"/>
          <w:spacing w:val="-4"/>
          <w:sz w:val="21"/>
          <w:szCs w:val="21"/>
          <w:highlight w:val="none"/>
        </w:rPr>
        <w:t>咨询费用</w:t>
      </w:r>
    </w:p>
    <w:p>
      <w:pPr>
        <w:spacing w:before="158" w:line="221" w:lineRule="auto"/>
        <w:ind w:left="45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委托人应在咨询工作完成后</w:t>
      </w:r>
      <w:r>
        <w:rPr>
          <w:rFonts w:ascii="宋体" w:hAnsi="宋体" w:eastAsia="宋体" w:cs="宋体"/>
          <w:color w:val="auto"/>
          <w:spacing w:val="-102"/>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92"/>
          <w:sz w:val="21"/>
          <w:szCs w:val="21"/>
          <w:highlight w:val="none"/>
        </w:rPr>
        <w:t xml:space="preserve"> </w:t>
      </w:r>
      <w:r>
        <w:rPr>
          <w:rFonts w:ascii="宋体" w:hAnsi="宋体" w:eastAsia="宋体" w:cs="宋体"/>
          <w:color w:val="auto"/>
          <w:spacing w:val="-1"/>
          <w:sz w:val="21"/>
          <w:szCs w:val="21"/>
          <w:highlight w:val="none"/>
        </w:rPr>
        <w:t>天内支付咨询费用。</w:t>
      </w:r>
    </w:p>
    <w:p>
      <w:pPr>
        <w:spacing w:before="157" w:line="221" w:lineRule="auto"/>
        <w:ind w:left="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8.3</w:t>
      </w:r>
      <w:r>
        <w:rPr>
          <w:rFonts w:ascii="宋体" w:hAnsi="宋体" w:eastAsia="宋体" w:cs="宋体"/>
          <w:color w:val="auto"/>
          <w:spacing w:val="12"/>
          <w:sz w:val="21"/>
          <w:szCs w:val="21"/>
          <w:highlight w:val="none"/>
        </w:rPr>
        <w:t xml:space="preserve"> </w:t>
      </w:r>
      <w:r>
        <w:rPr>
          <w:rFonts w:ascii="宋体" w:hAnsi="宋体" w:eastAsia="宋体" w:cs="宋体"/>
          <w:color w:val="auto"/>
          <w:spacing w:val="-3"/>
          <w:sz w:val="21"/>
          <w:szCs w:val="21"/>
          <w:highlight w:val="none"/>
        </w:rPr>
        <w:t>奖励</w:t>
      </w:r>
    </w:p>
    <w:p>
      <w:pPr>
        <w:spacing w:before="157" w:line="221" w:lineRule="auto"/>
        <w:ind w:left="4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合理化建议的奖励金额按下列方法确定为：</w:t>
      </w:r>
    </w:p>
    <w:p>
      <w:pPr>
        <w:spacing w:line="221" w:lineRule="auto"/>
        <w:rPr>
          <w:rFonts w:ascii="宋体" w:hAnsi="宋体" w:eastAsia="宋体" w:cs="宋体"/>
          <w:color w:val="auto"/>
          <w:sz w:val="21"/>
          <w:szCs w:val="21"/>
          <w:highlight w:val="none"/>
        </w:rPr>
        <w:sectPr>
          <w:footerReference r:id="rId14" w:type="default"/>
          <w:pgSz w:w="11907" w:h="16841"/>
          <w:pgMar w:top="1440" w:right="1080" w:bottom="1440" w:left="1080" w:header="0" w:footer="594" w:gutter="0"/>
          <w:pgNumType w:fmt="decimal"/>
          <w:cols w:space="720" w:num="1"/>
        </w:sectPr>
      </w:pPr>
    </w:p>
    <w:p>
      <w:pPr>
        <w:spacing w:before="41" w:line="346" w:lineRule="auto"/>
        <w:ind w:left="441" w:right="388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奖励金额＝工程投资节省额×奖励金额的比率；</w:t>
      </w:r>
      <w:r>
        <w:rPr>
          <w:rFonts w:ascii="宋体" w:hAnsi="宋体" w:eastAsia="宋体" w:cs="宋体"/>
          <w:color w:val="auto"/>
          <w:spacing w:val="7"/>
          <w:sz w:val="21"/>
          <w:szCs w:val="21"/>
          <w:highlight w:val="none"/>
        </w:rPr>
        <w:t xml:space="preserve"> </w:t>
      </w:r>
      <w:r>
        <w:rPr>
          <w:rFonts w:ascii="宋体" w:hAnsi="宋体" w:eastAsia="宋体" w:cs="宋体"/>
          <w:color w:val="auto"/>
          <w:spacing w:val="-1"/>
          <w:sz w:val="21"/>
          <w:szCs w:val="21"/>
          <w:highlight w:val="none"/>
        </w:rPr>
        <w:t>奖励金额的比率为</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30" w:line="221" w:lineRule="auto"/>
        <w:ind w:left="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8.4</w:t>
      </w:r>
      <w:r>
        <w:rPr>
          <w:rFonts w:ascii="宋体" w:hAnsi="宋体" w:eastAsia="宋体" w:cs="宋体"/>
          <w:color w:val="auto"/>
          <w:spacing w:val="11"/>
          <w:sz w:val="21"/>
          <w:szCs w:val="21"/>
          <w:highlight w:val="none"/>
        </w:rPr>
        <w:t xml:space="preserve"> </w:t>
      </w:r>
      <w:r>
        <w:rPr>
          <w:rFonts w:ascii="宋体" w:hAnsi="宋体" w:eastAsia="宋体" w:cs="宋体"/>
          <w:color w:val="auto"/>
          <w:spacing w:val="-3"/>
          <w:sz w:val="21"/>
          <w:szCs w:val="21"/>
          <w:highlight w:val="none"/>
        </w:rPr>
        <w:t>保密</w:t>
      </w:r>
    </w:p>
    <w:p>
      <w:pPr>
        <w:spacing w:before="159" w:line="345" w:lineRule="auto"/>
        <w:ind w:left="440" w:right="2085" w:hanging="1"/>
        <w:rPr>
          <w:rFonts w:ascii="宋体" w:hAnsi="宋体" w:eastAsia="宋体" w:cs="宋体"/>
          <w:color w:val="auto"/>
          <w:sz w:val="21"/>
          <w:szCs w:val="21"/>
          <w:highlight w:val="none"/>
        </w:rPr>
      </w:pPr>
      <w:r>
        <w:rPr>
          <w:rFonts w:ascii="宋体" w:hAnsi="宋体" w:eastAsia="宋体" w:cs="宋体"/>
          <w:color w:val="auto"/>
          <w:sz w:val="21"/>
          <w:szCs w:val="21"/>
          <w:highlight w:val="none"/>
        </w:rPr>
        <w:t>委托人申明的保密事项和期限</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5"/>
          <w:sz w:val="21"/>
          <w:szCs w:val="21"/>
          <w:highlight w:val="none"/>
          <w:u w:val="single" w:color="auto"/>
        </w:rPr>
        <w:t>（</w:t>
      </w:r>
      <w:r>
        <w:rPr>
          <w:rFonts w:ascii="宋体" w:hAnsi="宋体" w:eastAsia="宋体" w:cs="宋体"/>
          <w:color w:val="auto"/>
          <w:sz w:val="21"/>
          <w:szCs w:val="21"/>
          <w:highlight w:val="none"/>
          <w:u w:val="single" w:color="auto"/>
        </w:rPr>
        <w:t xml:space="preserve">中标后填写）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rPr>
        <w:t xml:space="preserve"> 监理人申明的保密事项和期限</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4"/>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30" w:line="221" w:lineRule="auto"/>
        <w:ind w:left="44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第三方申明的保密事项和期限</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5"/>
          <w:sz w:val="21"/>
          <w:szCs w:val="21"/>
          <w:highlight w:val="none"/>
          <w:u w:val="single" w:color="auto"/>
        </w:rPr>
        <w:t>（</w:t>
      </w:r>
      <w:r>
        <w:rPr>
          <w:rFonts w:ascii="宋体" w:hAnsi="宋体" w:eastAsia="宋体" w:cs="宋体"/>
          <w:color w:val="auto"/>
          <w:spacing w:val="1"/>
          <w:sz w:val="21"/>
          <w:szCs w:val="21"/>
          <w:highlight w:val="none"/>
          <w:u w:val="single" w:color="auto"/>
        </w:rPr>
        <w:t>中标后填写）</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156" w:line="221" w:lineRule="auto"/>
        <w:ind w:left="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8.5</w:t>
      </w:r>
      <w:r>
        <w:rPr>
          <w:rFonts w:ascii="宋体" w:hAnsi="宋体" w:eastAsia="宋体" w:cs="宋体"/>
          <w:color w:val="auto"/>
          <w:spacing w:val="-41"/>
          <w:sz w:val="21"/>
          <w:szCs w:val="21"/>
          <w:highlight w:val="none"/>
        </w:rPr>
        <w:t xml:space="preserve"> </w:t>
      </w:r>
      <w:r>
        <w:rPr>
          <w:rFonts w:ascii="宋体" w:hAnsi="宋体" w:eastAsia="宋体" w:cs="宋体"/>
          <w:color w:val="auto"/>
          <w:spacing w:val="-3"/>
          <w:sz w:val="21"/>
          <w:szCs w:val="21"/>
          <w:highlight w:val="none"/>
        </w:rPr>
        <w:t>著作权</w:t>
      </w:r>
    </w:p>
    <w:p>
      <w:pPr>
        <w:spacing w:before="159" w:line="345" w:lineRule="auto"/>
        <w:ind w:left="29" w:right="3" w:firstLine="4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监理人在本合同履行期间及本合同终止后两年内出版涉及本工程的有关监理与相关服务的</w:t>
      </w:r>
      <w:r>
        <w:rPr>
          <w:rFonts w:ascii="宋体" w:hAnsi="宋体" w:eastAsia="宋体" w:cs="宋体"/>
          <w:color w:val="auto"/>
          <w:sz w:val="21"/>
          <w:szCs w:val="21"/>
          <w:highlight w:val="none"/>
        </w:rPr>
        <w:t>资料的限制条件</w:t>
      </w:r>
      <w:r>
        <w:rPr>
          <w:rFonts w:ascii="宋体" w:hAnsi="宋体" w:eastAsia="宋体" w:cs="宋体"/>
          <w:color w:val="auto"/>
          <w:spacing w:val="-6"/>
          <w:sz w:val="21"/>
          <w:szCs w:val="21"/>
          <w:highlight w:val="none"/>
        </w:rPr>
        <w:t>：</w:t>
      </w:r>
      <w:r>
        <w:rPr>
          <w:rFonts w:ascii="宋体" w:hAnsi="宋体" w:eastAsia="宋体" w:cs="宋体"/>
          <w:color w:val="auto"/>
          <w:spacing w:val="13"/>
          <w:sz w:val="21"/>
          <w:szCs w:val="21"/>
          <w:highlight w:val="none"/>
          <w:u w:val="single" w:color="auto"/>
        </w:rPr>
        <w:t xml:space="preserve">        </w:t>
      </w:r>
      <w:r>
        <w:rPr>
          <w:rFonts w:ascii="宋体" w:hAnsi="宋体" w:eastAsia="宋体" w:cs="宋体"/>
          <w:color w:val="auto"/>
          <w:spacing w:val="-6"/>
          <w:sz w:val="21"/>
          <w:szCs w:val="21"/>
          <w:highlight w:val="none"/>
          <w:u w:val="single" w:color="auto"/>
        </w:rPr>
        <w:t>（</w:t>
      </w:r>
      <w:r>
        <w:rPr>
          <w:rFonts w:ascii="宋体" w:hAnsi="宋体" w:eastAsia="宋体" w:cs="宋体"/>
          <w:color w:val="auto"/>
          <w:sz w:val="21"/>
          <w:szCs w:val="21"/>
          <w:highlight w:val="none"/>
          <w:u w:val="single" w:color="auto"/>
        </w:rPr>
        <w:t xml:space="preserve">中标后填写）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w:t>
      </w:r>
    </w:p>
    <w:p>
      <w:pPr>
        <w:spacing w:before="49" w:line="225" w:lineRule="auto"/>
        <w:ind w:left="592"/>
        <w:rPr>
          <w:rFonts w:ascii="宋体" w:hAnsi="宋体" w:eastAsia="宋体" w:cs="宋体"/>
          <w:color w:val="auto"/>
          <w:sz w:val="31"/>
          <w:szCs w:val="31"/>
          <w:highlight w:val="none"/>
        </w:rPr>
      </w:pPr>
      <w:r>
        <w:rPr>
          <w:rFonts w:ascii="宋体" w:hAnsi="宋体" w:eastAsia="宋体" w:cs="宋体"/>
          <w:b/>
          <w:bCs/>
          <w:color w:val="auto"/>
          <w:spacing w:val="1"/>
          <w:sz w:val="31"/>
          <w:szCs w:val="31"/>
          <w:highlight w:val="none"/>
        </w:rPr>
        <w:t>9.</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1"/>
          <w:sz w:val="31"/>
          <w:szCs w:val="31"/>
          <w:highlight w:val="none"/>
        </w:rPr>
        <w:t>补充条款</w:t>
      </w:r>
    </w:p>
    <w:p>
      <w:pPr>
        <w:spacing w:before="226" w:line="291" w:lineRule="auto"/>
        <w:ind w:left="26" w:hanging="5"/>
        <w:rPr>
          <w:rFonts w:ascii="宋体" w:hAnsi="宋体" w:eastAsia="宋体" w:cs="宋体"/>
          <w:color w:val="auto"/>
          <w:sz w:val="21"/>
          <w:szCs w:val="21"/>
          <w:highlight w:val="none"/>
        </w:rPr>
      </w:pPr>
      <w:r>
        <w:rPr>
          <w:rFonts w:ascii="宋体" w:hAnsi="宋体" w:eastAsia="宋体" w:cs="宋体"/>
          <w:color w:val="auto"/>
          <w:sz w:val="21"/>
          <w:szCs w:val="21"/>
          <w:highlight w:val="none"/>
        </w:rPr>
        <w:t>9.1</w:t>
      </w:r>
      <w:r>
        <w:rPr>
          <w:rFonts w:ascii="宋体" w:hAnsi="宋体" w:eastAsia="宋体" w:cs="宋体"/>
          <w:color w:val="auto"/>
          <w:spacing w:val="-36"/>
          <w:sz w:val="21"/>
          <w:szCs w:val="21"/>
          <w:highlight w:val="none"/>
        </w:rPr>
        <w:t xml:space="preserve"> </w:t>
      </w:r>
      <w:r>
        <w:rPr>
          <w:rFonts w:ascii="宋体" w:hAnsi="宋体" w:eastAsia="宋体" w:cs="宋体"/>
          <w:color w:val="auto"/>
          <w:sz w:val="21"/>
          <w:szCs w:val="21"/>
          <w:highlight w:val="none"/>
          <w:u w:val="single" w:color="auto"/>
        </w:rPr>
        <w:t>监理人自行解决开展监理服务工作所必需的办公用房、生活</w:t>
      </w:r>
      <w:r>
        <w:rPr>
          <w:rFonts w:ascii="宋体" w:hAnsi="宋体" w:eastAsia="宋体" w:cs="宋体"/>
          <w:color w:val="auto"/>
          <w:spacing w:val="-1"/>
          <w:sz w:val="21"/>
          <w:szCs w:val="21"/>
          <w:highlight w:val="none"/>
          <w:u w:val="single" w:color="auto"/>
        </w:rPr>
        <w:t>用房 ，委托人不另提供相关办</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u w:val="single" w:color="auto"/>
        </w:rPr>
        <w:t xml:space="preserve">公用房、生活用房 </w:t>
      </w:r>
      <w:r>
        <w:rPr>
          <w:rFonts w:ascii="宋体" w:hAnsi="宋体" w:eastAsia="宋体" w:cs="宋体"/>
          <w:color w:val="auto"/>
          <w:spacing w:val="-2"/>
          <w:sz w:val="21"/>
          <w:szCs w:val="21"/>
          <w:highlight w:val="none"/>
        </w:rPr>
        <w:t>。</w:t>
      </w:r>
    </w:p>
    <w:p>
      <w:pPr>
        <w:spacing w:before="156" w:line="221" w:lineRule="auto"/>
        <w:ind w:left="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9.2</w:t>
      </w:r>
      <w:r>
        <w:rPr>
          <w:rFonts w:ascii="宋体" w:hAnsi="宋体" w:eastAsia="宋体" w:cs="宋体"/>
          <w:color w:val="auto"/>
          <w:spacing w:val="-32"/>
          <w:sz w:val="21"/>
          <w:szCs w:val="21"/>
          <w:highlight w:val="none"/>
        </w:rPr>
        <w:t xml:space="preserve"> </w:t>
      </w:r>
      <w:r>
        <w:rPr>
          <w:rFonts w:ascii="宋体" w:hAnsi="宋体" w:eastAsia="宋体" w:cs="宋体"/>
          <w:color w:val="auto"/>
          <w:spacing w:val="-2"/>
          <w:sz w:val="21"/>
          <w:szCs w:val="21"/>
          <w:highlight w:val="none"/>
          <w:u w:val="single" w:color="auto"/>
        </w:rPr>
        <w:t>委托人在监理服务期满后</w:t>
      </w:r>
      <w:r>
        <w:rPr>
          <w:rFonts w:ascii="宋体" w:hAnsi="宋体" w:eastAsia="宋体" w:cs="宋体"/>
          <w:color w:val="auto"/>
          <w:spacing w:val="-28"/>
          <w:sz w:val="21"/>
          <w:szCs w:val="21"/>
          <w:highlight w:val="none"/>
          <w:u w:val="single" w:color="auto"/>
        </w:rPr>
        <w:t xml:space="preserve"> </w:t>
      </w:r>
      <w:r>
        <w:rPr>
          <w:rFonts w:ascii="宋体" w:hAnsi="宋体" w:eastAsia="宋体" w:cs="宋体"/>
          <w:color w:val="auto"/>
          <w:spacing w:val="-2"/>
          <w:sz w:val="21"/>
          <w:szCs w:val="21"/>
          <w:highlight w:val="none"/>
          <w:u w:val="single" w:color="auto"/>
        </w:rPr>
        <w:t>14</w:t>
      </w:r>
      <w:r>
        <w:rPr>
          <w:rFonts w:ascii="宋体" w:hAnsi="宋体" w:eastAsia="宋体" w:cs="宋体"/>
          <w:color w:val="auto"/>
          <w:spacing w:val="-40"/>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天内将履约保证金退还给监理人  </w:t>
      </w:r>
      <w:r>
        <w:rPr>
          <w:rFonts w:ascii="宋体" w:hAnsi="宋体" w:eastAsia="宋体" w:cs="宋体"/>
          <w:color w:val="auto"/>
          <w:spacing w:val="-2"/>
          <w:sz w:val="21"/>
          <w:szCs w:val="21"/>
          <w:highlight w:val="none"/>
        </w:rPr>
        <w:t>。</w:t>
      </w:r>
    </w:p>
    <w:p>
      <w:pPr>
        <w:spacing w:line="221" w:lineRule="auto"/>
        <w:rPr>
          <w:rFonts w:ascii="宋体" w:hAnsi="宋体" w:eastAsia="宋体" w:cs="宋体"/>
          <w:color w:val="auto"/>
          <w:sz w:val="21"/>
          <w:szCs w:val="21"/>
          <w:highlight w:val="none"/>
        </w:rPr>
        <w:sectPr>
          <w:footerReference r:id="rId15" w:type="default"/>
          <w:pgSz w:w="11907" w:h="16841"/>
          <w:pgMar w:top="1440" w:right="1080" w:bottom="1440" w:left="1080" w:header="0" w:footer="594" w:gutter="0"/>
          <w:pgNumType w:fmt="decimal"/>
          <w:cols w:space="720" w:num="1"/>
        </w:sectPr>
      </w:pPr>
    </w:p>
    <w:p>
      <w:pPr>
        <w:spacing w:before="55" w:line="465" w:lineRule="auto"/>
        <w:ind w:left="4124" w:right="2674" w:hanging="1383"/>
        <w:rPr>
          <w:rFonts w:ascii="宋体" w:hAnsi="宋体" w:eastAsia="宋体" w:cs="宋体"/>
          <w:b/>
          <w:bCs/>
          <w:color w:val="auto"/>
          <w:spacing w:val="-5"/>
          <w:sz w:val="28"/>
          <w:szCs w:val="28"/>
          <w:highlight w:val="none"/>
        </w:rPr>
      </w:pPr>
      <w:r>
        <w:rPr>
          <w:rFonts w:ascii="宋体" w:hAnsi="宋体" w:eastAsia="宋体" w:cs="宋体"/>
          <w:b/>
          <w:bCs/>
          <w:color w:val="auto"/>
          <w:spacing w:val="-5"/>
          <w:sz w:val="28"/>
          <w:szCs w:val="28"/>
          <w:highlight w:val="none"/>
        </w:rPr>
        <w:t>附件</w:t>
      </w:r>
      <w:r>
        <w:rPr>
          <w:rFonts w:ascii="宋体" w:hAnsi="宋体" w:eastAsia="宋体" w:cs="宋体"/>
          <w:color w:val="auto"/>
          <w:spacing w:val="-66"/>
          <w:sz w:val="28"/>
          <w:szCs w:val="28"/>
          <w:highlight w:val="none"/>
        </w:rPr>
        <w:t xml:space="preserve"> </w:t>
      </w:r>
      <w:r>
        <w:rPr>
          <w:rFonts w:ascii="Times New Roman" w:hAnsi="Times New Roman" w:eastAsia="Times New Roman" w:cs="Times New Roman"/>
          <w:b/>
          <w:bCs/>
          <w:color w:val="auto"/>
          <w:spacing w:val="-5"/>
          <w:sz w:val="28"/>
          <w:szCs w:val="28"/>
          <w:highlight w:val="none"/>
        </w:rPr>
        <w:t>A</w:t>
      </w:r>
      <w:r>
        <w:rPr>
          <w:rFonts w:ascii="宋体" w:hAnsi="宋体" w:eastAsia="宋体" w:cs="宋体"/>
          <w:b/>
          <w:bCs/>
          <w:color w:val="auto"/>
          <w:spacing w:val="-5"/>
          <w:sz w:val="28"/>
          <w:szCs w:val="28"/>
          <w:highlight w:val="none"/>
        </w:rPr>
        <w:t>：监理服务范围、方式和内容</w:t>
      </w:r>
    </w:p>
    <w:p>
      <w:pPr>
        <w:spacing w:before="55" w:line="465" w:lineRule="auto"/>
        <w:ind w:left="3664" w:leftChars="1745" w:right="2674" w:firstLine="122" w:firstLineChars="45"/>
        <w:rPr>
          <w:rFonts w:hint="eastAsia"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rPr>
        <w:t>详见</w:t>
      </w:r>
      <w:r>
        <w:rPr>
          <w:rFonts w:hint="eastAsia" w:ascii="宋体" w:hAnsi="宋体" w:cs="宋体"/>
          <w:b/>
          <w:bCs/>
          <w:color w:val="auto"/>
          <w:spacing w:val="-5"/>
          <w:sz w:val="28"/>
          <w:szCs w:val="28"/>
          <w:highlight w:val="none"/>
          <w:lang w:eastAsia="zh-CN"/>
        </w:rPr>
        <w:t>监理服务需求</w:t>
      </w:r>
    </w:p>
    <w:p>
      <w:pPr>
        <w:spacing w:before="283" w:line="219" w:lineRule="auto"/>
        <w:ind w:left="1929"/>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附录</w:t>
      </w:r>
      <w:r>
        <w:rPr>
          <w:rFonts w:ascii="宋体" w:hAnsi="宋体" w:eastAsia="宋体" w:cs="宋体"/>
          <w:color w:val="auto"/>
          <w:spacing w:val="-66"/>
          <w:sz w:val="28"/>
          <w:szCs w:val="28"/>
          <w:highlight w:val="none"/>
        </w:rPr>
        <w:t xml:space="preserve"> </w:t>
      </w:r>
      <w:r>
        <w:rPr>
          <w:rFonts w:ascii="宋体" w:hAnsi="宋体" w:eastAsia="宋体" w:cs="宋体"/>
          <w:b/>
          <w:bCs/>
          <w:color w:val="auto"/>
          <w:spacing w:val="-3"/>
          <w:sz w:val="28"/>
          <w:szCs w:val="28"/>
          <w:highlight w:val="none"/>
        </w:rPr>
        <w:t>B</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委托人派遣的人员和提供的房屋、资</w:t>
      </w:r>
      <w:r>
        <w:rPr>
          <w:rFonts w:ascii="宋体" w:hAnsi="宋体" w:eastAsia="宋体" w:cs="宋体"/>
          <w:b/>
          <w:bCs/>
          <w:color w:val="auto"/>
          <w:spacing w:val="-4"/>
          <w:sz w:val="28"/>
          <w:szCs w:val="28"/>
          <w:highlight w:val="none"/>
        </w:rPr>
        <w:t>料、设备</w:t>
      </w:r>
    </w:p>
    <w:p>
      <w:pPr>
        <w:pStyle w:val="17"/>
        <w:spacing w:line="433" w:lineRule="auto"/>
        <w:rPr>
          <w:color w:val="auto"/>
          <w:highlight w:val="none"/>
        </w:rPr>
      </w:pPr>
    </w:p>
    <w:p>
      <w:pPr>
        <w:spacing w:before="69" w:line="222" w:lineRule="auto"/>
        <w:ind w:left="116"/>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B-1</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委托人派遣的人员</w:t>
      </w:r>
    </w:p>
    <w:p>
      <w:pPr>
        <w:spacing w:before="4"/>
        <w:rPr>
          <w:color w:val="auto"/>
          <w:highlight w:val="none"/>
        </w:rPr>
      </w:pPr>
    </w:p>
    <w:tbl>
      <w:tblPr>
        <w:tblStyle w:val="158"/>
        <w:tblW w:w="8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3"/>
        <w:gridCol w:w="1801"/>
        <w:gridCol w:w="2166"/>
        <w:gridCol w:w="18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863" w:type="dxa"/>
            <w:vAlign w:val="top"/>
          </w:tcPr>
          <w:p>
            <w:pPr>
              <w:pStyle w:val="160"/>
              <w:spacing w:before="34" w:line="223" w:lineRule="auto"/>
              <w:ind w:left="1230"/>
              <w:rPr>
                <w:snapToGrid w:val="0"/>
                <w:color w:val="auto"/>
                <w:highlight w:val="none"/>
              </w:rPr>
            </w:pPr>
            <w:r>
              <w:rPr>
                <w:snapToGrid w:val="0"/>
                <w:color w:val="auto"/>
                <w:spacing w:val="-3"/>
                <w:highlight w:val="none"/>
              </w:rPr>
              <w:t>名称</w:t>
            </w:r>
          </w:p>
        </w:tc>
        <w:tc>
          <w:tcPr>
            <w:tcW w:w="1801" w:type="dxa"/>
            <w:vAlign w:val="top"/>
          </w:tcPr>
          <w:p>
            <w:pPr>
              <w:pStyle w:val="160"/>
              <w:spacing w:before="33" w:line="221" w:lineRule="auto"/>
              <w:ind w:left="697"/>
              <w:rPr>
                <w:snapToGrid w:val="0"/>
                <w:color w:val="auto"/>
                <w:highlight w:val="none"/>
              </w:rPr>
            </w:pPr>
            <w:r>
              <w:rPr>
                <w:snapToGrid w:val="0"/>
                <w:color w:val="auto"/>
                <w:spacing w:val="-2"/>
                <w:highlight w:val="none"/>
              </w:rPr>
              <w:t>数量</w:t>
            </w:r>
          </w:p>
        </w:tc>
        <w:tc>
          <w:tcPr>
            <w:tcW w:w="2166" w:type="dxa"/>
            <w:vAlign w:val="top"/>
          </w:tcPr>
          <w:p>
            <w:pPr>
              <w:pStyle w:val="160"/>
              <w:spacing w:before="34" w:line="221" w:lineRule="auto"/>
              <w:ind w:left="671"/>
              <w:rPr>
                <w:snapToGrid w:val="0"/>
                <w:color w:val="auto"/>
                <w:highlight w:val="none"/>
              </w:rPr>
            </w:pPr>
            <w:r>
              <w:rPr>
                <w:snapToGrid w:val="0"/>
                <w:color w:val="auto"/>
                <w:spacing w:val="-2"/>
                <w:highlight w:val="none"/>
              </w:rPr>
              <w:t>工作要求</w:t>
            </w:r>
          </w:p>
        </w:tc>
        <w:tc>
          <w:tcPr>
            <w:tcW w:w="1898" w:type="dxa"/>
            <w:vAlign w:val="top"/>
          </w:tcPr>
          <w:p>
            <w:pPr>
              <w:pStyle w:val="160"/>
              <w:spacing w:before="34" w:line="220" w:lineRule="auto"/>
              <w:ind w:left="533"/>
              <w:rPr>
                <w:snapToGrid w:val="0"/>
                <w:color w:val="auto"/>
                <w:highlight w:val="none"/>
              </w:rPr>
            </w:pPr>
            <w:r>
              <w:rPr>
                <w:snapToGrid w:val="0"/>
                <w:color w:val="auto"/>
                <w:spacing w:val="-2"/>
                <w:highlight w:val="none"/>
              </w:rPr>
              <w:t>提供时间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863" w:type="dxa"/>
            <w:vAlign w:val="top"/>
          </w:tcPr>
          <w:p>
            <w:pPr>
              <w:pStyle w:val="160"/>
              <w:spacing w:before="29" w:line="221" w:lineRule="auto"/>
              <w:ind w:left="131"/>
              <w:rPr>
                <w:snapToGrid w:val="0"/>
                <w:color w:val="auto"/>
                <w:highlight w:val="none"/>
              </w:rPr>
            </w:pPr>
            <w:r>
              <w:rPr>
                <w:snapToGrid w:val="0"/>
                <w:color w:val="auto"/>
                <w:spacing w:val="-3"/>
                <w:highlight w:val="none"/>
              </w:rPr>
              <w:t>1. 工程技术人员</w:t>
            </w:r>
          </w:p>
        </w:tc>
        <w:tc>
          <w:tcPr>
            <w:tcW w:w="1801" w:type="dxa"/>
            <w:vAlign w:val="top"/>
          </w:tcPr>
          <w:p>
            <w:pPr>
              <w:rPr>
                <w:rFonts w:ascii="Arial"/>
                <w:snapToGrid w:val="0"/>
                <w:color w:val="auto"/>
                <w:sz w:val="21"/>
                <w:highlight w:val="none"/>
              </w:rPr>
            </w:pPr>
          </w:p>
        </w:tc>
        <w:tc>
          <w:tcPr>
            <w:tcW w:w="2166" w:type="dxa"/>
            <w:vAlign w:val="top"/>
          </w:tcPr>
          <w:p>
            <w:pPr>
              <w:rPr>
                <w:rFonts w:ascii="Arial"/>
                <w:snapToGrid w:val="0"/>
                <w:color w:val="auto"/>
                <w:sz w:val="21"/>
                <w:highlight w:val="none"/>
              </w:rPr>
            </w:pPr>
          </w:p>
        </w:tc>
        <w:tc>
          <w:tcPr>
            <w:tcW w:w="1898"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863" w:type="dxa"/>
            <w:vAlign w:val="top"/>
          </w:tcPr>
          <w:p>
            <w:pPr>
              <w:pStyle w:val="160"/>
              <w:spacing w:before="32" w:line="221" w:lineRule="auto"/>
              <w:ind w:left="118"/>
              <w:rPr>
                <w:snapToGrid w:val="0"/>
                <w:color w:val="auto"/>
                <w:highlight w:val="none"/>
              </w:rPr>
            </w:pPr>
            <w:r>
              <w:rPr>
                <w:snapToGrid w:val="0"/>
                <w:color w:val="auto"/>
                <w:spacing w:val="-1"/>
                <w:highlight w:val="none"/>
              </w:rPr>
              <w:t>2. 辅助工作人员</w:t>
            </w:r>
          </w:p>
        </w:tc>
        <w:tc>
          <w:tcPr>
            <w:tcW w:w="1801" w:type="dxa"/>
            <w:vAlign w:val="top"/>
          </w:tcPr>
          <w:p>
            <w:pPr>
              <w:rPr>
                <w:rFonts w:ascii="Arial"/>
                <w:snapToGrid w:val="0"/>
                <w:color w:val="auto"/>
                <w:sz w:val="21"/>
                <w:highlight w:val="none"/>
              </w:rPr>
            </w:pPr>
          </w:p>
        </w:tc>
        <w:tc>
          <w:tcPr>
            <w:tcW w:w="2166" w:type="dxa"/>
            <w:vAlign w:val="top"/>
          </w:tcPr>
          <w:p>
            <w:pPr>
              <w:rPr>
                <w:rFonts w:ascii="Arial"/>
                <w:snapToGrid w:val="0"/>
                <w:color w:val="auto"/>
                <w:sz w:val="21"/>
                <w:highlight w:val="none"/>
              </w:rPr>
            </w:pPr>
          </w:p>
        </w:tc>
        <w:tc>
          <w:tcPr>
            <w:tcW w:w="1898"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863" w:type="dxa"/>
            <w:vAlign w:val="top"/>
          </w:tcPr>
          <w:p>
            <w:pPr>
              <w:pStyle w:val="160"/>
              <w:spacing w:before="35" w:line="221" w:lineRule="auto"/>
              <w:ind w:left="120"/>
              <w:rPr>
                <w:snapToGrid w:val="0"/>
                <w:color w:val="auto"/>
                <w:highlight w:val="none"/>
              </w:rPr>
            </w:pPr>
            <w:r>
              <w:rPr>
                <w:snapToGrid w:val="0"/>
                <w:color w:val="auto"/>
                <w:spacing w:val="-4"/>
                <w:highlight w:val="none"/>
              </w:rPr>
              <w:t>3.</w:t>
            </w:r>
            <w:r>
              <w:rPr>
                <w:snapToGrid w:val="0"/>
                <w:color w:val="auto"/>
                <w:spacing w:val="13"/>
                <w:highlight w:val="none"/>
              </w:rPr>
              <w:t xml:space="preserve"> </w:t>
            </w:r>
            <w:r>
              <w:rPr>
                <w:snapToGrid w:val="0"/>
                <w:color w:val="auto"/>
                <w:spacing w:val="-4"/>
                <w:highlight w:val="none"/>
              </w:rPr>
              <w:t>其他人员</w:t>
            </w:r>
          </w:p>
        </w:tc>
        <w:tc>
          <w:tcPr>
            <w:tcW w:w="1801" w:type="dxa"/>
            <w:vAlign w:val="top"/>
          </w:tcPr>
          <w:p>
            <w:pPr>
              <w:rPr>
                <w:rFonts w:ascii="Arial"/>
                <w:snapToGrid w:val="0"/>
                <w:color w:val="auto"/>
                <w:sz w:val="21"/>
                <w:highlight w:val="none"/>
              </w:rPr>
            </w:pPr>
          </w:p>
        </w:tc>
        <w:tc>
          <w:tcPr>
            <w:tcW w:w="2166" w:type="dxa"/>
            <w:vAlign w:val="top"/>
          </w:tcPr>
          <w:p>
            <w:pPr>
              <w:rPr>
                <w:rFonts w:ascii="Arial"/>
                <w:snapToGrid w:val="0"/>
                <w:color w:val="auto"/>
                <w:sz w:val="21"/>
                <w:highlight w:val="none"/>
              </w:rPr>
            </w:pPr>
          </w:p>
        </w:tc>
        <w:tc>
          <w:tcPr>
            <w:tcW w:w="1898"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863" w:type="dxa"/>
            <w:vAlign w:val="top"/>
          </w:tcPr>
          <w:p>
            <w:pPr>
              <w:rPr>
                <w:rFonts w:ascii="Arial"/>
                <w:snapToGrid w:val="0"/>
                <w:color w:val="auto"/>
                <w:sz w:val="21"/>
                <w:highlight w:val="none"/>
              </w:rPr>
            </w:pPr>
          </w:p>
        </w:tc>
        <w:tc>
          <w:tcPr>
            <w:tcW w:w="1801" w:type="dxa"/>
            <w:vAlign w:val="top"/>
          </w:tcPr>
          <w:p>
            <w:pPr>
              <w:rPr>
                <w:rFonts w:ascii="Arial"/>
                <w:snapToGrid w:val="0"/>
                <w:color w:val="auto"/>
                <w:sz w:val="21"/>
                <w:highlight w:val="none"/>
              </w:rPr>
            </w:pPr>
          </w:p>
        </w:tc>
        <w:tc>
          <w:tcPr>
            <w:tcW w:w="2166" w:type="dxa"/>
            <w:vAlign w:val="top"/>
          </w:tcPr>
          <w:p>
            <w:pPr>
              <w:rPr>
                <w:rFonts w:ascii="Arial"/>
                <w:snapToGrid w:val="0"/>
                <w:color w:val="auto"/>
                <w:sz w:val="21"/>
                <w:highlight w:val="none"/>
              </w:rPr>
            </w:pPr>
          </w:p>
        </w:tc>
        <w:tc>
          <w:tcPr>
            <w:tcW w:w="1898" w:type="dxa"/>
            <w:vAlign w:val="top"/>
          </w:tcPr>
          <w:p>
            <w:pPr>
              <w:rPr>
                <w:rFonts w:ascii="Arial"/>
                <w:snapToGrid w:val="0"/>
                <w:color w:val="auto"/>
                <w:sz w:val="21"/>
                <w:highlight w:val="none"/>
              </w:rPr>
            </w:pPr>
          </w:p>
        </w:tc>
      </w:tr>
    </w:tbl>
    <w:p>
      <w:pPr>
        <w:pStyle w:val="17"/>
        <w:spacing w:line="340" w:lineRule="auto"/>
        <w:rPr>
          <w:color w:val="auto"/>
          <w:highlight w:val="none"/>
        </w:rPr>
      </w:pPr>
    </w:p>
    <w:p>
      <w:pPr>
        <w:pStyle w:val="17"/>
        <w:spacing w:line="341" w:lineRule="auto"/>
        <w:rPr>
          <w:color w:val="auto"/>
          <w:highlight w:val="none"/>
        </w:rPr>
      </w:pPr>
    </w:p>
    <w:p>
      <w:pPr>
        <w:spacing w:before="69" w:line="220" w:lineRule="auto"/>
        <w:ind w:left="117"/>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 xml:space="preserve">B-2    </w:t>
      </w:r>
      <w:r>
        <w:rPr>
          <w:rFonts w:ascii="宋体" w:hAnsi="宋体" w:eastAsia="宋体" w:cs="宋体"/>
          <w:b/>
          <w:bCs/>
          <w:color w:val="auto"/>
          <w:spacing w:val="-1"/>
          <w:sz w:val="21"/>
          <w:szCs w:val="21"/>
          <w:highlight w:val="none"/>
        </w:rPr>
        <w:t>委托人提供的房屋</w:t>
      </w:r>
    </w:p>
    <w:p>
      <w:pPr>
        <w:spacing w:line="233" w:lineRule="exact"/>
        <w:rPr>
          <w:color w:val="auto"/>
          <w:highlight w:val="none"/>
        </w:rPr>
      </w:pPr>
    </w:p>
    <w:tbl>
      <w:tblPr>
        <w:tblStyle w:val="158"/>
        <w:tblW w:w="8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2"/>
        <w:gridCol w:w="2183"/>
        <w:gridCol w:w="2180"/>
        <w:gridCol w:w="1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512" w:type="dxa"/>
            <w:vAlign w:val="top"/>
          </w:tcPr>
          <w:p>
            <w:pPr>
              <w:pStyle w:val="160"/>
              <w:spacing w:before="34" w:line="223" w:lineRule="auto"/>
              <w:ind w:left="1054"/>
              <w:rPr>
                <w:snapToGrid w:val="0"/>
                <w:color w:val="auto"/>
                <w:highlight w:val="none"/>
              </w:rPr>
            </w:pPr>
            <w:r>
              <w:rPr>
                <w:snapToGrid w:val="0"/>
                <w:color w:val="auto"/>
                <w:spacing w:val="-3"/>
                <w:highlight w:val="none"/>
              </w:rPr>
              <w:t>名称</w:t>
            </w:r>
          </w:p>
        </w:tc>
        <w:tc>
          <w:tcPr>
            <w:tcW w:w="2183" w:type="dxa"/>
            <w:vAlign w:val="top"/>
          </w:tcPr>
          <w:p>
            <w:pPr>
              <w:pStyle w:val="160"/>
              <w:spacing w:before="33" w:line="221" w:lineRule="auto"/>
              <w:ind w:left="887"/>
              <w:rPr>
                <w:snapToGrid w:val="0"/>
                <w:color w:val="auto"/>
                <w:highlight w:val="none"/>
              </w:rPr>
            </w:pPr>
            <w:r>
              <w:rPr>
                <w:snapToGrid w:val="0"/>
                <w:color w:val="auto"/>
                <w:spacing w:val="-2"/>
                <w:highlight w:val="none"/>
              </w:rPr>
              <w:t>数量</w:t>
            </w:r>
          </w:p>
        </w:tc>
        <w:tc>
          <w:tcPr>
            <w:tcW w:w="2180" w:type="dxa"/>
            <w:vAlign w:val="top"/>
          </w:tcPr>
          <w:p>
            <w:pPr>
              <w:pStyle w:val="160"/>
              <w:spacing w:before="34" w:line="221" w:lineRule="auto"/>
              <w:ind w:left="885"/>
              <w:rPr>
                <w:snapToGrid w:val="0"/>
                <w:color w:val="auto"/>
                <w:highlight w:val="none"/>
              </w:rPr>
            </w:pPr>
            <w:r>
              <w:rPr>
                <w:snapToGrid w:val="0"/>
                <w:color w:val="auto"/>
                <w:spacing w:val="-2"/>
                <w:highlight w:val="none"/>
              </w:rPr>
              <w:t>面积</w:t>
            </w:r>
          </w:p>
        </w:tc>
        <w:tc>
          <w:tcPr>
            <w:tcW w:w="1910" w:type="dxa"/>
            <w:vAlign w:val="top"/>
          </w:tcPr>
          <w:p>
            <w:pPr>
              <w:pStyle w:val="160"/>
              <w:spacing w:before="34" w:line="220" w:lineRule="auto"/>
              <w:ind w:left="541"/>
              <w:rPr>
                <w:snapToGrid w:val="0"/>
                <w:color w:val="auto"/>
                <w:highlight w:val="none"/>
              </w:rPr>
            </w:pPr>
            <w:r>
              <w:rPr>
                <w:snapToGrid w:val="0"/>
                <w:color w:val="auto"/>
                <w:spacing w:val="-2"/>
                <w:highlight w:val="none"/>
              </w:rPr>
              <w:t>提供时间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12" w:type="dxa"/>
            <w:vAlign w:val="top"/>
          </w:tcPr>
          <w:p>
            <w:pPr>
              <w:pStyle w:val="160"/>
              <w:spacing w:before="29" w:line="221" w:lineRule="auto"/>
              <w:ind w:left="131"/>
              <w:rPr>
                <w:snapToGrid w:val="0"/>
                <w:color w:val="auto"/>
                <w:highlight w:val="none"/>
              </w:rPr>
            </w:pPr>
            <w:r>
              <w:rPr>
                <w:snapToGrid w:val="0"/>
                <w:color w:val="auto"/>
                <w:spacing w:val="-6"/>
                <w:highlight w:val="none"/>
              </w:rPr>
              <w:t>1.</w:t>
            </w:r>
            <w:r>
              <w:rPr>
                <w:snapToGrid w:val="0"/>
                <w:color w:val="auto"/>
                <w:spacing w:val="14"/>
                <w:highlight w:val="none"/>
              </w:rPr>
              <w:t xml:space="preserve"> </w:t>
            </w:r>
            <w:r>
              <w:rPr>
                <w:snapToGrid w:val="0"/>
                <w:color w:val="auto"/>
                <w:spacing w:val="-6"/>
                <w:highlight w:val="none"/>
              </w:rPr>
              <w:t>办公用房</w:t>
            </w:r>
          </w:p>
        </w:tc>
        <w:tc>
          <w:tcPr>
            <w:tcW w:w="2183" w:type="dxa"/>
            <w:vAlign w:val="top"/>
          </w:tcPr>
          <w:p>
            <w:pPr>
              <w:rPr>
                <w:rFonts w:ascii="Arial"/>
                <w:snapToGrid w:val="0"/>
                <w:color w:val="auto"/>
                <w:sz w:val="21"/>
                <w:highlight w:val="none"/>
              </w:rPr>
            </w:pPr>
          </w:p>
        </w:tc>
        <w:tc>
          <w:tcPr>
            <w:tcW w:w="2180" w:type="dxa"/>
            <w:vAlign w:val="top"/>
          </w:tcPr>
          <w:p>
            <w:pPr>
              <w:rPr>
                <w:rFonts w:ascii="Arial"/>
                <w:snapToGrid w:val="0"/>
                <w:color w:val="auto"/>
                <w:sz w:val="21"/>
                <w:highlight w:val="none"/>
              </w:rPr>
            </w:pPr>
          </w:p>
        </w:tc>
        <w:tc>
          <w:tcPr>
            <w:tcW w:w="1910"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512" w:type="dxa"/>
            <w:vAlign w:val="top"/>
          </w:tcPr>
          <w:p>
            <w:pPr>
              <w:pStyle w:val="160"/>
              <w:spacing w:before="33" w:line="221" w:lineRule="auto"/>
              <w:ind w:left="118"/>
              <w:rPr>
                <w:snapToGrid w:val="0"/>
                <w:color w:val="auto"/>
                <w:highlight w:val="none"/>
              </w:rPr>
            </w:pPr>
            <w:r>
              <w:rPr>
                <w:snapToGrid w:val="0"/>
                <w:color w:val="auto"/>
                <w:spacing w:val="-4"/>
                <w:highlight w:val="none"/>
              </w:rPr>
              <w:t>2.</w:t>
            </w:r>
            <w:r>
              <w:rPr>
                <w:snapToGrid w:val="0"/>
                <w:color w:val="auto"/>
                <w:spacing w:val="15"/>
                <w:highlight w:val="none"/>
              </w:rPr>
              <w:t xml:space="preserve"> </w:t>
            </w:r>
            <w:r>
              <w:rPr>
                <w:snapToGrid w:val="0"/>
                <w:color w:val="auto"/>
                <w:spacing w:val="-4"/>
                <w:highlight w:val="none"/>
              </w:rPr>
              <w:t>生活用房</w:t>
            </w:r>
          </w:p>
        </w:tc>
        <w:tc>
          <w:tcPr>
            <w:tcW w:w="2183" w:type="dxa"/>
            <w:vAlign w:val="top"/>
          </w:tcPr>
          <w:p>
            <w:pPr>
              <w:rPr>
                <w:rFonts w:ascii="Arial"/>
                <w:snapToGrid w:val="0"/>
                <w:color w:val="auto"/>
                <w:sz w:val="21"/>
                <w:highlight w:val="none"/>
              </w:rPr>
            </w:pPr>
          </w:p>
        </w:tc>
        <w:tc>
          <w:tcPr>
            <w:tcW w:w="2180" w:type="dxa"/>
            <w:vAlign w:val="top"/>
          </w:tcPr>
          <w:p>
            <w:pPr>
              <w:rPr>
                <w:rFonts w:ascii="Arial"/>
                <w:snapToGrid w:val="0"/>
                <w:color w:val="auto"/>
                <w:sz w:val="21"/>
                <w:highlight w:val="none"/>
              </w:rPr>
            </w:pPr>
          </w:p>
        </w:tc>
        <w:tc>
          <w:tcPr>
            <w:tcW w:w="1910"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12" w:type="dxa"/>
            <w:vAlign w:val="top"/>
          </w:tcPr>
          <w:p>
            <w:pPr>
              <w:pStyle w:val="160"/>
              <w:spacing w:before="31" w:line="221" w:lineRule="auto"/>
              <w:ind w:left="120"/>
              <w:rPr>
                <w:snapToGrid w:val="0"/>
                <w:color w:val="auto"/>
                <w:highlight w:val="none"/>
              </w:rPr>
            </w:pPr>
            <w:r>
              <w:rPr>
                <w:snapToGrid w:val="0"/>
                <w:color w:val="auto"/>
                <w:spacing w:val="-4"/>
                <w:highlight w:val="none"/>
              </w:rPr>
              <w:t>3.</w:t>
            </w:r>
            <w:r>
              <w:rPr>
                <w:snapToGrid w:val="0"/>
                <w:color w:val="auto"/>
                <w:spacing w:val="13"/>
                <w:highlight w:val="none"/>
              </w:rPr>
              <w:t xml:space="preserve"> </w:t>
            </w:r>
            <w:r>
              <w:rPr>
                <w:snapToGrid w:val="0"/>
                <w:color w:val="auto"/>
                <w:spacing w:val="-4"/>
                <w:highlight w:val="none"/>
              </w:rPr>
              <w:t>试验用房</w:t>
            </w:r>
          </w:p>
        </w:tc>
        <w:tc>
          <w:tcPr>
            <w:tcW w:w="2183" w:type="dxa"/>
            <w:vAlign w:val="top"/>
          </w:tcPr>
          <w:p>
            <w:pPr>
              <w:rPr>
                <w:rFonts w:ascii="Arial"/>
                <w:snapToGrid w:val="0"/>
                <w:color w:val="auto"/>
                <w:sz w:val="21"/>
                <w:highlight w:val="none"/>
              </w:rPr>
            </w:pPr>
          </w:p>
        </w:tc>
        <w:tc>
          <w:tcPr>
            <w:tcW w:w="2180" w:type="dxa"/>
            <w:vAlign w:val="top"/>
          </w:tcPr>
          <w:p>
            <w:pPr>
              <w:rPr>
                <w:rFonts w:ascii="Arial"/>
                <w:snapToGrid w:val="0"/>
                <w:color w:val="auto"/>
                <w:sz w:val="21"/>
                <w:highlight w:val="none"/>
              </w:rPr>
            </w:pPr>
          </w:p>
        </w:tc>
        <w:tc>
          <w:tcPr>
            <w:tcW w:w="1910"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512" w:type="dxa"/>
            <w:vAlign w:val="top"/>
          </w:tcPr>
          <w:p>
            <w:pPr>
              <w:pStyle w:val="160"/>
              <w:spacing w:before="32" w:line="221" w:lineRule="auto"/>
              <w:ind w:left="115"/>
              <w:rPr>
                <w:snapToGrid w:val="0"/>
                <w:color w:val="auto"/>
                <w:highlight w:val="none"/>
              </w:rPr>
            </w:pPr>
            <w:r>
              <w:rPr>
                <w:snapToGrid w:val="0"/>
                <w:color w:val="auto"/>
                <w:spacing w:val="-1"/>
                <w:highlight w:val="none"/>
              </w:rPr>
              <w:t>4. 样品用房</w:t>
            </w:r>
          </w:p>
        </w:tc>
        <w:tc>
          <w:tcPr>
            <w:tcW w:w="2183" w:type="dxa"/>
            <w:vAlign w:val="top"/>
          </w:tcPr>
          <w:p>
            <w:pPr>
              <w:rPr>
                <w:rFonts w:ascii="Arial"/>
                <w:snapToGrid w:val="0"/>
                <w:color w:val="auto"/>
                <w:sz w:val="21"/>
                <w:highlight w:val="none"/>
              </w:rPr>
            </w:pPr>
          </w:p>
        </w:tc>
        <w:tc>
          <w:tcPr>
            <w:tcW w:w="2180" w:type="dxa"/>
            <w:vAlign w:val="top"/>
          </w:tcPr>
          <w:p>
            <w:pPr>
              <w:rPr>
                <w:rFonts w:ascii="Arial"/>
                <w:snapToGrid w:val="0"/>
                <w:color w:val="auto"/>
                <w:sz w:val="21"/>
                <w:highlight w:val="none"/>
              </w:rPr>
            </w:pPr>
          </w:p>
        </w:tc>
        <w:tc>
          <w:tcPr>
            <w:tcW w:w="1910"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12" w:type="dxa"/>
            <w:vAlign w:val="top"/>
          </w:tcPr>
          <w:p>
            <w:pPr>
              <w:rPr>
                <w:rFonts w:ascii="Arial"/>
                <w:snapToGrid w:val="0"/>
                <w:color w:val="auto"/>
                <w:sz w:val="21"/>
                <w:highlight w:val="none"/>
              </w:rPr>
            </w:pPr>
          </w:p>
        </w:tc>
        <w:tc>
          <w:tcPr>
            <w:tcW w:w="2183" w:type="dxa"/>
            <w:vAlign w:val="top"/>
          </w:tcPr>
          <w:p>
            <w:pPr>
              <w:rPr>
                <w:rFonts w:ascii="Arial"/>
                <w:snapToGrid w:val="0"/>
                <w:color w:val="auto"/>
                <w:sz w:val="21"/>
                <w:highlight w:val="none"/>
              </w:rPr>
            </w:pPr>
          </w:p>
        </w:tc>
        <w:tc>
          <w:tcPr>
            <w:tcW w:w="2180" w:type="dxa"/>
            <w:vAlign w:val="top"/>
          </w:tcPr>
          <w:p>
            <w:pPr>
              <w:rPr>
                <w:rFonts w:ascii="Arial"/>
                <w:snapToGrid w:val="0"/>
                <w:color w:val="auto"/>
                <w:sz w:val="21"/>
                <w:highlight w:val="none"/>
              </w:rPr>
            </w:pPr>
          </w:p>
        </w:tc>
        <w:tc>
          <w:tcPr>
            <w:tcW w:w="1910"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512" w:type="dxa"/>
            <w:vAlign w:val="top"/>
          </w:tcPr>
          <w:p>
            <w:pPr>
              <w:pStyle w:val="160"/>
              <w:spacing w:before="33" w:line="221" w:lineRule="auto"/>
              <w:ind w:left="117"/>
              <w:rPr>
                <w:snapToGrid w:val="0"/>
                <w:color w:val="auto"/>
                <w:highlight w:val="none"/>
              </w:rPr>
            </w:pPr>
            <w:r>
              <w:rPr>
                <w:snapToGrid w:val="0"/>
                <w:color w:val="auto"/>
                <w:spacing w:val="-1"/>
                <w:highlight w:val="none"/>
              </w:rPr>
              <w:t>用餐及其他生活条件</w:t>
            </w:r>
          </w:p>
        </w:tc>
        <w:tc>
          <w:tcPr>
            <w:tcW w:w="6273" w:type="dxa"/>
            <w:gridSpan w:val="3"/>
            <w:vAlign w:val="top"/>
          </w:tcPr>
          <w:p>
            <w:pPr>
              <w:rPr>
                <w:rFonts w:ascii="Arial"/>
                <w:snapToGrid w:val="0"/>
                <w:color w:val="auto"/>
                <w:sz w:val="21"/>
                <w:highlight w:val="none"/>
              </w:rPr>
            </w:pPr>
          </w:p>
        </w:tc>
      </w:tr>
    </w:tbl>
    <w:p>
      <w:pPr>
        <w:pStyle w:val="17"/>
        <w:spacing w:line="263" w:lineRule="auto"/>
        <w:rPr>
          <w:color w:val="auto"/>
          <w:highlight w:val="none"/>
        </w:rPr>
      </w:pPr>
    </w:p>
    <w:p>
      <w:pPr>
        <w:spacing w:line="14" w:lineRule="exact"/>
        <w:jc w:val="right"/>
        <w:rPr>
          <w:rFonts w:ascii="宋体" w:hAnsi="宋体" w:eastAsia="宋体" w:cs="宋体"/>
          <w:b/>
          <w:bCs/>
          <w:color w:val="auto"/>
          <w:spacing w:val="-1"/>
          <w:kern w:val="2"/>
          <w:sz w:val="21"/>
          <w:szCs w:val="21"/>
          <w:highlight w:val="none"/>
          <w:lang w:val="en-US" w:eastAsia="zh-CN" w:bidi="ar-SA"/>
        </w:rPr>
      </w:pPr>
    </w:p>
    <w:p>
      <w:pPr>
        <w:pStyle w:val="17"/>
        <w:tabs>
          <w:tab w:val="left" w:pos="1100"/>
        </w:tabs>
        <w:rPr>
          <w:color w:val="auto"/>
          <w:highlight w:val="none"/>
        </w:rPr>
      </w:pPr>
    </w:p>
    <w:p>
      <w:pPr>
        <w:spacing w:line="10" w:lineRule="exact"/>
        <w:rPr>
          <w:color w:val="auto"/>
          <w:highlight w:val="none"/>
        </w:rPr>
        <w:sectPr>
          <w:footerReference r:id="rId16" w:type="default"/>
          <w:pgSz w:w="11900" w:h="16820"/>
          <w:pgMar w:top="1440" w:right="1080" w:bottom="1440" w:left="1080" w:header="0" w:footer="722" w:gutter="0"/>
          <w:pgNumType w:fmt="decimal"/>
          <w:cols w:space="720" w:num="1"/>
        </w:sectPr>
      </w:pPr>
    </w:p>
    <w:p>
      <w:pPr>
        <w:pStyle w:val="17"/>
        <w:spacing w:line="439" w:lineRule="auto"/>
        <w:rPr>
          <w:rFonts w:hint="eastAsia"/>
          <w:color w:val="auto"/>
          <w:highlight w:val="none"/>
        </w:rPr>
      </w:pPr>
      <w:r>
        <w:rPr>
          <w:rFonts w:hint="eastAsia"/>
          <w:color w:val="auto"/>
          <w:highlight w:val="none"/>
        </w:rPr>
        <w:t xml:space="preserve"> B-3   委托人提供的资料</w:t>
      </w:r>
    </w:p>
    <w:tbl>
      <w:tblPr>
        <w:tblStyle w:val="158"/>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8"/>
        <w:gridCol w:w="1459"/>
        <w:gridCol w:w="1950"/>
        <w:gridCol w:w="16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538" w:type="dxa"/>
            <w:vAlign w:val="center"/>
          </w:tcPr>
          <w:p>
            <w:pPr>
              <w:pStyle w:val="160"/>
              <w:spacing w:before="31" w:line="221" w:lineRule="auto"/>
              <w:ind w:left="120" w:leftChars="0"/>
              <w:jc w:val="center"/>
              <w:rPr>
                <w:snapToGrid w:val="0"/>
                <w:color w:val="auto"/>
                <w:highlight w:val="none"/>
              </w:rPr>
            </w:pPr>
            <w:r>
              <w:rPr>
                <w:rFonts w:ascii="宋体" w:hAnsi="宋体" w:eastAsia="宋体" w:cs="宋体"/>
                <w:snapToGrid w:val="0"/>
                <w:color w:val="auto"/>
                <w:spacing w:val="-4"/>
                <w:highlight w:val="none"/>
              </w:rPr>
              <w:t>名称</w:t>
            </w:r>
          </w:p>
        </w:tc>
        <w:tc>
          <w:tcPr>
            <w:tcW w:w="1459" w:type="dxa"/>
            <w:vAlign w:val="center"/>
          </w:tcPr>
          <w:p>
            <w:pPr>
              <w:pStyle w:val="160"/>
              <w:spacing w:before="31" w:line="221" w:lineRule="auto"/>
              <w:ind w:left="120" w:leftChars="0"/>
              <w:jc w:val="center"/>
              <w:rPr>
                <w:snapToGrid w:val="0"/>
                <w:color w:val="auto"/>
                <w:highlight w:val="none"/>
              </w:rPr>
            </w:pPr>
            <w:r>
              <w:rPr>
                <w:rFonts w:ascii="宋体" w:hAnsi="宋体" w:eastAsia="宋体" w:cs="宋体"/>
                <w:snapToGrid w:val="0"/>
                <w:color w:val="auto"/>
                <w:spacing w:val="-4"/>
                <w:highlight w:val="none"/>
              </w:rPr>
              <w:t>份数</w:t>
            </w:r>
          </w:p>
        </w:tc>
        <w:tc>
          <w:tcPr>
            <w:tcW w:w="1950" w:type="dxa"/>
            <w:vAlign w:val="center"/>
          </w:tcPr>
          <w:p>
            <w:pPr>
              <w:pStyle w:val="160"/>
              <w:spacing w:before="31" w:line="221" w:lineRule="auto"/>
              <w:ind w:left="120" w:leftChars="0"/>
              <w:jc w:val="center"/>
              <w:rPr>
                <w:snapToGrid w:val="0"/>
                <w:color w:val="auto"/>
                <w:highlight w:val="none"/>
              </w:rPr>
            </w:pPr>
            <w:r>
              <w:rPr>
                <w:rFonts w:ascii="宋体" w:hAnsi="宋体" w:eastAsia="宋体" w:cs="宋体"/>
                <w:snapToGrid w:val="0"/>
                <w:color w:val="auto"/>
                <w:spacing w:val="-4"/>
                <w:highlight w:val="none"/>
              </w:rPr>
              <w:t>提供时间</w:t>
            </w:r>
          </w:p>
        </w:tc>
        <w:tc>
          <w:tcPr>
            <w:tcW w:w="1627" w:type="dxa"/>
            <w:vAlign w:val="center"/>
          </w:tcPr>
          <w:p>
            <w:pPr>
              <w:pStyle w:val="160"/>
              <w:spacing w:before="31" w:line="221" w:lineRule="auto"/>
              <w:ind w:left="120" w:leftChars="0"/>
              <w:jc w:val="center"/>
              <w:rPr>
                <w:snapToGrid w:val="0"/>
                <w:color w:val="auto"/>
                <w:highlight w:val="none"/>
              </w:rPr>
            </w:pPr>
            <w:r>
              <w:rPr>
                <w:rFonts w:ascii="宋体" w:hAnsi="宋体" w:eastAsia="宋体" w:cs="宋体"/>
                <w:snapToGrid w:val="0"/>
                <w:color w:val="auto"/>
                <w:spacing w:val="-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538" w:type="dxa"/>
            <w:vAlign w:val="top"/>
          </w:tcPr>
          <w:p>
            <w:pPr>
              <w:pStyle w:val="160"/>
              <w:spacing w:before="31" w:line="221" w:lineRule="auto"/>
              <w:ind w:left="120" w:leftChars="0"/>
              <w:rPr>
                <w:snapToGrid w:val="0"/>
                <w:color w:val="auto"/>
                <w:highlight w:val="none"/>
              </w:rPr>
            </w:pPr>
            <w:r>
              <w:rPr>
                <w:rFonts w:hint="eastAsia" w:ascii="宋体" w:hAnsi="宋体" w:eastAsia="宋体" w:cs="宋体"/>
                <w:snapToGrid w:val="0"/>
                <w:color w:val="auto"/>
                <w:spacing w:val="-4"/>
                <w:highlight w:val="none"/>
              </w:rPr>
              <w:t>1. 工程立项文件</w:t>
            </w:r>
          </w:p>
        </w:tc>
        <w:tc>
          <w:tcPr>
            <w:tcW w:w="1459" w:type="dxa"/>
            <w:vAlign w:val="top"/>
          </w:tcPr>
          <w:p>
            <w:pPr>
              <w:pStyle w:val="160"/>
              <w:spacing w:before="31" w:line="221" w:lineRule="auto"/>
              <w:ind w:left="120" w:leftChars="0"/>
              <w:rPr>
                <w:rFonts w:ascii="Arial"/>
                <w:snapToGrid w:val="0"/>
                <w:color w:val="auto"/>
                <w:sz w:val="21"/>
                <w:highlight w:val="none"/>
              </w:rPr>
            </w:pPr>
          </w:p>
        </w:tc>
        <w:tc>
          <w:tcPr>
            <w:tcW w:w="1950" w:type="dxa"/>
            <w:vAlign w:val="top"/>
          </w:tcPr>
          <w:p>
            <w:pPr>
              <w:pStyle w:val="160"/>
              <w:spacing w:before="31" w:line="221" w:lineRule="auto"/>
              <w:ind w:left="120" w:leftChars="0"/>
              <w:rPr>
                <w:rFonts w:ascii="Arial"/>
                <w:snapToGrid w:val="0"/>
                <w:color w:val="auto"/>
                <w:sz w:val="21"/>
                <w:highlight w:val="none"/>
              </w:rPr>
            </w:pPr>
          </w:p>
        </w:tc>
        <w:tc>
          <w:tcPr>
            <w:tcW w:w="1627" w:type="dxa"/>
            <w:vAlign w:val="top"/>
          </w:tcPr>
          <w:p>
            <w:pPr>
              <w:pStyle w:val="160"/>
              <w:spacing w:before="31" w:line="221" w:lineRule="auto"/>
              <w:ind w:left="120" w:leftChars="0"/>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538" w:type="dxa"/>
            <w:vAlign w:val="top"/>
          </w:tcPr>
          <w:p>
            <w:pPr>
              <w:pStyle w:val="160"/>
              <w:spacing w:before="31" w:line="221" w:lineRule="auto"/>
              <w:ind w:left="120" w:leftChars="0"/>
              <w:rPr>
                <w:snapToGrid w:val="0"/>
                <w:color w:val="auto"/>
                <w:highlight w:val="none"/>
              </w:rPr>
            </w:pPr>
            <w:r>
              <w:rPr>
                <w:rFonts w:hint="eastAsia" w:ascii="宋体" w:hAnsi="宋体" w:eastAsia="宋体" w:cs="宋体"/>
                <w:snapToGrid w:val="0"/>
                <w:color w:val="auto"/>
                <w:spacing w:val="-4"/>
                <w:highlight w:val="none"/>
              </w:rPr>
              <w:t xml:space="preserve"> 2. 工程勘察文件</w:t>
            </w:r>
          </w:p>
        </w:tc>
        <w:tc>
          <w:tcPr>
            <w:tcW w:w="1459" w:type="dxa"/>
            <w:vAlign w:val="top"/>
          </w:tcPr>
          <w:p>
            <w:pPr>
              <w:pStyle w:val="160"/>
              <w:spacing w:before="31" w:line="221" w:lineRule="auto"/>
              <w:ind w:left="120" w:leftChars="0"/>
              <w:rPr>
                <w:rFonts w:ascii="Arial"/>
                <w:snapToGrid w:val="0"/>
                <w:color w:val="auto"/>
                <w:sz w:val="21"/>
                <w:highlight w:val="none"/>
              </w:rPr>
            </w:pPr>
          </w:p>
        </w:tc>
        <w:tc>
          <w:tcPr>
            <w:tcW w:w="1950" w:type="dxa"/>
            <w:vAlign w:val="top"/>
          </w:tcPr>
          <w:p>
            <w:pPr>
              <w:pStyle w:val="160"/>
              <w:spacing w:before="31" w:line="221" w:lineRule="auto"/>
              <w:ind w:left="120" w:leftChars="0"/>
              <w:rPr>
                <w:rFonts w:ascii="Arial"/>
                <w:snapToGrid w:val="0"/>
                <w:color w:val="auto"/>
                <w:sz w:val="21"/>
                <w:highlight w:val="none"/>
              </w:rPr>
            </w:pPr>
          </w:p>
        </w:tc>
        <w:tc>
          <w:tcPr>
            <w:tcW w:w="1627" w:type="dxa"/>
            <w:vAlign w:val="top"/>
          </w:tcPr>
          <w:p>
            <w:pPr>
              <w:pStyle w:val="160"/>
              <w:spacing w:before="31" w:line="221" w:lineRule="auto"/>
              <w:ind w:left="120" w:leftChars="0"/>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538" w:type="dxa"/>
            <w:vAlign w:val="top"/>
          </w:tcPr>
          <w:p>
            <w:pPr>
              <w:pStyle w:val="160"/>
              <w:spacing w:before="31" w:line="221" w:lineRule="auto"/>
              <w:ind w:left="120" w:leftChars="0"/>
              <w:rPr>
                <w:snapToGrid w:val="0"/>
                <w:color w:val="auto"/>
                <w:highlight w:val="none"/>
              </w:rPr>
            </w:pPr>
            <w:r>
              <w:rPr>
                <w:rFonts w:hint="eastAsia" w:ascii="宋体" w:hAnsi="宋体" w:eastAsia="宋体" w:cs="宋体"/>
                <w:snapToGrid w:val="0"/>
                <w:color w:val="auto"/>
                <w:spacing w:val="-4"/>
                <w:highlight w:val="none"/>
              </w:rPr>
              <w:t>3. 工程设计及施工图纸</w:t>
            </w:r>
          </w:p>
        </w:tc>
        <w:tc>
          <w:tcPr>
            <w:tcW w:w="1459" w:type="dxa"/>
            <w:vAlign w:val="top"/>
          </w:tcPr>
          <w:p>
            <w:pPr>
              <w:pStyle w:val="160"/>
              <w:spacing w:before="31" w:line="221" w:lineRule="auto"/>
              <w:ind w:left="120" w:leftChars="0"/>
              <w:rPr>
                <w:rFonts w:ascii="Arial"/>
                <w:snapToGrid w:val="0"/>
                <w:color w:val="auto"/>
                <w:sz w:val="21"/>
                <w:highlight w:val="none"/>
              </w:rPr>
            </w:pPr>
          </w:p>
        </w:tc>
        <w:tc>
          <w:tcPr>
            <w:tcW w:w="1950" w:type="dxa"/>
            <w:vAlign w:val="top"/>
          </w:tcPr>
          <w:p>
            <w:pPr>
              <w:pStyle w:val="160"/>
              <w:spacing w:before="31" w:line="221" w:lineRule="auto"/>
              <w:ind w:left="120" w:leftChars="0"/>
              <w:rPr>
                <w:rFonts w:ascii="Arial"/>
                <w:snapToGrid w:val="0"/>
                <w:color w:val="auto"/>
                <w:sz w:val="21"/>
                <w:highlight w:val="none"/>
              </w:rPr>
            </w:pPr>
          </w:p>
        </w:tc>
        <w:tc>
          <w:tcPr>
            <w:tcW w:w="1627" w:type="dxa"/>
            <w:vAlign w:val="top"/>
          </w:tcPr>
          <w:p>
            <w:pPr>
              <w:pStyle w:val="160"/>
              <w:spacing w:before="31" w:line="221" w:lineRule="auto"/>
              <w:ind w:left="120" w:leftChars="0"/>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538" w:type="dxa"/>
            <w:vAlign w:val="top"/>
          </w:tcPr>
          <w:p>
            <w:pPr>
              <w:pStyle w:val="160"/>
              <w:spacing w:before="31" w:line="221" w:lineRule="auto"/>
              <w:ind w:left="120" w:leftChars="0"/>
              <w:rPr>
                <w:snapToGrid w:val="0"/>
                <w:color w:val="auto"/>
                <w:highlight w:val="none"/>
              </w:rPr>
            </w:pPr>
            <w:r>
              <w:rPr>
                <w:rFonts w:ascii="宋体" w:hAnsi="宋体" w:eastAsia="宋体" w:cs="宋体"/>
                <w:snapToGrid w:val="0"/>
                <w:color w:val="auto"/>
                <w:spacing w:val="-4"/>
                <w:highlight w:val="none"/>
              </w:rPr>
              <w:t>4. 工程承包合同及其他相关合同</w:t>
            </w:r>
          </w:p>
        </w:tc>
        <w:tc>
          <w:tcPr>
            <w:tcW w:w="1459" w:type="dxa"/>
            <w:vAlign w:val="top"/>
          </w:tcPr>
          <w:p>
            <w:pPr>
              <w:pStyle w:val="160"/>
              <w:spacing w:before="31" w:line="221" w:lineRule="auto"/>
              <w:ind w:left="120" w:leftChars="0"/>
              <w:rPr>
                <w:rFonts w:ascii="Arial"/>
                <w:snapToGrid w:val="0"/>
                <w:color w:val="auto"/>
                <w:sz w:val="21"/>
                <w:highlight w:val="none"/>
              </w:rPr>
            </w:pPr>
          </w:p>
        </w:tc>
        <w:tc>
          <w:tcPr>
            <w:tcW w:w="1950" w:type="dxa"/>
            <w:vAlign w:val="top"/>
          </w:tcPr>
          <w:p>
            <w:pPr>
              <w:pStyle w:val="160"/>
              <w:spacing w:before="31" w:line="221" w:lineRule="auto"/>
              <w:ind w:left="120" w:leftChars="0"/>
              <w:rPr>
                <w:rFonts w:ascii="Arial"/>
                <w:snapToGrid w:val="0"/>
                <w:color w:val="auto"/>
                <w:sz w:val="21"/>
                <w:highlight w:val="none"/>
              </w:rPr>
            </w:pPr>
          </w:p>
        </w:tc>
        <w:tc>
          <w:tcPr>
            <w:tcW w:w="1627" w:type="dxa"/>
            <w:vAlign w:val="top"/>
          </w:tcPr>
          <w:p>
            <w:pPr>
              <w:pStyle w:val="160"/>
              <w:spacing w:before="31" w:line="221" w:lineRule="auto"/>
              <w:ind w:left="120" w:leftChars="0"/>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538" w:type="dxa"/>
            <w:vAlign w:val="top"/>
          </w:tcPr>
          <w:p>
            <w:pPr>
              <w:pStyle w:val="160"/>
              <w:spacing w:before="31" w:line="221" w:lineRule="auto"/>
              <w:ind w:left="120" w:leftChars="0"/>
              <w:rPr>
                <w:rFonts w:ascii="Arial"/>
                <w:snapToGrid w:val="0"/>
                <w:color w:val="auto"/>
                <w:sz w:val="21"/>
                <w:highlight w:val="none"/>
              </w:rPr>
            </w:pPr>
            <w:r>
              <w:rPr>
                <w:rFonts w:ascii="宋体" w:hAnsi="宋体" w:eastAsia="宋体" w:cs="宋体"/>
                <w:snapToGrid w:val="0"/>
                <w:color w:val="auto"/>
                <w:spacing w:val="-4"/>
                <w:highlight w:val="none"/>
              </w:rPr>
              <w:t>5. 施工许可文件</w:t>
            </w:r>
          </w:p>
        </w:tc>
        <w:tc>
          <w:tcPr>
            <w:tcW w:w="1459" w:type="dxa"/>
            <w:vAlign w:val="top"/>
          </w:tcPr>
          <w:p>
            <w:pPr>
              <w:pStyle w:val="160"/>
              <w:spacing w:before="31" w:line="221" w:lineRule="auto"/>
              <w:ind w:left="120" w:leftChars="0"/>
              <w:rPr>
                <w:rFonts w:ascii="Arial"/>
                <w:snapToGrid w:val="0"/>
                <w:color w:val="auto"/>
                <w:sz w:val="21"/>
                <w:highlight w:val="none"/>
              </w:rPr>
            </w:pPr>
          </w:p>
        </w:tc>
        <w:tc>
          <w:tcPr>
            <w:tcW w:w="1950" w:type="dxa"/>
            <w:vAlign w:val="top"/>
          </w:tcPr>
          <w:p>
            <w:pPr>
              <w:pStyle w:val="160"/>
              <w:spacing w:before="31" w:line="221" w:lineRule="auto"/>
              <w:ind w:left="120" w:leftChars="0"/>
              <w:rPr>
                <w:rFonts w:ascii="Arial"/>
                <w:snapToGrid w:val="0"/>
                <w:color w:val="auto"/>
                <w:sz w:val="21"/>
                <w:highlight w:val="none"/>
              </w:rPr>
            </w:pPr>
          </w:p>
        </w:tc>
        <w:tc>
          <w:tcPr>
            <w:tcW w:w="1627" w:type="dxa"/>
            <w:vAlign w:val="top"/>
          </w:tcPr>
          <w:p>
            <w:pPr>
              <w:pStyle w:val="160"/>
              <w:spacing w:before="31" w:line="221" w:lineRule="auto"/>
              <w:ind w:left="120" w:leftChars="0"/>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538" w:type="dxa"/>
            <w:vAlign w:val="top"/>
          </w:tcPr>
          <w:p>
            <w:pPr>
              <w:pStyle w:val="160"/>
              <w:spacing w:before="31" w:line="221" w:lineRule="auto"/>
              <w:ind w:left="120" w:leftChars="0"/>
              <w:rPr>
                <w:rFonts w:ascii="Arial"/>
                <w:snapToGrid w:val="0"/>
                <w:color w:val="auto"/>
                <w:sz w:val="21"/>
                <w:highlight w:val="none"/>
              </w:rPr>
            </w:pPr>
            <w:r>
              <w:rPr>
                <w:rFonts w:ascii="宋体" w:hAnsi="宋体" w:eastAsia="宋体" w:cs="宋体"/>
                <w:snapToGrid w:val="0"/>
                <w:color w:val="auto"/>
                <w:spacing w:val="-4"/>
                <w:highlight w:val="none"/>
              </w:rPr>
              <w:t>6. 其他文件</w:t>
            </w:r>
          </w:p>
        </w:tc>
        <w:tc>
          <w:tcPr>
            <w:tcW w:w="1459" w:type="dxa"/>
            <w:vAlign w:val="top"/>
          </w:tcPr>
          <w:p>
            <w:pPr>
              <w:pStyle w:val="160"/>
              <w:spacing w:before="31" w:line="221" w:lineRule="auto"/>
              <w:ind w:left="120" w:leftChars="0"/>
              <w:rPr>
                <w:rFonts w:ascii="Arial"/>
                <w:snapToGrid w:val="0"/>
                <w:color w:val="auto"/>
                <w:sz w:val="21"/>
                <w:highlight w:val="none"/>
              </w:rPr>
            </w:pPr>
          </w:p>
        </w:tc>
        <w:tc>
          <w:tcPr>
            <w:tcW w:w="1950" w:type="dxa"/>
            <w:vAlign w:val="top"/>
          </w:tcPr>
          <w:p>
            <w:pPr>
              <w:pStyle w:val="160"/>
              <w:spacing w:before="31" w:line="221" w:lineRule="auto"/>
              <w:ind w:left="120" w:leftChars="0"/>
              <w:rPr>
                <w:rFonts w:ascii="Arial"/>
                <w:snapToGrid w:val="0"/>
                <w:color w:val="auto"/>
                <w:sz w:val="21"/>
                <w:highlight w:val="none"/>
              </w:rPr>
            </w:pPr>
          </w:p>
        </w:tc>
        <w:tc>
          <w:tcPr>
            <w:tcW w:w="1627" w:type="dxa"/>
            <w:vAlign w:val="top"/>
          </w:tcPr>
          <w:p>
            <w:pPr>
              <w:pStyle w:val="160"/>
              <w:spacing w:before="31" w:line="221" w:lineRule="auto"/>
              <w:ind w:left="120" w:leftChars="0"/>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538" w:type="dxa"/>
            <w:vAlign w:val="top"/>
          </w:tcPr>
          <w:p>
            <w:pPr>
              <w:pStyle w:val="160"/>
              <w:spacing w:before="31" w:line="221" w:lineRule="auto"/>
              <w:ind w:left="120" w:leftChars="0"/>
              <w:rPr>
                <w:rFonts w:ascii="宋体" w:hAnsi="宋体" w:eastAsia="宋体" w:cs="宋体"/>
                <w:snapToGrid w:val="0"/>
                <w:color w:val="auto"/>
                <w:spacing w:val="-4"/>
                <w:highlight w:val="none"/>
              </w:rPr>
            </w:pPr>
          </w:p>
        </w:tc>
        <w:tc>
          <w:tcPr>
            <w:tcW w:w="1459" w:type="dxa"/>
            <w:vAlign w:val="top"/>
          </w:tcPr>
          <w:p>
            <w:pPr>
              <w:pStyle w:val="160"/>
              <w:spacing w:before="31" w:line="221" w:lineRule="auto"/>
              <w:ind w:left="120" w:leftChars="0"/>
              <w:rPr>
                <w:rFonts w:ascii="Arial"/>
                <w:snapToGrid w:val="0"/>
                <w:color w:val="auto"/>
                <w:sz w:val="21"/>
                <w:highlight w:val="none"/>
              </w:rPr>
            </w:pPr>
          </w:p>
        </w:tc>
        <w:tc>
          <w:tcPr>
            <w:tcW w:w="1950" w:type="dxa"/>
            <w:vAlign w:val="top"/>
          </w:tcPr>
          <w:p>
            <w:pPr>
              <w:pStyle w:val="160"/>
              <w:spacing w:before="31" w:line="221" w:lineRule="auto"/>
              <w:ind w:left="120" w:leftChars="0"/>
              <w:rPr>
                <w:rFonts w:ascii="Arial"/>
                <w:snapToGrid w:val="0"/>
                <w:color w:val="auto"/>
                <w:sz w:val="21"/>
                <w:highlight w:val="none"/>
              </w:rPr>
            </w:pPr>
          </w:p>
        </w:tc>
        <w:tc>
          <w:tcPr>
            <w:tcW w:w="1627" w:type="dxa"/>
            <w:vAlign w:val="top"/>
          </w:tcPr>
          <w:p>
            <w:pPr>
              <w:pStyle w:val="160"/>
              <w:spacing w:before="31" w:line="221" w:lineRule="auto"/>
              <w:ind w:left="120" w:leftChars="0"/>
              <w:rPr>
                <w:rFonts w:ascii="Arial"/>
                <w:snapToGrid w:val="0"/>
                <w:color w:val="auto"/>
                <w:sz w:val="21"/>
                <w:highlight w:val="none"/>
              </w:rPr>
            </w:pPr>
          </w:p>
        </w:tc>
      </w:tr>
    </w:tbl>
    <w:p>
      <w:pPr>
        <w:pStyle w:val="17"/>
        <w:spacing w:line="439" w:lineRule="auto"/>
        <w:rPr>
          <w:rFonts w:hint="eastAsia"/>
          <w:color w:val="auto"/>
          <w:highlight w:val="none"/>
        </w:rPr>
      </w:pPr>
    </w:p>
    <w:p>
      <w:pPr>
        <w:pStyle w:val="17"/>
        <w:spacing w:line="439" w:lineRule="auto"/>
        <w:rPr>
          <w:rFonts w:hint="eastAsia"/>
          <w:color w:val="auto"/>
          <w:highlight w:val="none"/>
        </w:rPr>
      </w:pPr>
    </w:p>
    <w:p>
      <w:pPr>
        <w:pStyle w:val="17"/>
        <w:spacing w:line="439" w:lineRule="auto"/>
        <w:rPr>
          <w:rFonts w:hint="eastAsia"/>
          <w:color w:val="auto"/>
          <w:highlight w:val="none"/>
        </w:rPr>
      </w:pPr>
    </w:p>
    <w:p>
      <w:pPr>
        <w:spacing w:before="69" w:line="220" w:lineRule="auto"/>
        <w:ind w:left="117"/>
        <w:rPr>
          <w:rFonts w:ascii="宋体" w:hAnsi="宋体" w:eastAsia="宋体" w:cs="宋体"/>
          <w:color w:val="auto"/>
          <w:sz w:val="21"/>
          <w:szCs w:val="21"/>
          <w:highlight w:val="none"/>
        </w:rPr>
      </w:pPr>
      <w:r>
        <w:rPr>
          <w:rFonts w:ascii="Times New Roman" w:hAnsi="Times New Roman" w:eastAsia="Times New Roman" w:cs="Times New Roman"/>
          <w:b/>
          <w:bCs/>
          <w:color w:val="auto"/>
          <w:spacing w:val="-1"/>
          <w:sz w:val="21"/>
          <w:szCs w:val="21"/>
          <w:highlight w:val="none"/>
        </w:rPr>
        <w:t xml:space="preserve">B-4  </w:t>
      </w:r>
      <w:r>
        <w:rPr>
          <w:rFonts w:ascii="宋体" w:hAnsi="宋体" w:eastAsia="宋体" w:cs="宋体"/>
          <w:b/>
          <w:bCs/>
          <w:color w:val="auto"/>
          <w:spacing w:val="-1"/>
          <w:sz w:val="21"/>
          <w:szCs w:val="21"/>
          <w:highlight w:val="none"/>
        </w:rPr>
        <w:t>委托人提供的设备</w:t>
      </w:r>
    </w:p>
    <w:p>
      <w:pPr>
        <w:spacing w:line="231" w:lineRule="exact"/>
        <w:rPr>
          <w:color w:val="auto"/>
          <w:highlight w:val="none"/>
        </w:rPr>
      </w:pPr>
    </w:p>
    <w:tbl>
      <w:tblPr>
        <w:tblStyle w:val="158"/>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992" w:type="dxa"/>
            <w:vAlign w:val="top"/>
          </w:tcPr>
          <w:p>
            <w:pPr>
              <w:pStyle w:val="160"/>
              <w:spacing w:before="34" w:line="223" w:lineRule="auto"/>
              <w:ind w:left="1294"/>
              <w:rPr>
                <w:snapToGrid w:val="0"/>
                <w:color w:val="auto"/>
                <w:highlight w:val="none"/>
              </w:rPr>
            </w:pPr>
            <w:r>
              <w:rPr>
                <w:snapToGrid w:val="0"/>
                <w:color w:val="auto"/>
                <w:spacing w:val="-3"/>
                <w:highlight w:val="none"/>
              </w:rPr>
              <w:t>名称</w:t>
            </w:r>
          </w:p>
        </w:tc>
        <w:tc>
          <w:tcPr>
            <w:tcW w:w="1590" w:type="dxa"/>
            <w:vAlign w:val="top"/>
          </w:tcPr>
          <w:p>
            <w:pPr>
              <w:pStyle w:val="160"/>
              <w:spacing w:before="33" w:line="221" w:lineRule="auto"/>
              <w:ind w:left="589"/>
              <w:rPr>
                <w:snapToGrid w:val="0"/>
                <w:color w:val="auto"/>
                <w:highlight w:val="none"/>
              </w:rPr>
            </w:pPr>
            <w:r>
              <w:rPr>
                <w:snapToGrid w:val="0"/>
                <w:color w:val="auto"/>
                <w:spacing w:val="-2"/>
                <w:highlight w:val="none"/>
              </w:rPr>
              <w:t>数量</w:t>
            </w:r>
          </w:p>
        </w:tc>
        <w:tc>
          <w:tcPr>
            <w:tcW w:w="2128" w:type="dxa"/>
            <w:vAlign w:val="top"/>
          </w:tcPr>
          <w:p>
            <w:pPr>
              <w:pStyle w:val="160"/>
              <w:spacing w:before="33" w:line="221" w:lineRule="auto"/>
              <w:ind w:left="547"/>
              <w:rPr>
                <w:snapToGrid w:val="0"/>
                <w:color w:val="auto"/>
                <w:highlight w:val="none"/>
              </w:rPr>
            </w:pPr>
            <w:r>
              <w:rPr>
                <w:snapToGrid w:val="0"/>
                <w:color w:val="auto"/>
                <w:spacing w:val="-3"/>
                <w:highlight w:val="none"/>
              </w:rPr>
              <w:t>型号与规格</w:t>
            </w:r>
          </w:p>
        </w:tc>
        <w:tc>
          <w:tcPr>
            <w:tcW w:w="1864" w:type="dxa"/>
            <w:vAlign w:val="top"/>
          </w:tcPr>
          <w:p>
            <w:pPr>
              <w:pStyle w:val="160"/>
              <w:spacing w:before="34" w:line="220" w:lineRule="auto"/>
              <w:ind w:left="517"/>
              <w:rPr>
                <w:snapToGrid w:val="0"/>
                <w:color w:val="auto"/>
                <w:highlight w:val="none"/>
              </w:rPr>
            </w:pPr>
            <w:r>
              <w:rPr>
                <w:snapToGrid w:val="0"/>
                <w:color w:val="auto"/>
                <w:spacing w:val="-2"/>
                <w:highlight w:val="none"/>
              </w:rPr>
              <w:t>提供时间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992" w:type="dxa"/>
            <w:vAlign w:val="top"/>
          </w:tcPr>
          <w:p>
            <w:pPr>
              <w:pStyle w:val="160"/>
              <w:spacing w:before="30" w:line="222" w:lineRule="auto"/>
              <w:ind w:left="131"/>
              <w:rPr>
                <w:snapToGrid w:val="0"/>
                <w:color w:val="auto"/>
                <w:highlight w:val="none"/>
              </w:rPr>
            </w:pPr>
            <w:r>
              <w:rPr>
                <w:snapToGrid w:val="0"/>
                <w:color w:val="auto"/>
                <w:spacing w:val="-5"/>
                <w:highlight w:val="none"/>
              </w:rPr>
              <w:t>1.</w:t>
            </w:r>
            <w:r>
              <w:rPr>
                <w:snapToGrid w:val="0"/>
                <w:color w:val="auto"/>
                <w:spacing w:val="8"/>
                <w:highlight w:val="none"/>
              </w:rPr>
              <w:t xml:space="preserve"> </w:t>
            </w:r>
            <w:r>
              <w:rPr>
                <w:snapToGrid w:val="0"/>
                <w:color w:val="auto"/>
                <w:spacing w:val="-5"/>
                <w:highlight w:val="none"/>
              </w:rPr>
              <w:t>通讯设备</w:t>
            </w:r>
          </w:p>
        </w:tc>
        <w:tc>
          <w:tcPr>
            <w:tcW w:w="1590" w:type="dxa"/>
            <w:vAlign w:val="top"/>
          </w:tcPr>
          <w:p>
            <w:pPr>
              <w:rPr>
                <w:rFonts w:ascii="Arial"/>
                <w:snapToGrid w:val="0"/>
                <w:color w:val="auto"/>
                <w:sz w:val="21"/>
                <w:highlight w:val="none"/>
              </w:rPr>
            </w:pPr>
          </w:p>
        </w:tc>
        <w:tc>
          <w:tcPr>
            <w:tcW w:w="2128" w:type="dxa"/>
            <w:vAlign w:val="top"/>
          </w:tcPr>
          <w:p>
            <w:pPr>
              <w:rPr>
                <w:rFonts w:ascii="Arial"/>
                <w:snapToGrid w:val="0"/>
                <w:color w:val="auto"/>
                <w:sz w:val="21"/>
                <w:highlight w:val="none"/>
              </w:rPr>
            </w:pPr>
          </w:p>
        </w:tc>
        <w:tc>
          <w:tcPr>
            <w:tcW w:w="1864"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992" w:type="dxa"/>
            <w:vAlign w:val="top"/>
          </w:tcPr>
          <w:p>
            <w:pPr>
              <w:pStyle w:val="160"/>
              <w:spacing w:before="31" w:line="221" w:lineRule="auto"/>
              <w:ind w:left="118"/>
              <w:rPr>
                <w:snapToGrid w:val="0"/>
                <w:color w:val="auto"/>
                <w:highlight w:val="none"/>
              </w:rPr>
            </w:pPr>
            <w:r>
              <w:rPr>
                <w:snapToGrid w:val="0"/>
                <w:color w:val="auto"/>
                <w:spacing w:val="-4"/>
                <w:highlight w:val="none"/>
              </w:rPr>
              <w:t>2.</w:t>
            </w:r>
            <w:r>
              <w:rPr>
                <w:snapToGrid w:val="0"/>
                <w:color w:val="auto"/>
                <w:spacing w:val="15"/>
                <w:highlight w:val="none"/>
              </w:rPr>
              <w:t xml:space="preserve"> </w:t>
            </w:r>
            <w:r>
              <w:rPr>
                <w:snapToGrid w:val="0"/>
                <w:color w:val="auto"/>
                <w:spacing w:val="-4"/>
                <w:highlight w:val="none"/>
              </w:rPr>
              <w:t>办公设备</w:t>
            </w:r>
          </w:p>
        </w:tc>
        <w:tc>
          <w:tcPr>
            <w:tcW w:w="1590" w:type="dxa"/>
            <w:vAlign w:val="top"/>
          </w:tcPr>
          <w:p>
            <w:pPr>
              <w:rPr>
                <w:rFonts w:ascii="Arial"/>
                <w:snapToGrid w:val="0"/>
                <w:color w:val="auto"/>
                <w:sz w:val="21"/>
                <w:highlight w:val="none"/>
              </w:rPr>
            </w:pPr>
          </w:p>
        </w:tc>
        <w:tc>
          <w:tcPr>
            <w:tcW w:w="2128" w:type="dxa"/>
            <w:vAlign w:val="top"/>
          </w:tcPr>
          <w:p>
            <w:pPr>
              <w:rPr>
                <w:rFonts w:ascii="Arial"/>
                <w:snapToGrid w:val="0"/>
                <w:color w:val="auto"/>
                <w:sz w:val="21"/>
                <w:highlight w:val="none"/>
              </w:rPr>
            </w:pPr>
          </w:p>
        </w:tc>
        <w:tc>
          <w:tcPr>
            <w:tcW w:w="1864"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992" w:type="dxa"/>
            <w:vAlign w:val="top"/>
          </w:tcPr>
          <w:p>
            <w:pPr>
              <w:pStyle w:val="160"/>
              <w:spacing w:before="34" w:line="222" w:lineRule="auto"/>
              <w:ind w:left="120"/>
              <w:rPr>
                <w:snapToGrid w:val="0"/>
                <w:color w:val="auto"/>
                <w:highlight w:val="none"/>
              </w:rPr>
            </w:pPr>
            <w:r>
              <w:rPr>
                <w:snapToGrid w:val="0"/>
                <w:color w:val="auto"/>
                <w:spacing w:val="-4"/>
                <w:highlight w:val="none"/>
              </w:rPr>
              <w:t>3.</w:t>
            </w:r>
            <w:r>
              <w:rPr>
                <w:snapToGrid w:val="0"/>
                <w:color w:val="auto"/>
                <w:spacing w:val="13"/>
                <w:highlight w:val="none"/>
              </w:rPr>
              <w:t xml:space="preserve"> </w:t>
            </w:r>
            <w:r>
              <w:rPr>
                <w:snapToGrid w:val="0"/>
                <w:color w:val="auto"/>
                <w:spacing w:val="-4"/>
                <w:highlight w:val="none"/>
              </w:rPr>
              <w:t>交通工具</w:t>
            </w:r>
          </w:p>
        </w:tc>
        <w:tc>
          <w:tcPr>
            <w:tcW w:w="1590" w:type="dxa"/>
            <w:vAlign w:val="top"/>
          </w:tcPr>
          <w:p>
            <w:pPr>
              <w:rPr>
                <w:rFonts w:ascii="Arial"/>
                <w:snapToGrid w:val="0"/>
                <w:color w:val="auto"/>
                <w:sz w:val="21"/>
                <w:highlight w:val="none"/>
              </w:rPr>
            </w:pPr>
          </w:p>
        </w:tc>
        <w:tc>
          <w:tcPr>
            <w:tcW w:w="2128" w:type="dxa"/>
            <w:vAlign w:val="top"/>
          </w:tcPr>
          <w:p>
            <w:pPr>
              <w:rPr>
                <w:rFonts w:ascii="Arial"/>
                <w:snapToGrid w:val="0"/>
                <w:color w:val="auto"/>
                <w:sz w:val="21"/>
                <w:highlight w:val="none"/>
              </w:rPr>
            </w:pPr>
          </w:p>
        </w:tc>
        <w:tc>
          <w:tcPr>
            <w:tcW w:w="1864"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992" w:type="dxa"/>
            <w:vAlign w:val="top"/>
          </w:tcPr>
          <w:p>
            <w:pPr>
              <w:pStyle w:val="160"/>
              <w:spacing w:before="33" w:line="221" w:lineRule="auto"/>
              <w:ind w:left="115"/>
              <w:rPr>
                <w:snapToGrid w:val="0"/>
                <w:color w:val="auto"/>
                <w:highlight w:val="none"/>
              </w:rPr>
            </w:pPr>
            <w:r>
              <w:rPr>
                <w:snapToGrid w:val="0"/>
                <w:color w:val="auto"/>
                <w:spacing w:val="-1"/>
                <w:highlight w:val="none"/>
              </w:rPr>
              <w:t>4. 检测和试验设备</w:t>
            </w:r>
          </w:p>
        </w:tc>
        <w:tc>
          <w:tcPr>
            <w:tcW w:w="1590" w:type="dxa"/>
            <w:vAlign w:val="top"/>
          </w:tcPr>
          <w:p>
            <w:pPr>
              <w:rPr>
                <w:rFonts w:ascii="Arial"/>
                <w:snapToGrid w:val="0"/>
                <w:color w:val="auto"/>
                <w:sz w:val="21"/>
                <w:highlight w:val="none"/>
              </w:rPr>
            </w:pPr>
          </w:p>
        </w:tc>
        <w:tc>
          <w:tcPr>
            <w:tcW w:w="2128" w:type="dxa"/>
            <w:vAlign w:val="top"/>
          </w:tcPr>
          <w:p>
            <w:pPr>
              <w:rPr>
                <w:rFonts w:ascii="Arial"/>
                <w:snapToGrid w:val="0"/>
                <w:color w:val="auto"/>
                <w:sz w:val="21"/>
                <w:highlight w:val="none"/>
              </w:rPr>
            </w:pPr>
          </w:p>
        </w:tc>
        <w:tc>
          <w:tcPr>
            <w:tcW w:w="1864"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992" w:type="dxa"/>
            <w:vAlign w:val="top"/>
          </w:tcPr>
          <w:p>
            <w:pPr>
              <w:rPr>
                <w:rFonts w:ascii="Arial"/>
                <w:snapToGrid w:val="0"/>
                <w:color w:val="auto"/>
                <w:sz w:val="21"/>
                <w:highlight w:val="none"/>
              </w:rPr>
            </w:pPr>
          </w:p>
        </w:tc>
        <w:tc>
          <w:tcPr>
            <w:tcW w:w="1590" w:type="dxa"/>
            <w:vAlign w:val="top"/>
          </w:tcPr>
          <w:p>
            <w:pPr>
              <w:rPr>
                <w:rFonts w:ascii="Arial"/>
                <w:snapToGrid w:val="0"/>
                <w:color w:val="auto"/>
                <w:sz w:val="21"/>
                <w:highlight w:val="none"/>
              </w:rPr>
            </w:pPr>
          </w:p>
        </w:tc>
        <w:tc>
          <w:tcPr>
            <w:tcW w:w="2128" w:type="dxa"/>
            <w:vAlign w:val="top"/>
          </w:tcPr>
          <w:p>
            <w:pPr>
              <w:rPr>
                <w:rFonts w:ascii="Arial"/>
                <w:snapToGrid w:val="0"/>
                <w:color w:val="auto"/>
                <w:sz w:val="21"/>
                <w:highlight w:val="none"/>
              </w:rPr>
            </w:pPr>
          </w:p>
        </w:tc>
        <w:tc>
          <w:tcPr>
            <w:tcW w:w="1864" w:type="dxa"/>
            <w:vAlign w:val="top"/>
          </w:tcPr>
          <w:p>
            <w:pPr>
              <w:rPr>
                <w:rFonts w:ascii="Arial"/>
                <w:snapToGrid w:val="0"/>
                <w:color w:val="auto"/>
                <w:sz w:val="21"/>
                <w:highlight w:val="none"/>
              </w:rPr>
            </w:pPr>
          </w:p>
        </w:tc>
      </w:tr>
    </w:tbl>
    <w:p>
      <w:pPr>
        <w:pStyle w:val="17"/>
        <w:rPr>
          <w:color w:val="auto"/>
          <w:highlight w:val="none"/>
        </w:rPr>
      </w:pPr>
    </w:p>
    <w:p>
      <w:pPr>
        <w:rPr>
          <w:color w:val="auto"/>
          <w:highlight w:val="none"/>
        </w:rPr>
        <w:sectPr>
          <w:footerReference r:id="rId17" w:type="default"/>
          <w:pgSz w:w="11900" w:h="16820"/>
          <w:pgMar w:top="1440" w:right="1080" w:bottom="1440" w:left="1080" w:header="0" w:footer="722" w:gutter="0"/>
          <w:pgNumType w:fmt="decimal"/>
          <w:cols w:space="720" w:num="1"/>
        </w:sectPr>
      </w:pPr>
    </w:p>
    <w:p>
      <w:pPr>
        <w:pStyle w:val="17"/>
        <w:spacing w:line="244" w:lineRule="auto"/>
        <w:rPr>
          <w:color w:val="auto"/>
          <w:highlight w:val="none"/>
        </w:rPr>
      </w:pPr>
    </w:p>
    <w:p>
      <w:pPr>
        <w:pStyle w:val="17"/>
        <w:spacing w:line="244" w:lineRule="auto"/>
        <w:rPr>
          <w:color w:val="auto"/>
          <w:highlight w:val="none"/>
        </w:rPr>
      </w:pPr>
    </w:p>
    <w:p>
      <w:pPr>
        <w:pStyle w:val="17"/>
        <w:spacing w:line="245" w:lineRule="auto"/>
        <w:rPr>
          <w:color w:val="auto"/>
          <w:highlight w:val="none"/>
        </w:rPr>
      </w:pPr>
    </w:p>
    <w:p>
      <w:pPr>
        <w:pStyle w:val="17"/>
        <w:spacing w:line="245" w:lineRule="auto"/>
        <w:rPr>
          <w:color w:val="auto"/>
          <w:highlight w:val="none"/>
        </w:rPr>
      </w:pPr>
    </w:p>
    <w:p>
      <w:pPr>
        <w:pStyle w:val="17"/>
        <w:spacing w:line="245" w:lineRule="auto"/>
        <w:rPr>
          <w:color w:val="auto"/>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ind w:firstLine="643"/>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p>
    <w:p>
      <w:pPr>
        <w:pageBreakBefore w:val="0"/>
        <w:kinsoku/>
        <w:wordWrap w:val="0"/>
        <w:topLinePunct w:val="0"/>
        <w:bidi w:val="0"/>
        <w:spacing w:line="440" w:lineRule="atLeast"/>
        <w:ind w:firstLine="643"/>
        <w:jc w:val="center"/>
        <w:outlineLvl w:val="0"/>
        <w:rPr>
          <w:rFonts w:ascii="宋体" w:hAnsi="宋体" w:cs="宋体"/>
          <w:b/>
          <w:color w:val="auto"/>
          <w:kern w:val="0"/>
          <w:sz w:val="32"/>
          <w:szCs w:val="32"/>
          <w:highlight w:val="none"/>
        </w:rPr>
      </w:pPr>
      <w:bookmarkStart w:id="44" w:name="_Toc12394"/>
      <w:r>
        <w:rPr>
          <w:rFonts w:hint="eastAsia" w:ascii="宋体" w:hAnsi="宋体" w:cs="宋体"/>
          <w:b/>
          <w:color w:val="auto"/>
          <w:kern w:val="0"/>
          <w:sz w:val="32"/>
          <w:szCs w:val="32"/>
          <w:highlight w:val="none"/>
        </w:rPr>
        <w:t>第六章 响应文件（格式）</w:t>
      </w:r>
      <w:bookmarkEnd w:id="44"/>
    </w:p>
    <w:p>
      <w:pPr>
        <w:pageBreakBefore w:val="0"/>
        <w:kinsoku/>
        <w:wordWrap w:val="0"/>
        <w:topLinePunct w:val="0"/>
        <w:bidi w:val="0"/>
        <w:ind w:firstLine="643"/>
        <w:rPr>
          <w:rFonts w:ascii="宋体" w:hAnsi="宋体" w:cs="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bookmarkStart w:id="45" w:name="_Toc28692"/>
      <w:bookmarkStart w:id="46" w:name="_Toc82016594"/>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ind w:firstLine="643"/>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一、响应文件封面标记</w:t>
      </w:r>
      <w:bookmarkEnd w:id="45"/>
      <w:bookmarkEnd w:id="46"/>
    </w:p>
    <w:p>
      <w:pPr>
        <w:pageBreakBefore w:val="0"/>
        <w:kinsoku/>
        <w:wordWrap w:val="0"/>
        <w:topLinePunct w:val="0"/>
        <w:bidi w:val="0"/>
        <w:snapToGrid w:val="0"/>
        <w:spacing w:beforeLines="50" w:after="50"/>
        <w:ind w:firstLine="640"/>
        <w:jc w:val="center"/>
        <w:rPr>
          <w:rFonts w:ascii="宋体" w:hAnsi="宋体" w:cs="宋体"/>
          <w:bCs/>
          <w:color w:val="auto"/>
          <w:kern w:val="0"/>
          <w:sz w:val="32"/>
          <w:szCs w:val="32"/>
          <w:highlight w:val="none"/>
        </w:rPr>
      </w:pPr>
    </w:p>
    <w:p>
      <w:pPr>
        <w:pageBreakBefore w:val="0"/>
        <w:kinsoku/>
        <w:wordWrap w:val="0"/>
        <w:topLinePunct w:val="0"/>
        <w:bidi w:val="0"/>
        <w:snapToGrid w:val="0"/>
        <w:spacing w:beforeLines="50" w:after="50"/>
        <w:ind w:firstLine="1446"/>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响 应 文 件</w:t>
      </w:r>
    </w:p>
    <w:p>
      <w:pPr>
        <w:pageBreakBefore w:val="0"/>
        <w:kinsoku/>
        <w:wordWrap w:val="0"/>
        <w:topLinePunct w:val="0"/>
        <w:bidi w:val="0"/>
        <w:snapToGrid w:val="0"/>
        <w:spacing w:beforeLines="50" w:after="50"/>
        <w:ind w:firstLine="480"/>
        <w:rPr>
          <w:rFonts w:ascii="宋体" w:hAnsi="宋体" w:cs="宋体"/>
          <w:bCs/>
          <w:color w:val="auto"/>
          <w:kern w:val="0"/>
          <w:sz w:val="24"/>
          <w:szCs w:val="20"/>
          <w:highlight w:val="none"/>
        </w:rPr>
      </w:pPr>
    </w:p>
    <w:p>
      <w:pPr>
        <w:pageBreakBefore w:val="0"/>
        <w:kinsoku/>
        <w:wordWrap w:val="0"/>
        <w:topLinePunct w:val="0"/>
        <w:bidi w:val="0"/>
        <w:snapToGrid w:val="0"/>
        <w:spacing w:beforeLines="300" w:after="50"/>
        <w:ind w:firstLine="360" w:firstLineChars="150"/>
        <w:rPr>
          <w:rFonts w:ascii="宋体" w:hAnsi="宋体" w:cs="宋体"/>
          <w:bCs/>
          <w:color w:val="auto"/>
          <w:kern w:val="0"/>
          <w:sz w:val="24"/>
          <w:highlight w:val="none"/>
        </w:rPr>
      </w:pPr>
      <w:r>
        <w:rPr>
          <w:rFonts w:hint="eastAsia" w:ascii="宋体" w:hAnsi="宋体" w:cs="宋体"/>
          <w:bCs/>
          <w:color w:val="auto"/>
          <w:kern w:val="0"/>
          <w:sz w:val="24"/>
          <w:highlight w:val="none"/>
        </w:rPr>
        <w:t>项目编号：</w:t>
      </w:r>
    </w:p>
    <w:p>
      <w:pPr>
        <w:pageBreakBefore w:val="0"/>
        <w:kinsoku/>
        <w:wordWrap w:val="0"/>
        <w:topLinePunct w:val="0"/>
        <w:bidi w:val="0"/>
        <w:snapToGrid w:val="0"/>
        <w:spacing w:beforeLines="300" w:after="50"/>
        <w:ind w:firstLine="360" w:firstLineChars="150"/>
        <w:rPr>
          <w:rFonts w:ascii="宋体" w:hAnsi="宋体" w:cs="宋体"/>
          <w:bCs/>
          <w:color w:val="auto"/>
          <w:kern w:val="0"/>
          <w:sz w:val="24"/>
          <w:highlight w:val="none"/>
        </w:rPr>
      </w:pPr>
      <w:r>
        <w:rPr>
          <w:rFonts w:hint="eastAsia" w:ascii="宋体" w:hAnsi="宋体" w:cs="宋体"/>
          <w:bCs/>
          <w:color w:val="auto"/>
          <w:kern w:val="0"/>
          <w:sz w:val="24"/>
          <w:highlight w:val="none"/>
        </w:rPr>
        <w:t>项目名称：</w:t>
      </w:r>
    </w:p>
    <w:p>
      <w:pPr>
        <w:pageBreakBefore w:val="0"/>
        <w:kinsoku/>
        <w:wordWrap w:val="0"/>
        <w:topLinePunct w:val="0"/>
        <w:bidi w:val="0"/>
        <w:snapToGrid w:val="0"/>
        <w:spacing w:beforeLines="300" w:after="50"/>
        <w:ind w:firstLine="360" w:firstLineChars="150"/>
        <w:rPr>
          <w:rFonts w:ascii="宋体" w:hAnsi="宋体" w:cs="宋体"/>
          <w:bCs/>
          <w:color w:val="auto"/>
          <w:kern w:val="0"/>
          <w:sz w:val="24"/>
          <w:highlight w:val="none"/>
        </w:rPr>
      </w:pPr>
      <w:r>
        <w:rPr>
          <w:rFonts w:hint="eastAsia" w:ascii="宋体" w:hAnsi="宋体" w:cs="宋体"/>
          <w:bCs/>
          <w:color w:val="auto"/>
          <w:kern w:val="0"/>
          <w:sz w:val="24"/>
          <w:highlight w:val="none"/>
        </w:rPr>
        <w:t>采购代理机构：广西华诚达建设项目管理有限公司</w:t>
      </w:r>
    </w:p>
    <w:p>
      <w:pPr>
        <w:pageBreakBefore w:val="0"/>
        <w:kinsoku/>
        <w:wordWrap w:val="0"/>
        <w:topLinePunct w:val="0"/>
        <w:bidi w:val="0"/>
        <w:snapToGrid w:val="0"/>
        <w:spacing w:beforeLines="300" w:after="50"/>
        <w:ind w:firstLine="360" w:firstLineChars="150"/>
        <w:rPr>
          <w:rFonts w:ascii="宋体" w:hAnsi="宋体" w:cs="宋体"/>
          <w:bCs/>
          <w:color w:val="auto"/>
          <w:kern w:val="0"/>
          <w:sz w:val="24"/>
          <w:highlight w:val="none"/>
        </w:rPr>
      </w:pPr>
      <w:r>
        <w:rPr>
          <w:rFonts w:hint="eastAsia" w:ascii="宋体" w:hAnsi="宋体" w:cs="宋体"/>
          <w:bCs/>
          <w:color w:val="auto"/>
          <w:kern w:val="0"/>
          <w:sz w:val="24"/>
          <w:highlight w:val="none"/>
        </w:rPr>
        <w:t>供应商名称：</w:t>
      </w:r>
    </w:p>
    <w:p>
      <w:pPr>
        <w:pageBreakBefore w:val="0"/>
        <w:kinsoku/>
        <w:wordWrap w:val="0"/>
        <w:topLinePunct w:val="0"/>
        <w:bidi w:val="0"/>
        <w:snapToGrid w:val="0"/>
        <w:spacing w:beforeLines="50" w:after="50"/>
        <w:ind w:firstLine="360" w:firstLineChars="150"/>
        <w:rPr>
          <w:rFonts w:ascii="宋体" w:hAnsi="宋体"/>
          <w:bCs/>
          <w:color w:val="auto"/>
          <w:kern w:val="0"/>
          <w:sz w:val="24"/>
          <w:highlight w:val="none"/>
        </w:rPr>
      </w:pPr>
    </w:p>
    <w:p>
      <w:pPr>
        <w:pageBreakBefore w:val="0"/>
        <w:kinsoku/>
        <w:wordWrap w:val="0"/>
        <w:topLinePunct w:val="0"/>
        <w:bidi w:val="0"/>
        <w:snapToGrid w:val="0"/>
        <w:spacing w:beforeLines="50" w:after="50"/>
        <w:ind w:firstLine="360" w:firstLineChars="150"/>
        <w:rPr>
          <w:rFonts w:ascii="宋体" w:hAnsi="宋体"/>
          <w:bCs/>
          <w:color w:val="auto"/>
          <w:kern w:val="0"/>
          <w:sz w:val="24"/>
          <w:highlight w:val="none"/>
        </w:rPr>
      </w:pPr>
    </w:p>
    <w:p>
      <w:pPr>
        <w:pageBreakBefore w:val="0"/>
        <w:kinsoku/>
        <w:wordWrap w:val="0"/>
        <w:topLinePunct w:val="0"/>
        <w:bidi w:val="0"/>
        <w:spacing w:line="440" w:lineRule="atLeast"/>
        <w:ind w:firstLine="643"/>
        <w:rPr>
          <w:rFonts w:ascii="宋体" w:hAnsi="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p>
    <w:p>
      <w:pPr>
        <w:pageBreakBefore w:val="0"/>
        <w:kinsoku/>
        <w:wordWrap w:val="0"/>
        <w:topLinePunct w:val="0"/>
        <w:bidi w:val="0"/>
        <w:ind w:firstLine="643"/>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pageBreakBefore w:val="0"/>
        <w:kinsoku/>
        <w:wordWrap w:val="0"/>
        <w:topLinePunct w:val="0"/>
        <w:bidi w:val="0"/>
        <w:spacing w:line="400" w:lineRule="exact"/>
        <w:ind w:firstLine="643"/>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二、响应文件组成</w:t>
      </w:r>
    </w:p>
    <w:p>
      <w:pPr>
        <w:pageBreakBefore w:val="0"/>
        <w:kinsoku/>
        <w:wordWrap w:val="0"/>
        <w:topLinePunct w:val="0"/>
        <w:bidi w:val="0"/>
        <w:spacing w:line="400" w:lineRule="exact"/>
        <w:ind w:firstLine="482"/>
        <w:rPr>
          <w:rFonts w:ascii="宋体" w:hAnsi="宋体" w:cs="宋体"/>
          <w:b/>
          <w:bCs/>
          <w:color w:val="auto"/>
          <w:kern w:val="0"/>
          <w:sz w:val="24"/>
          <w:highlight w:val="none"/>
        </w:rPr>
      </w:pPr>
    </w:p>
    <w:p>
      <w:pPr>
        <w:pageBreakBefore w:val="0"/>
        <w:kinsoku/>
        <w:wordWrap w:val="0"/>
        <w:topLinePunct w:val="0"/>
        <w:bidi w:val="0"/>
        <w:spacing w:line="400" w:lineRule="exact"/>
        <w:ind w:firstLine="482"/>
        <w:rPr>
          <w:rFonts w:ascii="宋体" w:hAnsi="宋体" w:cs="宋体"/>
          <w:b/>
          <w:bCs/>
          <w:color w:val="auto"/>
          <w:kern w:val="0"/>
          <w:sz w:val="24"/>
          <w:highlight w:val="none"/>
        </w:rPr>
      </w:pPr>
    </w:p>
    <w:p>
      <w:pPr>
        <w:pageBreakBefore w:val="0"/>
        <w:kinsoku/>
        <w:wordWrap w:val="0"/>
        <w:topLinePunct w:val="0"/>
        <w:bidi w:val="0"/>
        <w:spacing w:line="400" w:lineRule="exact"/>
        <w:ind w:firstLine="482"/>
        <w:rPr>
          <w:rFonts w:ascii="宋体" w:hAnsi="宋体" w:cs="宋体"/>
          <w:b/>
          <w:bCs/>
          <w:color w:val="auto"/>
          <w:kern w:val="0"/>
          <w:sz w:val="24"/>
          <w:highlight w:val="none"/>
        </w:rPr>
      </w:pPr>
      <w:r>
        <w:rPr>
          <w:rFonts w:hint="eastAsia" w:ascii="宋体" w:hAnsi="宋体" w:cs="宋体"/>
          <w:b/>
          <w:bCs/>
          <w:color w:val="auto"/>
          <w:kern w:val="0"/>
          <w:sz w:val="24"/>
          <w:highlight w:val="none"/>
        </w:rPr>
        <w:t>（一）</w:t>
      </w:r>
      <w:r>
        <w:rPr>
          <w:rFonts w:hint="eastAsia" w:ascii="宋体" w:hAnsi="宋体" w:cs="宋体"/>
          <w:b/>
          <w:color w:val="auto"/>
          <w:kern w:val="0"/>
          <w:sz w:val="32"/>
          <w:szCs w:val="32"/>
          <w:highlight w:val="none"/>
        </w:rPr>
        <w:t>资格性响应证明材料</w:t>
      </w:r>
    </w:p>
    <w:p>
      <w:pPr>
        <w:pageBreakBefore w:val="0"/>
        <w:kinsoku/>
        <w:wordWrap w:val="0"/>
        <w:topLinePunct w:val="0"/>
        <w:bidi w:val="0"/>
        <w:spacing w:line="400" w:lineRule="exact"/>
        <w:ind w:firstLine="482"/>
        <w:rPr>
          <w:rFonts w:ascii="宋体" w:hAnsi="宋体" w:cs="宋体"/>
          <w:b/>
          <w:bCs/>
          <w:color w:val="auto"/>
          <w:kern w:val="0"/>
          <w:sz w:val="24"/>
          <w:highlight w:val="none"/>
        </w:rPr>
      </w:pPr>
    </w:p>
    <w:p>
      <w:pPr>
        <w:pageBreakBefore w:val="0"/>
        <w:kinsoku/>
        <w:wordWrap w:val="0"/>
        <w:topLinePunct w:val="0"/>
        <w:bidi w:val="0"/>
        <w:spacing w:line="400" w:lineRule="exact"/>
        <w:ind w:firstLine="482"/>
        <w:rPr>
          <w:rFonts w:ascii="宋体" w:hAnsi="宋体" w:cs="宋体"/>
          <w:b/>
          <w:bCs/>
          <w:color w:val="auto"/>
          <w:kern w:val="0"/>
          <w:sz w:val="24"/>
          <w:highlight w:val="none"/>
        </w:rPr>
      </w:pPr>
    </w:p>
    <w:p>
      <w:pPr>
        <w:pageBreakBefore w:val="0"/>
        <w:kinsoku/>
        <w:wordWrap w:val="0"/>
        <w:topLinePunct w:val="0"/>
        <w:bidi w:val="0"/>
        <w:spacing w:line="400" w:lineRule="exact"/>
        <w:ind w:firstLine="482"/>
        <w:rPr>
          <w:rFonts w:ascii="宋体" w:hAnsi="宋体" w:cs="宋体"/>
          <w:b/>
          <w:bCs/>
          <w:color w:val="auto"/>
          <w:kern w:val="0"/>
          <w:sz w:val="24"/>
          <w:highlight w:val="none"/>
        </w:rPr>
      </w:pPr>
    </w:p>
    <w:p>
      <w:pPr>
        <w:pageBreakBefore w:val="0"/>
        <w:kinsoku/>
        <w:wordWrap w:val="0"/>
        <w:topLinePunct w:val="0"/>
        <w:bidi w:val="0"/>
        <w:spacing w:line="400" w:lineRule="exact"/>
        <w:ind w:firstLine="482"/>
        <w:rPr>
          <w:rFonts w:ascii="宋体" w:hAnsi="宋体" w:cs="宋体"/>
          <w:b/>
          <w:bCs/>
          <w:color w:val="auto"/>
          <w:kern w:val="0"/>
          <w:sz w:val="24"/>
          <w:highlight w:val="none"/>
        </w:rPr>
      </w:pPr>
      <w:r>
        <w:rPr>
          <w:rFonts w:hint="eastAsia" w:ascii="宋体" w:hAnsi="宋体" w:cs="宋体"/>
          <w:b/>
          <w:bCs/>
          <w:color w:val="auto"/>
          <w:kern w:val="0"/>
          <w:sz w:val="24"/>
          <w:highlight w:val="none"/>
        </w:rPr>
        <w:t>（二）</w:t>
      </w:r>
      <w:r>
        <w:rPr>
          <w:rFonts w:hint="eastAsia" w:ascii="宋体" w:hAnsi="宋体" w:cs="宋体"/>
          <w:b/>
          <w:color w:val="auto"/>
          <w:kern w:val="0"/>
          <w:sz w:val="32"/>
          <w:szCs w:val="32"/>
          <w:highlight w:val="none"/>
        </w:rPr>
        <w:t>符合性响应证明材料</w:t>
      </w:r>
    </w:p>
    <w:p>
      <w:pPr>
        <w:pageBreakBefore w:val="0"/>
        <w:kinsoku/>
        <w:wordWrap w:val="0"/>
        <w:topLinePunct w:val="0"/>
        <w:bidi w:val="0"/>
        <w:spacing w:line="400" w:lineRule="exact"/>
        <w:ind w:firstLine="482"/>
        <w:rPr>
          <w:rFonts w:ascii="宋体" w:hAnsi="宋体" w:cs="宋体"/>
          <w:b/>
          <w:bCs/>
          <w:color w:val="auto"/>
          <w:kern w:val="0"/>
          <w:sz w:val="24"/>
          <w:highlight w:val="none"/>
        </w:rPr>
      </w:pPr>
    </w:p>
    <w:p>
      <w:pPr>
        <w:pageBreakBefore w:val="0"/>
        <w:kinsoku/>
        <w:wordWrap w:val="0"/>
        <w:topLinePunct w:val="0"/>
        <w:bidi w:val="0"/>
        <w:spacing w:line="400" w:lineRule="exact"/>
        <w:ind w:firstLine="482"/>
        <w:rPr>
          <w:rFonts w:ascii="宋体" w:hAnsi="宋体" w:cs="宋体"/>
          <w:b/>
          <w:bCs/>
          <w:color w:val="auto"/>
          <w:kern w:val="0"/>
          <w:sz w:val="24"/>
          <w:highlight w:val="none"/>
        </w:rPr>
      </w:pPr>
    </w:p>
    <w:p>
      <w:pPr>
        <w:pageBreakBefore w:val="0"/>
        <w:kinsoku/>
        <w:wordWrap w:val="0"/>
        <w:topLinePunct w:val="0"/>
        <w:bidi w:val="0"/>
        <w:spacing w:line="400" w:lineRule="exact"/>
        <w:ind w:firstLine="482"/>
        <w:rPr>
          <w:rFonts w:ascii="宋体" w:hAnsi="宋体" w:cs="宋体"/>
          <w:b/>
          <w:bCs/>
          <w:color w:val="auto"/>
          <w:kern w:val="0"/>
          <w:sz w:val="24"/>
          <w:highlight w:val="none"/>
        </w:rPr>
      </w:pPr>
    </w:p>
    <w:p>
      <w:pPr>
        <w:pageBreakBefore w:val="0"/>
        <w:kinsoku/>
        <w:wordWrap w:val="0"/>
        <w:topLinePunct w:val="0"/>
        <w:bidi w:val="0"/>
        <w:spacing w:line="400" w:lineRule="exact"/>
        <w:ind w:firstLine="482"/>
        <w:rPr>
          <w:rFonts w:ascii="宋体" w:hAnsi="宋体" w:cs="宋体"/>
          <w:b/>
          <w:bCs/>
          <w:color w:val="auto"/>
          <w:kern w:val="0"/>
          <w:sz w:val="24"/>
          <w:highlight w:val="none"/>
        </w:rPr>
      </w:pPr>
      <w:r>
        <w:rPr>
          <w:rFonts w:hint="eastAsia" w:ascii="宋体" w:hAnsi="宋体" w:cs="宋体"/>
          <w:b/>
          <w:bCs/>
          <w:color w:val="auto"/>
          <w:kern w:val="0"/>
          <w:sz w:val="24"/>
          <w:highlight w:val="none"/>
        </w:rPr>
        <w:t>（三）</w:t>
      </w:r>
      <w:r>
        <w:rPr>
          <w:rFonts w:hint="eastAsia" w:ascii="宋体" w:hAnsi="宋体" w:cs="宋体"/>
          <w:b/>
          <w:color w:val="auto"/>
          <w:kern w:val="0"/>
          <w:sz w:val="32"/>
          <w:szCs w:val="32"/>
          <w:highlight w:val="none"/>
        </w:rPr>
        <w:t>其它有效证明材料</w:t>
      </w:r>
    </w:p>
    <w:p>
      <w:pPr>
        <w:pageBreakBefore w:val="0"/>
        <w:kinsoku/>
        <w:wordWrap w:val="0"/>
        <w:topLinePunct w:val="0"/>
        <w:bidi w:val="0"/>
        <w:spacing w:line="400" w:lineRule="exact"/>
        <w:ind w:firstLine="643"/>
        <w:jc w:val="center"/>
        <w:rPr>
          <w:b/>
          <w:color w:val="auto"/>
          <w:sz w:val="32"/>
          <w:szCs w:val="32"/>
          <w:highlight w:val="none"/>
        </w:rPr>
      </w:pPr>
    </w:p>
    <w:p>
      <w:pPr>
        <w:pageBreakBefore w:val="0"/>
        <w:tabs>
          <w:tab w:val="left" w:pos="1305"/>
        </w:tabs>
        <w:kinsoku/>
        <w:wordWrap w:val="0"/>
        <w:topLinePunct w:val="0"/>
        <w:bidi w:val="0"/>
        <w:spacing w:line="520" w:lineRule="exact"/>
        <w:ind w:firstLine="803" w:firstLineChars="250"/>
        <w:rPr>
          <w:b/>
          <w:color w:val="auto"/>
          <w:sz w:val="32"/>
          <w:szCs w:val="32"/>
          <w:highlight w:val="none"/>
        </w:rPr>
      </w:pPr>
    </w:p>
    <w:p>
      <w:pPr>
        <w:pageBreakBefore w:val="0"/>
        <w:tabs>
          <w:tab w:val="left" w:pos="1305"/>
        </w:tabs>
        <w:kinsoku/>
        <w:wordWrap w:val="0"/>
        <w:topLinePunct w:val="0"/>
        <w:bidi w:val="0"/>
        <w:spacing w:line="520" w:lineRule="exact"/>
        <w:ind w:firstLine="803" w:firstLineChars="250"/>
        <w:rPr>
          <w:b/>
          <w:color w:val="auto"/>
          <w:sz w:val="32"/>
          <w:szCs w:val="32"/>
          <w:highlight w:val="none"/>
        </w:rPr>
      </w:pPr>
    </w:p>
    <w:p>
      <w:pPr>
        <w:pageBreakBefore w:val="0"/>
        <w:tabs>
          <w:tab w:val="left" w:pos="1305"/>
        </w:tabs>
        <w:kinsoku/>
        <w:wordWrap w:val="0"/>
        <w:topLinePunct w:val="0"/>
        <w:bidi w:val="0"/>
        <w:spacing w:line="520" w:lineRule="exact"/>
        <w:ind w:firstLine="803" w:firstLineChars="250"/>
        <w:rPr>
          <w:b/>
          <w:color w:val="auto"/>
          <w:sz w:val="32"/>
          <w:szCs w:val="32"/>
          <w:highlight w:val="none"/>
        </w:rPr>
      </w:pPr>
    </w:p>
    <w:p>
      <w:pPr>
        <w:pageBreakBefore w:val="0"/>
        <w:tabs>
          <w:tab w:val="left" w:pos="1305"/>
        </w:tabs>
        <w:kinsoku/>
        <w:wordWrap w:val="0"/>
        <w:topLinePunct w:val="0"/>
        <w:bidi w:val="0"/>
        <w:spacing w:line="520" w:lineRule="exact"/>
        <w:ind w:firstLine="803" w:firstLineChars="250"/>
        <w:rPr>
          <w:b/>
          <w:color w:val="auto"/>
          <w:sz w:val="32"/>
          <w:szCs w:val="32"/>
          <w:highlight w:val="none"/>
        </w:rPr>
      </w:pPr>
    </w:p>
    <w:p>
      <w:pPr>
        <w:pageBreakBefore w:val="0"/>
        <w:tabs>
          <w:tab w:val="left" w:pos="1305"/>
        </w:tabs>
        <w:kinsoku/>
        <w:wordWrap w:val="0"/>
        <w:topLinePunct w:val="0"/>
        <w:bidi w:val="0"/>
        <w:spacing w:line="520" w:lineRule="exact"/>
        <w:ind w:firstLine="803" w:firstLineChars="250"/>
        <w:rPr>
          <w:b/>
          <w:color w:val="auto"/>
          <w:sz w:val="32"/>
          <w:szCs w:val="32"/>
          <w:highlight w:val="none"/>
        </w:rPr>
      </w:pPr>
    </w:p>
    <w:p>
      <w:pPr>
        <w:pageBreakBefore w:val="0"/>
        <w:tabs>
          <w:tab w:val="left" w:pos="1305"/>
        </w:tabs>
        <w:kinsoku/>
        <w:wordWrap w:val="0"/>
        <w:topLinePunct w:val="0"/>
        <w:bidi w:val="0"/>
        <w:spacing w:line="520" w:lineRule="exact"/>
        <w:ind w:firstLine="803" w:firstLineChars="250"/>
        <w:rPr>
          <w:b/>
          <w:color w:val="auto"/>
          <w:sz w:val="32"/>
          <w:szCs w:val="32"/>
          <w:highlight w:val="none"/>
        </w:rPr>
      </w:pPr>
    </w:p>
    <w:p>
      <w:pPr>
        <w:pageBreakBefore w:val="0"/>
        <w:tabs>
          <w:tab w:val="left" w:pos="1305"/>
        </w:tabs>
        <w:kinsoku/>
        <w:wordWrap w:val="0"/>
        <w:topLinePunct w:val="0"/>
        <w:bidi w:val="0"/>
        <w:spacing w:line="520" w:lineRule="exact"/>
        <w:ind w:firstLine="803" w:firstLineChars="250"/>
        <w:rPr>
          <w:b/>
          <w:color w:val="auto"/>
          <w:sz w:val="32"/>
          <w:szCs w:val="32"/>
          <w:highlight w:val="none"/>
        </w:rPr>
      </w:pPr>
    </w:p>
    <w:p>
      <w:pPr>
        <w:pageBreakBefore w:val="0"/>
        <w:tabs>
          <w:tab w:val="left" w:pos="1305"/>
        </w:tabs>
        <w:kinsoku/>
        <w:wordWrap w:val="0"/>
        <w:topLinePunct w:val="0"/>
        <w:bidi w:val="0"/>
        <w:spacing w:line="520" w:lineRule="exact"/>
        <w:ind w:firstLine="643"/>
        <w:rPr>
          <w:b/>
          <w:color w:val="auto"/>
          <w:sz w:val="32"/>
          <w:szCs w:val="32"/>
          <w:highlight w:val="none"/>
        </w:rPr>
      </w:pPr>
    </w:p>
    <w:p>
      <w:pPr>
        <w:pageBreakBefore w:val="0"/>
        <w:tabs>
          <w:tab w:val="left" w:pos="1305"/>
        </w:tabs>
        <w:kinsoku/>
        <w:wordWrap w:val="0"/>
        <w:topLinePunct w:val="0"/>
        <w:bidi w:val="0"/>
        <w:spacing w:line="520" w:lineRule="exact"/>
        <w:ind w:firstLine="527" w:firstLineChars="250"/>
        <w:rPr>
          <w:rFonts w:ascii="宋体" w:hAnsi="宋体"/>
          <w:b/>
          <w:bCs/>
          <w:color w:val="auto"/>
          <w:szCs w:val="21"/>
          <w:highlight w:val="none"/>
        </w:rPr>
      </w:pPr>
      <w:r>
        <w:rPr>
          <w:rFonts w:hint="eastAsia" w:ascii="宋体" w:hAnsi="宋体"/>
          <w:b/>
          <w:bCs/>
          <w:color w:val="auto"/>
          <w:szCs w:val="21"/>
          <w:highlight w:val="none"/>
        </w:rPr>
        <w:t>　　　　　　　　　　</w:t>
      </w:r>
    </w:p>
    <w:p>
      <w:pPr>
        <w:pageBreakBefore w:val="0"/>
        <w:kinsoku/>
        <w:wordWrap w:val="0"/>
        <w:topLinePunct w:val="0"/>
        <w:bidi w:val="0"/>
        <w:ind w:firstLine="422"/>
        <w:rPr>
          <w:rFonts w:ascii="宋体" w:hAnsi="宋体"/>
          <w:b/>
          <w:bCs/>
          <w:color w:val="auto"/>
          <w:szCs w:val="21"/>
          <w:highlight w:val="none"/>
        </w:rPr>
      </w:pPr>
      <w:r>
        <w:rPr>
          <w:rFonts w:hint="eastAsia" w:ascii="宋体" w:hAnsi="宋体"/>
          <w:b/>
          <w:bCs/>
          <w:color w:val="auto"/>
          <w:szCs w:val="21"/>
          <w:highlight w:val="none"/>
        </w:rPr>
        <w:br w:type="page"/>
      </w:r>
    </w:p>
    <w:p>
      <w:pPr>
        <w:pageBreakBefore w:val="0"/>
        <w:tabs>
          <w:tab w:val="left" w:pos="1305"/>
        </w:tabs>
        <w:kinsoku/>
        <w:wordWrap w:val="0"/>
        <w:topLinePunct w:val="0"/>
        <w:bidi w:val="0"/>
        <w:spacing w:line="520" w:lineRule="exact"/>
        <w:ind w:firstLine="527" w:firstLineChars="250"/>
        <w:rPr>
          <w:rFonts w:ascii="宋体" w:hAnsi="宋体"/>
          <w:b/>
          <w:bCs/>
          <w:color w:val="auto"/>
          <w:sz w:val="32"/>
          <w:szCs w:val="32"/>
          <w:highlight w:val="none"/>
        </w:rPr>
      </w:pPr>
      <w:r>
        <w:rPr>
          <w:rFonts w:hint="eastAsia" w:ascii="宋体" w:hAnsi="宋体"/>
          <w:b/>
          <w:bCs/>
          <w:color w:val="auto"/>
          <w:szCs w:val="21"/>
          <w:highlight w:val="none"/>
        </w:rPr>
        <w:t xml:space="preserve">　                 </w:t>
      </w:r>
      <w:r>
        <w:rPr>
          <w:rFonts w:hint="eastAsia" w:ascii="宋体" w:hAnsi="宋体"/>
          <w:b/>
          <w:bCs/>
          <w:color w:val="auto"/>
          <w:sz w:val="32"/>
          <w:szCs w:val="32"/>
          <w:highlight w:val="none"/>
        </w:rPr>
        <w:t>（一）资格性响应证明材料</w:t>
      </w:r>
    </w:p>
    <w:p>
      <w:pPr>
        <w:pageBreakBefore w:val="0"/>
        <w:kinsoku/>
        <w:wordWrap w:val="0"/>
        <w:topLinePunct w:val="0"/>
        <w:bidi w:val="0"/>
        <w:spacing w:line="410" w:lineRule="exact"/>
        <w:ind w:firstLine="420" w:firstLineChars="200"/>
        <w:rPr>
          <w:rFonts w:ascii="宋体" w:hAnsi="宋体" w:cs="宋体"/>
          <w:color w:val="auto"/>
          <w:szCs w:val="21"/>
          <w:highlight w:val="none"/>
        </w:rPr>
      </w:pPr>
    </w:p>
    <w:p>
      <w:pPr>
        <w:pageBreakBefore w:val="0"/>
        <w:kinsoku/>
        <w:wordWrap w:val="0"/>
        <w:topLinePunct w:val="0"/>
        <w:bidi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pPr>
        <w:pageBreakBefore w:val="0"/>
        <w:kinsoku/>
        <w:wordWrap w:val="0"/>
        <w:topLinePunct w:val="0"/>
        <w:bidi w:val="0"/>
        <w:spacing w:line="50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2.供应商的授权委托书原件、委托代理人身份证正反面复印件以及由县级以上（含县级）社会养老保险经办机构出具的供应商为委托代理人</w:t>
      </w:r>
      <w:r>
        <w:rPr>
          <w:rFonts w:hint="eastAsia" w:ascii="宋体" w:hAnsi="宋体" w:cs="宋体"/>
          <w:color w:val="auto"/>
          <w:szCs w:val="21"/>
          <w:highlight w:val="none"/>
          <w:lang w:eastAsia="zh-CN"/>
        </w:rPr>
        <w:t>2024年以来任意连续三个月缴纳社保的证明材料复印件</w:t>
      </w:r>
      <w:r>
        <w:rPr>
          <w:rFonts w:hint="eastAsia" w:ascii="宋体" w:hAnsi="宋体" w:cs="宋体"/>
          <w:b/>
          <w:bCs/>
          <w:color w:val="auto"/>
          <w:szCs w:val="21"/>
          <w:highlight w:val="none"/>
        </w:rPr>
        <w:t>【属自然人的应提供由县级以上（含县级）社会养老保险经办机构出具的自然人本人及委托代理人</w:t>
      </w:r>
      <w:r>
        <w:rPr>
          <w:rFonts w:hint="eastAsia" w:ascii="宋体" w:hAnsi="宋体" w:cs="宋体"/>
          <w:b/>
          <w:bCs/>
          <w:color w:val="auto"/>
          <w:szCs w:val="21"/>
          <w:highlight w:val="none"/>
          <w:lang w:eastAsia="zh-CN"/>
        </w:rPr>
        <w:t>2024年以来任意连续三个月缴纳社保的证明材料复印件</w:t>
      </w:r>
      <w:r>
        <w:rPr>
          <w:rFonts w:hint="eastAsia" w:ascii="宋体" w:hAnsi="宋体" w:cs="宋体"/>
          <w:color w:val="auto"/>
          <w:szCs w:val="21"/>
          <w:highlight w:val="none"/>
        </w:rPr>
        <w:t>】</w:t>
      </w:r>
      <w:r>
        <w:rPr>
          <w:rFonts w:hint="eastAsia" w:ascii="宋体" w:hAnsi="宋体" w:cs="宋体"/>
          <w:b/>
          <w:bCs/>
          <w:color w:val="auto"/>
          <w:szCs w:val="21"/>
          <w:highlight w:val="none"/>
        </w:rPr>
        <w:t>（委托代理时必须提供）；</w:t>
      </w:r>
    </w:p>
    <w:p>
      <w:pPr>
        <w:pageBreakBefore w:val="0"/>
        <w:kinsoku/>
        <w:wordWrap w:val="0"/>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供应商为以下三种情形的除外：</w:t>
      </w:r>
      <w:r>
        <w:rPr>
          <w:rFonts w:ascii="宋体" w:hAnsi="宋体" w:cs="宋体"/>
          <w:color w:val="auto"/>
          <w:szCs w:val="21"/>
          <w:highlight w:val="none"/>
        </w:rPr>
        <w:t xml:space="preserve"> </w:t>
      </w:r>
    </w:p>
    <w:p>
      <w:pPr>
        <w:pageBreakBefore w:val="0"/>
        <w:kinsoku/>
        <w:wordWrap w:val="0"/>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pPr>
        <w:pageBreakBefore w:val="0"/>
        <w:kinsoku/>
        <w:wordWrap w:val="0"/>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pPr>
        <w:pageBreakBefore w:val="0"/>
        <w:kinsoku/>
        <w:wordWrap w:val="0"/>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pPr>
        <w:pageBreakBefore w:val="0"/>
        <w:kinsoku/>
        <w:wordWrap w:val="0"/>
        <w:topLinePunct w:val="0"/>
        <w:bidi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3.供应商的法人或者其他组织营业执照等证明文件复印件</w:t>
      </w:r>
      <w:r>
        <w:rPr>
          <w:rFonts w:hint="eastAsia" w:ascii="宋体" w:hAnsi="宋体" w:cs="宋体"/>
          <w:b/>
          <w:bCs/>
          <w:color w:val="auto"/>
          <w:szCs w:val="21"/>
          <w:highlight w:val="none"/>
        </w:rPr>
        <w:t>（必须提供，自然人除外）；</w:t>
      </w:r>
    </w:p>
    <w:p>
      <w:pPr>
        <w:pageBreakBefore w:val="0"/>
        <w:kinsoku/>
        <w:wordWrap w:val="0"/>
        <w:topLinePunct w:val="0"/>
        <w:bidi w:val="0"/>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ageBreakBefore w:val="0"/>
        <w:kinsoku/>
        <w:wordWrap w:val="0"/>
        <w:topLinePunct w:val="0"/>
        <w:bidi w:val="0"/>
        <w:spacing w:line="500" w:lineRule="exact"/>
        <w:rPr>
          <w:rFonts w:hint="eastAsia" w:ascii="宋体" w:hAnsi="宋体" w:eastAsia="宋体" w:cs="宋体"/>
          <w:b/>
          <w:color w:val="auto"/>
          <w:highlight w:val="none"/>
          <w:lang w:eastAsia="zh-CN"/>
        </w:rPr>
      </w:pPr>
      <w:r>
        <w:rPr>
          <w:rFonts w:hint="eastAsia" w:ascii="宋体" w:hAnsi="宋体" w:cs="宋体"/>
          <w:color w:val="auto"/>
          <w:highlight w:val="none"/>
        </w:rPr>
        <w:t xml:space="preserve">   4.</w:t>
      </w:r>
      <w:r>
        <w:rPr>
          <w:rFonts w:hint="eastAsia" w:ascii="宋体" w:hAnsi="宋体" w:cs="宋体"/>
          <w:color w:val="auto"/>
          <w:highlight w:val="none"/>
          <w:lang w:eastAsia="zh-CN"/>
        </w:rPr>
        <w:t>供应商的地质灾害防治单位证书监理类甲级资质证书复印件（必须提供）；</w:t>
      </w:r>
    </w:p>
    <w:p>
      <w:pPr>
        <w:pageBreakBefore w:val="0"/>
        <w:kinsoku/>
        <w:wordWrap w:val="0"/>
        <w:topLinePunct w:val="0"/>
        <w:bidi w:val="0"/>
        <w:spacing w:line="500" w:lineRule="exact"/>
        <w:rPr>
          <w:rFonts w:ascii="宋体" w:hAnsi="宋体" w:cs="宋体"/>
          <w:b/>
          <w:color w:val="auto"/>
          <w:highlight w:val="none"/>
        </w:rPr>
      </w:pPr>
      <w:r>
        <w:rPr>
          <w:rFonts w:hint="eastAsia" w:ascii="宋体" w:hAnsi="宋体" w:cs="宋体"/>
          <w:color w:val="auto"/>
          <w:kern w:val="0"/>
          <w:szCs w:val="21"/>
          <w:highlight w:val="none"/>
        </w:rPr>
        <w:t xml:space="preserve">   5.</w:t>
      </w:r>
      <w:r>
        <w:rPr>
          <w:rFonts w:hint="eastAsia" w:ascii="宋体" w:hAnsi="宋体" w:cs="宋体"/>
          <w:color w:val="auto"/>
          <w:highlight w:val="none"/>
        </w:rPr>
        <w:t>供应商</w:t>
      </w:r>
      <w:r>
        <w:rPr>
          <w:rFonts w:hint="eastAsia" w:ascii="宋体" w:hAnsi="宋体" w:cs="宋体"/>
          <w:color w:val="auto"/>
          <w:kern w:val="0"/>
          <w:szCs w:val="21"/>
          <w:highlight w:val="none"/>
        </w:rPr>
        <w:t>2021年以来任意年度内的财务状况报告复印件或财务报表复印件或2023年以来银行出具的资信证明复印件（若为新成立的企业，请根据实际情况提供</w:t>
      </w:r>
      <w:r>
        <w:rPr>
          <w:rFonts w:ascii="宋体" w:hAnsi="宋体" w:cs="宋体"/>
          <w:color w:val="auto"/>
          <w:kern w:val="0"/>
          <w:szCs w:val="21"/>
          <w:highlight w:val="none"/>
        </w:rPr>
        <w:t>）</w:t>
      </w:r>
      <w:r>
        <w:rPr>
          <w:rFonts w:hint="eastAsia" w:ascii="宋体" w:hAnsi="宋体" w:cs="宋体"/>
          <w:b/>
          <w:color w:val="auto"/>
          <w:kern w:val="0"/>
          <w:szCs w:val="21"/>
          <w:highlight w:val="none"/>
        </w:rPr>
        <w:t>（必须提供）；</w:t>
      </w:r>
    </w:p>
    <w:p>
      <w:pPr>
        <w:pageBreakBefore w:val="0"/>
        <w:kinsoku/>
        <w:wordWrap w:val="0"/>
        <w:topLinePunct w:val="0"/>
        <w:bidi w:val="0"/>
        <w:spacing w:line="500" w:lineRule="exact"/>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highlight w:val="none"/>
        </w:rPr>
        <w:t>供应商</w:t>
      </w:r>
      <w:r>
        <w:rPr>
          <w:rFonts w:hint="eastAsia" w:ascii="宋体" w:hAnsi="宋体" w:cs="宋体"/>
          <w:color w:val="auto"/>
          <w:kern w:val="0"/>
          <w:szCs w:val="21"/>
          <w:highlight w:val="none"/>
        </w:rPr>
        <w:t>2023年以来任意一个月依法缴纳税收的相关材料复印件(可以是银行已缴纳税费凭证复印件或第三方有效的相关业务托缴凭证复印件或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所在地税务部门出具的有效证明复印件；无纳税记录的，应提供由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所在地的税务部门出具的依法免税或准予延期缴税的证明，</w:t>
      </w:r>
      <w:r>
        <w:rPr>
          <w:rFonts w:hint="eastAsia" w:hAnsi="宋体"/>
          <w:color w:val="auto"/>
          <w:szCs w:val="21"/>
          <w:highlight w:val="none"/>
        </w:rPr>
        <w:t>若为新成立的企业，请根据实际情况提供</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（必须提供）；</w:t>
      </w:r>
    </w:p>
    <w:p>
      <w:pPr>
        <w:pageBreakBefore w:val="0"/>
        <w:tabs>
          <w:tab w:val="left" w:pos="1305"/>
        </w:tabs>
        <w:kinsoku/>
        <w:wordWrap w:val="0"/>
        <w:topLinePunct w:val="0"/>
        <w:bidi w:val="0"/>
        <w:spacing w:line="500" w:lineRule="exact"/>
        <w:rPr>
          <w:rFonts w:ascii="宋体" w:hAnsi="宋体"/>
          <w:color w:val="auto"/>
          <w:highlight w:val="none"/>
        </w:rPr>
      </w:pPr>
      <w:r>
        <w:rPr>
          <w:rFonts w:hint="eastAsia" w:ascii="宋体" w:hAnsi="宋体"/>
          <w:color w:val="auto"/>
          <w:highlight w:val="none"/>
        </w:rPr>
        <w:t>　　7.</w:t>
      </w:r>
      <w:r>
        <w:rPr>
          <w:rFonts w:hint="eastAsia" w:ascii="宋体" w:hAnsi="宋体" w:cs="宋体"/>
          <w:color w:val="auto"/>
          <w:highlight w:val="none"/>
        </w:rPr>
        <w:t>供应商</w:t>
      </w:r>
      <w:r>
        <w:rPr>
          <w:rFonts w:hint="eastAsia" w:ascii="宋体" w:hAnsi="宋体"/>
          <w:color w:val="auto"/>
          <w:highlight w:val="none"/>
        </w:rPr>
        <w:t>2023年以来任意一个月的依法缴纳社会保障资金的相关材料</w:t>
      </w:r>
      <w:r>
        <w:rPr>
          <w:rFonts w:hint="eastAsia" w:hAnsi="宋体"/>
          <w:color w:val="auto"/>
          <w:szCs w:val="21"/>
          <w:highlight w:val="none"/>
        </w:rPr>
        <w:t>（无缴费记录的，应提供由供应商所在地的行政主管部门出具的依法免缴社保费或准予延期缴纳社保费的证明，若为新成立的企业，请根据实际情况提供）</w:t>
      </w:r>
      <w:r>
        <w:rPr>
          <w:rFonts w:hint="eastAsia" w:ascii="宋体" w:hAnsi="宋体"/>
          <w:b/>
          <w:color w:val="auto"/>
          <w:highlight w:val="none"/>
        </w:rPr>
        <w:t>（必须提供）；</w:t>
      </w:r>
    </w:p>
    <w:p>
      <w:pPr>
        <w:pageBreakBefore w:val="0"/>
        <w:kinsoku/>
        <w:wordWrap w:val="0"/>
        <w:topLinePunct w:val="0"/>
        <w:bidi w:val="0"/>
        <w:spacing w:line="500" w:lineRule="exact"/>
        <w:rPr>
          <w:rFonts w:ascii="宋体" w:hAnsi="宋体" w:cs="宋体"/>
          <w:b/>
          <w:color w:val="auto"/>
          <w:kern w:val="0"/>
          <w:szCs w:val="21"/>
          <w:highlight w:val="none"/>
        </w:rPr>
      </w:pPr>
      <w:r>
        <w:rPr>
          <w:rFonts w:hint="eastAsia" w:ascii="宋体" w:hAnsi="宋体" w:cs="宋体"/>
          <w:color w:val="auto"/>
          <w:szCs w:val="21"/>
          <w:highlight w:val="none"/>
        </w:rPr>
        <w:t xml:space="preserve">    8.供应商参加政府采购活动前3年内在经营活动中没有重大违法记录及有关信用信息的书面声明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pPr>
        <w:pageBreakBefore w:val="0"/>
        <w:kinsoku/>
        <w:wordWrap w:val="0"/>
        <w:topLinePunct w:val="0"/>
        <w:bidi w:val="0"/>
        <w:spacing w:line="500" w:lineRule="exact"/>
        <w:ind w:firstLine="562"/>
        <w:rPr>
          <w:rFonts w:ascii="宋体" w:hAnsi="宋体" w:cs="宋体"/>
          <w:b/>
          <w:color w:val="auto"/>
          <w:sz w:val="28"/>
          <w:szCs w:val="28"/>
          <w:highlight w:val="none"/>
        </w:rPr>
      </w:pPr>
    </w:p>
    <w:p>
      <w:pPr>
        <w:pageBreakBefore w:val="0"/>
        <w:kinsoku/>
        <w:wordWrap w:val="0"/>
        <w:topLinePunct w:val="0"/>
        <w:bidi w:val="0"/>
        <w:spacing w:line="500" w:lineRule="exact"/>
        <w:ind w:firstLine="562"/>
        <w:rPr>
          <w:rFonts w:ascii="宋体" w:hAnsi="宋体" w:cs="宋体"/>
          <w:b/>
          <w:color w:val="auto"/>
          <w:sz w:val="28"/>
          <w:szCs w:val="28"/>
          <w:highlight w:val="none"/>
        </w:rPr>
      </w:pPr>
    </w:p>
    <w:p>
      <w:pPr>
        <w:pageBreakBefore w:val="0"/>
        <w:kinsoku/>
        <w:wordWrap w:val="0"/>
        <w:topLinePunct w:val="0"/>
        <w:bidi w:val="0"/>
        <w:spacing w:line="500" w:lineRule="exact"/>
        <w:ind w:firstLine="562"/>
        <w:rPr>
          <w:rFonts w:ascii="宋体" w:hAnsi="宋体" w:cs="宋体"/>
          <w:b/>
          <w:color w:val="auto"/>
          <w:sz w:val="28"/>
          <w:szCs w:val="28"/>
          <w:highlight w:val="none"/>
        </w:rPr>
      </w:pPr>
    </w:p>
    <w:p>
      <w:pPr>
        <w:pageBreakBefore w:val="0"/>
        <w:kinsoku/>
        <w:wordWrap w:val="0"/>
        <w:topLinePunct w:val="0"/>
        <w:bidi w:val="0"/>
        <w:spacing w:line="500" w:lineRule="exac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ageBreakBefore w:val="0"/>
        <w:kinsoku/>
        <w:wordWrap w:val="0"/>
        <w:topLinePunct w:val="0"/>
        <w:bidi w:val="0"/>
        <w:spacing w:line="440" w:lineRule="atLeast"/>
        <w:ind w:firstLine="602"/>
        <w:rPr>
          <w:rFonts w:ascii="宋体" w:hAnsi="宋体" w:cs="宋体"/>
          <w:b/>
          <w:color w:val="auto"/>
          <w:sz w:val="30"/>
          <w:szCs w:val="30"/>
          <w:highlight w:val="none"/>
        </w:rPr>
      </w:pPr>
      <w:r>
        <w:rPr>
          <w:rFonts w:hint="eastAsia" w:ascii="宋体" w:hAnsi="宋体" w:cs="宋体"/>
          <w:b/>
          <w:color w:val="auto"/>
          <w:sz w:val="30"/>
          <w:szCs w:val="30"/>
          <w:highlight w:val="none"/>
        </w:rPr>
        <w:t>1.供应商相应的法定代表人、负责人、自然人身份证正反两面复印件（必须提供）；</w:t>
      </w:r>
    </w:p>
    <w:p>
      <w:pPr>
        <w:pageBreakBefore w:val="0"/>
        <w:kinsoku/>
        <w:wordWrap w:val="0"/>
        <w:topLinePunct w:val="0"/>
        <w:bidi w:val="0"/>
        <w:spacing w:line="400" w:lineRule="exact"/>
        <w:ind w:firstLine="602"/>
        <w:rPr>
          <w:rFonts w:ascii="宋体" w:hAnsi="宋体" w:cs="宋体"/>
          <w:b/>
          <w:color w:val="auto"/>
          <w:sz w:val="30"/>
          <w:szCs w:val="30"/>
          <w:highlight w:val="none"/>
        </w:rPr>
      </w:pPr>
    </w:p>
    <w:p>
      <w:pPr>
        <w:pStyle w:val="40"/>
        <w:rPr>
          <w:rFonts w:ascii="宋体" w:hAnsi="宋体" w:cs="宋体"/>
          <w:b/>
          <w:color w:val="auto"/>
          <w:sz w:val="30"/>
          <w:szCs w:val="30"/>
          <w:highlight w:val="none"/>
        </w:rPr>
      </w:pPr>
    </w:p>
    <w:p>
      <w:pPr>
        <w:pStyle w:val="41"/>
        <w:rPr>
          <w:color w:val="auto"/>
          <w:highlight w:val="none"/>
        </w:rPr>
      </w:pPr>
    </w:p>
    <w:p>
      <w:pPr>
        <w:pageBreakBefore w:val="0"/>
        <w:kinsoku/>
        <w:wordWrap w:val="0"/>
        <w:topLinePunct w:val="0"/>
        <w:bidi w:val="0"/>
        <w:spacing w:line="420" w:lineRule="exact"/>
        <w:ind w:firstLine="601"/>
        <w:rPr>
          <w:rFonts w:ascii="宋体" w:hAnsi="宋体" w:cs="宋体"/>
          <w:b/>
          <w:color w:val="auto"/>
          <w:sz w:val="30"/>
          <w:szCs w:val="30"/>
          <w:highlight w:val="none"/>
        </w:rPr>
      </w:pPr>
      <w:r>
        <w:rPr>
          <w:rFonts w:hint="eastAsia" w:ascii="宋体" w:hAnsi="宋体" w:cs="宋体"/>
          <w:b/>
          <w:color w:val="auto"/>
          <w:sz w:val="30"/>
          <w:szCs w:val="30"/>
          <w:highlight w:val="none"/>
        </w:rPr>
        <w:t>2.供应商的授权委托书原件、委托代理人身份证正反面复印件以及由县级以上（含县级）社会养老保险经办机构出具的供应商为委托代理人</w:t>
      </w:r>
      <w:r>
        <w:rPr>
          <w:rFonts w:hint="eastAsia" w:ascii="宋体" w:hAnsi="宋体" w:cs="宋体"/>
          <w:b/>
          <w:color w:val="auto"/>
          <w:sz w:val="30"/>
          <w:szCs w:val="30"/>
          <w:highlight w:val="none"/>
          <w:lang w:eastAsia="zh-CN"/>
        </w:rPr>
        <w:t>2024年以来任意连续三个月缴纳社保的证明材料复印件</w:t>
      </w:r>
      <w:r>
        <w:rPr>
          <w:rFonts w:hint="eastAsia" w:ascii="宋体" w:hAnsi="宋体" w:cs="宋体"/>
          <w:b/>
          <w:color w:val="auto"/>
          <w:sz w:val="30"/>
          <w:szCs w:val="30"/>
          <w:highlight w:val="none"/>
        </w:rPr>
        <w:t>【属自然人的应提供由县级以上（含县级）社会养老保险经办机构出具的自然人本人及委托代理人</w:t>
      </w:r>
      <w:r>
        <w:rPr>
          <w:rFonts w:hint="eastAsia" w:ascii="宋体" w:hAnsi="宋体" w:cs="宋体"/>
          <w:b/>
          <w:color w:val="auto"/>
          <w:sz w:val="30"/>
          <w:szCs w:val="30"/>
          <w:highlight w:val="none"/>
          <w:lang w:eastAsia="zh-CN"/>
        </w:rPr>
        <w:t>2024年以来任意连续三个月缴纳社保的证明材料复印件</w:t>
      </w:r>
      <w:r>
        <w:rPr>
          <w:rFonts w:hint="eastAsia" w:ascii="宋体" w:hAnsi="宋体" w:cs="宋体"/>
          <w:b/>
          <w:color w:val="auto"/>
          <w:sz w:val="30"/>
          <w:szCs w:val="30"/>
          <w:highlight w:val="none"/>
        </w:rPr>
        <w:t>】（委托代理时必须提供）</w:t>
      </w:r>
    </w:p>
    <w:p>
      <w:pPr>
        <w:pageBreakBefore w:val="0"/>
        <w:kinsoku/>
        <w:wordWrap w:val="0"/>
        <w:topLinePunct w:val="0"/>
        <w:bidi w:val="0"/>
        <w:spacing w:line="400" w:lineRule="exact"/>
        <w:ind w:firstLine="482"/>
        <w:rPr>
          <w:rFonts w:ascii="宋体" w:hAnsi="宋体" w:cs="宋体"/>
          <w:b/>
          <w:color w:val="auto"/>
          <w:sz w:val="24"/>
          <w:highlight w:val="none"/>
        </w:rPr>
      </w:pPr>
      <w:r>
        <w:rPr>
          <w:rFonts w:hint="eastAsia" w:ascii="宋体" w:hAnsi="宋体" w:cs="宋体"/>
          <w:b/>
          <w:color w:val="auto"/>
          <w:sz w:val="24"/>
          <w:highlight w:val="none"/>
        </w:rPr>
        <w:t xml:space="preserve"> 供应商为以下三种情形的除外：</w:t>
      </w:r>
    </w:p>
    <w:p>
      <w:pPr>
        <w:pageBreakBefore w:val="0"/>
        <w:kinsoku/>
        <w:wordWrap w:val="0"/>
        <w:topLinePunct w:val="0"/>
        <w:bidi w:val="0"/>
        <w:spacing w:line="400" w:lineRule="exact"/>
        <w:ind w:firstLine="482"/>
        <w:rPr>
          <w:rFonts w:ascii="宋体" w:hAnsi="宋体" w:cs="宋体"/>
          <w:b/>
          <w:color w:val="auto"/>
          <w:sz w:val="24"/>
          <w:highlight w:val="none"/>
        </w:rPr>
      </w:pPr>
      <w:r>
        <w:rPr>
          <w:rFonts w:hint="eastAsia" w:ascii="宋体" w:hAnsi="宋体" w:cs="宋体"/>
          <w:b/>
          <w:color w:val="auto"/>
          <w:sz w:val="24"/>
          <w:highlight w:val="none"/>
        </w:rPr>
        <w:t>（1） 如供应商为截标时间前60日以内成立的公司，可以提供供应商与委托代理人签订的劳动合同复印件代替社保证明复印件；</w:t>
      </w:r>
    </w:p>
    <w:p>
      <w:pPr>
        <w:pageBreakBefore w:val="0"/>
        <w:kinsoku/>
        <w:wordWrap w:val="0"/>
        <w:topLinePunct w:val="0"/>
        <w:bidi w:val="0"/>
        <w:spacing w:line="400" w:lineRule="exact"/>
        <w:ind w:firstLine="482"/>
        <w:rPr>
          <w:rFonts w:ascii="宋体" w:hAnsi="宋体" w:cs="宋体"/>
          <w:b/>
          <w:color w:val="auto"/>
          <w:sz w:val="24"/>
          <w:highlight w:val="none"/>
        </w:rPr>
      </w:pPr>
      <w:r>
        <w:rPr>
          <w:rFonts w:hint="eastAsia" w:ascii="宋体" w:hAnsi="宋体" w:cs="宋体"/>
          <w:b/>
          <w:color w:val="auto"/>
          <w:sz w:val="24"/>
          <w:highlight w:val="none"/>
        </w:rPr>
        <w:t>（2）如供应商为事业单位，可以提供事业单位机构编制管理证复印件或事业单位机构为其发放工资的工资条复印件代替社保证明复印件；</w:t>
      </w:r>
    </w:p>
    <w:p>
      <w:pPr>
        <w:pageBreakBefore w:val="0"/>
        <w:kinsoku/>
        <w:wordWrap w:val="0"/>
        <w:topLinePunct w:val="0"/>
        <w:bidi w:val="0"/>
        <w:spacing w:line="400" w:lineRule="exact"/>
        <w:ind w:firstLine="482"/>
        <w:rPr>
          <w:rFonts w:ascii="宋体" w:hAnsi="宋体" w:cs="宋体"/>
          <w:b/>
          <w:color w:val="auto"/>
          <w:sz w:val="24"/>
          <w:highlight w:val="none"/>
        </w:rPr>
      </w:pPr>
      <w:r>
        <w:rPr>
          <w:rFonts w:hint="eastAsia" w:ascii="宋体" w:hAnsi="宋体" w:cs="宋体"/>
          <w:b/>
          <w:color w:val="auto"/>
          <w:sz w:val="24"/>
          <w:highlight w:val="none"/>
        </w:rPr>
        <w:t>（3）如委托代理人为免缴纳社保人员，提供免缴纳社保的证明材料复印件及供应商与委托代理人签订的劳动合同复印件代替社保证明复印件。</w:t>
      </w:r>
    </w:p>
    <w:p>
      <w:pPr>
        <w:pStyle w:val="19"/>
        <w:pageBreakBefore w:val="0"/>
        <w:kinsoku/>
        <w:wordWrap w:val="0"/>
        <w:topLinePunct w:val="0"/>
        <w:bidi w:val="0"/>
        <w:spacing w:line="400" w:lineRule="exact"/>
        <w:ind w:firstLine="643"/>
        <w:rPr>
          <w:rFonts w:hAnsi="宋体" w:cs="宋体"/>
          <w:b/>
          <w:color w:val="auto"/>
          <w:sz w:val="32"/>
          <w:highlight w:val="none"/>
        </w:rPr>
      </w:pPr>
    </w:p>
    <w:p>
      <w:pPr>
        <w:pStyle w:val="19"/>
        <w:pageBreakBefore w:val="0"/>
        <w:kinsoku/>
        <w:wordWrap w:val="0"/>
        <w:topLinePunct w:val="0"/>
        <w:bidi w:val="0"/>
        <w:spacing w:line="400" w:lineRule="exact"/>
        <w:ind w:firstLine="643"/>
        <w:rPr>
          <w:rFonts w:hAnsi="宋体" w:cs="宋体"/>
          <w:b/>
          <w:color w:val="auto"/>
          <w:sz w:val="32"/>
          <w:highlight w:val="none"/>
        </w:rPr>
      </w:pPr>
    </w:p>
    <w:p>
      <w:pPr>
        <w:pStyle w:val="19"/>
        <w:pageBreakBefore w:val="0"/>
        <w:kinsoku/>
        <w:wordWrap w:val="0"/>
        <w:topLinePunct w:val="0"/>
        <w:bidi w:val="0"/>
        <w:spacing w:line="400" w:lineRule="exact"/>
        <w:ind w:firstLine="643"/>
        <w:rPr>
          <w:rFonts w:hAnsi="宋体" w:cs="宋体"/>
          <w:b/>
          <w:color w:val="auto"/>
          <w:sz w:val="32"/>
          <w:highlight w:val="none"/>
        </w:rPr>
      </w:pPr>
      <w:r>
        <w:rPr>
          <w:rFonts w:hint="eastAsia" w:hAnsi="宋体" w:cs="宋体"/>
          <w:b/>
          <w:color w:val="auto"/>
          <w:sz w:val="32"/>
          <w:highlight w:val="none"/>
        </w:rPr>
        <w:t xml:space="preserve">附件：            </w:t>
      </w:r>
    </w:p>
    <w:p>
      <w:pPr>
        <w:pStyle w:val="19"/>
        <w:pageBreakBefore w:val="0"/>
        <w:kinsoku/>
        <w:wordWrap w:val="0"/>
        <w:topLinePunct w:val="0"/>
        <w:bidi w:val="0"/>
        <w:ind w:firstLine="630" w:firstLineChars="196"/>
        <w:jc w:val="center"/>
        <w:rPr>
          <w:rFonts w:hAnsi="宋体" w:cs="宋体"/>
          <w:b/>
          <w:color w:val="auto"/>
          <w:sz w:val="32"/>
          <w:highlight w:val="none"/>
        </w:rPr>
      </w:pPr>
      <w:bookmarkStart w:id="47" w:name="_Toc964_WPSOffice_Level1"/>
      <w:bookmarkStart w:id="48" w:name="_Toc5420_WPSOffice_Level1"/>
      <w:r>
        <w:rPr>
          <w:rFonts w:hint="eastAsia" w:hAnsi="宋体" w:cs="宋体"/>
          <w:b/>
          <w:color w:val="auto"/>
          <w:sz w:val="32"/>
          <w:highlight w:val="none"/>
        </w:rPr>
        <w:t>授权委托书（格式一）</w:t>
      </w:r>
      <w:bookmarkEnd w:id="47"/>
      <w:bookmarkEnd w:id="48"/>
    </w:p>
    <w:p>
      <w:pPr>
        <w:pStyle w:val="19"/>
        <w:pageBreakBefore w:val="0"/>
        <w:kinsoku/>
        <w:wordWrap w:val="0"/>
        <w:topLinePunct w:val="0"/>
        <w:bidi w:val="0"/>
        <w:rPr>
          <w:rFonts w:hAnsi="宋体" w:cs="宋体"/>
          <w:color w:val="auto"/>
          <w:highlight w:val="none"/>
        </w:rPr>
      </w:pPr>
    </w:p>
    <w:p>
      <w:pPr>
        <w:pageBreakBefore w:val="0"/>
        <w:kinsoku/>
        <w:wordWrap w:val="0"/>
        <w:topLinePunct w:val="0"/>
        <w:bidi w:val="0"/>
        <w:spacing w:line="400" w:lineRule="exact"/>
        <w:rPr>
          <w:rFonts w:ascii="宋体" w:hAnsi="宋体" w:cs="宋体"/>
          <w:color w:val="auto"/>
          <w:highlight w:val="none"/>
        </w:rPr>
      </w:pPr>
      <w:r>
        <w:rPr>
          <w:rFonts w:hint="eastAsia" w:ascii="宋体" w:hAnsi="宋体" w:cs="宋体"/>
          <w:color w:val="auto"/>
          <w:szCs w:val="21"/>
          <w:highlight w:val="none"/>
        </w:rPr>
        <w:t xml:space="preserve">    致：</w:t>
      </w:r>
      <w:r>
        <w:rPr>
          <w:rFonts w:hint="eastAsia" w:ascii="宋体" w:hAnsi="宋体" w:cs="宋体"/>
          <w:color w:val="auto"/>
          <w:szCs w:val="21"/>
          <w:highlight w:val="none"/>
          <w:u w:val="single"/>
        </w:rPr>
        <w:t>广西华诚达建设项目管理有限公司</w:t>
      </w:r>
    </w:p>
    <w:p>
      <w:pPr>
        <w:pageBreakBefore w:val="0"/>
        <w:kinsoku/>
        <w:wordWrap w:val="0"/>
        <w:topLinePunct w:val="0"/>
        <w:bidi w:val="0"/>
        <w:spacing w:line="400" w:lineRule="exact"/>
        <w:rPr>
          <w:rFonts w:ascii="宋体" w:hAnsi="宋体" w:cs="宋体"/>
          <w:color w:val="auto"/>
          <w:szCs w:val="21"/>
          <w:highlight w:val="none"/>
        </w:rPr>
      </w:pPr>
    </w:p>
    <w:p>
      <w:pPr>
        <w:pStyle w:val="19"/>
        <w:pageBreakBefore w:val="0"/>
        <w:kinsoku/>
        <w:wordWrap w:val="0"/>
        <w:topLinePunct w:val="0"/>
        <w:bidi w:val="0"/>
        <w:spacing w:line="400" w:lineRule="exact"/>
        <w:ind w:firstLine="420" w:firstLineChars="200"/>
        <w:rPr>
          <w:rFonts w:hAnsi="宋体" w:cs="宋体"/>
          <w:color w:val="auto"/>
          <w:highlight w:val="none"/>
        </w:rPr>
      </w:pPr>
      <w:r>
        <w:rPr>
          <w:rFonts w:hint="eastAsia" w:hAnsi="宋体" w:cs="宋体"/>
          <w:color w:val="auto"/>
          <w:kern w:val="0"/>
          <w:highlight w:val="none"/>
        </w:rPr>
        <w:t xml:space="preserve"> 我</w:t>
      </w:r>
      <w:r>
        <w:rPr>
          <w:rFonts w:hint="eastAsia" w:hAnsi="宋体" w:cs="宋体"/>
          <w:color w:val="auto"/>
          <w:kern w:val="0"/>
          <w:highlight w:val="none"/>
          <w:u w:val="single"/>
        </w:rPr>
        <w:t>（姓名）</w:t>
      </w:r>
      <w:r>
        <w:rPr>
          <w:rFonts w:hint="eastAsia" w:hAnsi="宋体" w:cs="宋体"/>
          <w:color w:val="auto"/>
          <w:kern w:val="0"/>
          <w:highlight w:val="none"/>
        </w:rPr>
        <w:t>系（</w:t>
      </w:r>
      <w:r>
        <w:rPr>
          <w:rFonts w:hint="eastAsia" w:hAnsi="宋体" w:cs="宋体"/>
          <w:color w:val="auto"/>
          <w:kern w:val="0"/>
          <w:highlight w:val="none"/>
          <w:u w:val="single"/>
        </w:rPr>
        <w:t>供应商名称）</w:t>
      </w:r>
      <w:r>
        <w:rPr>
          <w:rFonts w:hint="eastAsia" w:hAnsi="宋体" w:cs="宋体"/>
          <w:color w:val="auto"/>
          <w:kern w:val="0"/>
          <w:highlight w:val="none"/>
        </w:rPr>
        <w:t>的法定代表人</w:t>
      </w:r>
      <w:r>
        <w:rPr>
          <w:rFonts w:hint="eastAsia" w:hAnsi="宋体" w:cs="宋体"/>
          <w:color w:val="auto"/>
          <w:kern w:val="0"/>
          <w:highlight w:val="none"/>
          <w:u w:val="single"/>
        </w:rPr>
        <w:t>（负责人）</w:t>
      </w:r>
      <w:r>
        <w:rPr>
          <w:rFonts w:hint="eastAsia" w:hAnsi="宋体" w:cs="宋体"/>
          <w:color w:val="auto"/>
          <w:kern w:val="0"/>
          <w:highlight w:val="none"/>
        </w:rPr>
        <w:t>，现授权委托本单位在职职工</w:t>
      </w:r>
      <w:r>
        <w:rPr>
          <w:rFonts w:hint="eastAsia" w:hAnsi="宋体" w:cs="宋体"/>
          <w:color w:val="auto"/>
          <w:kern w:val="0"/>
          <w:highlight w:val="none"/>
          <w:u w:val="single"/>
        </w:rPr>
        <w:t>（姓 名）</w:t>
      </w:r>
      <w:r>
        <w:rPr>
          <w:rFonts w:hint="eastAsia" w:hAnsi="宋体" w:cs="宋体"/>
          <w:color w:val="auto"/>
          <w:kern w:val="0"/>
          <w:highlight w:val="none"/>
        </w:rPr>
        <w:t>以我公司名义参加</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pPr>
        <w:pStyle w:val="19"/>
        <w:pageBreakBefore w:val="0"/>
        <w:kinsoku/>
        <w:wordWrap w:val="0"/>
        <w:topLinePunct w:val="0"/>
        <w:bidi w:val="0"/>
        <w:spacing w:line="400" w:lineRule="exact"/>
        <w:ind w:firstLine="420" w:firstLineChars="200"/>
        <w:rPr>
          <w:rFonts w:hAnsi="宋体" w:cs="宋体"/>
          <w:color w:val="auto"/>
          <w:highlight w:val="none"/>
        </w:rPr>
      </w:pPr>
      <w:r>
        <w:rPr>
          <w:rFonts w:hint="eastAsia" w:hAnsi="宋体" w:cs="宋体"/>
          <w:color w:val="auto"/>
          <w:highlight w:val="none"/>
        </w:rPr>
        <w:t>我方对被授权人的签字事项负全部责任。</w:t>
      </w:r>
    </w:p>
    <w:p>
      <w:pPr>
        <w:pStyle w:val="19"/>
        <w:pageBreakBefore w:val="0"/>
        <w:kinsoku/>
        <w:wordWrap w:val="0"/>
        <w:topLinePunct w:val="0"/>
        <w:bidi w:val="0"/>
        <w:spacing w:line="400" w:lineRule="exact"/>
        <w:ind w:firstLine="420" w:firstLineChars="200"/>
        <w:rPr>
          <w:rFonts w:hAnsi="宋体" w:cs="宋体"/>
          <w:color w:val="auto"/>
          <w:highlight w:val="none"/>
          <w:u w:val="single"/>
        </w:rPr>
      </w:pPr>
      <w:r>
        <w:rPr>
          <w:rFonts w:hint="eastAsia" w:hAnsi="宋体" w:cs="宋体"/>
          <w:color w:val="auto"/>
          <w:highlight w:val="none"/>
        </w:rPr>
        <w:t>授权委托代理期限：从年月  日起至年月 日止。</w:t>
      </w:r>
    </w:p>
    <w:p>
      <w:pPr>
        <w:pStyle w:val="19"/>
        <w:pageBreakBefore w:val="0"/>
        <w:kinsoku/>
        <w:wordWrap w:val="0"/>
        <w:topLinePunct w:val="0"/>
        <w:bidi w:val="0"/>
        <w:spacing w:line="400" w:lineRule="exact"/>
        <w:rPr>
          <w:rFonts w:hAnsi="宋体" w:cs="宋体"/>
          <w:color w:val="auto"/>
          <w:highlight w:val="none"/>
          <w:u w:val="single"/>
        </w:rPr>
      </w:pPr>
    </w:p>
    <w:p>
      <w:pPr>
        <w:pageBreakBefore w:val="0"/>
        <w:kinsoku/>
        <w:wordWrap w:val="0"/>
        <w:topLinePunct w:val="0"/>
        <w:bidi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pPr>
        <w:pageBreakBefore w:val="0"/>
        <w:kinsoku/>
        <w:wordWrap w:val="0"/>
        <w:topLinePunct w:val="0"/>
        <w:bidi w:val="0"/>
        <w:spacing w:line="400" w:lineRule="exact"/>
        <w:ind w:firstLine="420" w:firstLineChars="200"/>
        <w:rPr>
          <w:rFonts w:ascii="宋体" w:hAnsi="宋体" w:cs="宋体"/>
          <w:color w:val="auto"/>
          <w:kern w:val="0"/>
          <w:highlight w:val="none"/>
        </w:rPr>
      </w:pPr>
    </w:p>
    <w:p>
      <w:pPr>
        <w:pageBreakBefore w:val="0"/>
        <w:kinsoku/>
        <w:wordWrap w:val="0"/>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我已在下面签字，以资证明。</w:t>
      </w:r>
    </w:p>
    <w:p>
      <w:pPr>
        <w:pageBreakBefore w:val="0"/>
        <w:kinsoku/>
        <w:wordWrap w:val="0"/>
        <w:topLinePunct w:val="0"/>
        <w:bidi w:val="0"/>
        <w:snapToGrid w:val="0"/>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供应商[公章（CA签章）]：</w:t>
      </w:r>
    </w:p>
    <w:p>
      <w:pPr>
        <w:pageBreakBefore w:val="0"/>
        <w:kinsoku/>
        <w:wordWrap w:val="0"/>
        <w:topLinePunct w:val="0"/>
        <w:bidi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法定代表人（负责人）签字（或个人CA签章）：             　年    月    日</w:t>
      </w:r>
    </w:p>
    <w:p>
      <w:pPr>
        <w:pageBreakBefore w:val="0"/>
        <w:kinsoku/>
        <w:wordWrap w:val="0"/>
        <w:topLinePunct w:val="0"/>
        <w:bidi w:val="0"/>
        <w:spacing w:line="440" w:lineRule="atLeast"/>
        <w:ind w:firstLine="422"/>
        <w:rPr>
          <w:rFonts w:ascii="宋体" w:hAnsi="宋体" w:cs="宋体"/>
          <w:b/>
          <w:color w:val="auto"/>
          <w:szCs w:val="21"/>
          <w:highlight w:val="none"/>
        </w:rPr>
      </w:pPr>
      <w:r>
        <w:rPr>
          <w:rFonts w:hint="eastAsia" w:ascii="宋体" w:hAnsi="宋体" w:cs="宋体"/>
          <w:b/>
          <w:color w:val="auto"/>
          <w:szCs w:val="21"/>
          <w:highlight w:val="none"/>
        </w:rPr>
        <w:t>附：供应商的授权委托书原件、委托代理人身份证正反面复印件以及由县级以上（含县级）社会养老保险经办机构出具的供应商为委托代理人交纳的2024年以来任意连续三个月缴纳社保的证明材料复印件，除供应商为以下三种情形的：</w:t>
      </w:r>
    </w:p>
    <w:p>
      <w:pPr>
        <w:pageBreakBefore w:val="0"/>
        <w:kinsoku/>
        <w:wordWrap w:val="0"/>
        <w:topLinePunct w:val="0"/>
        <w:bidi w:val="0"/>
        <w:spacing w:line="440" w:lineRule="atLeast"/>
        <w:ind w:firstLine="422"/>
        <w:rPr>
          <w:rFonts w:ascii="宋体" w:hAnsi="宋体" w:cs="宋体"/>
          <w:b/>
          <w:color w:val="auto"/>
          <w:szCs w:val="21"/>
          <w:highlight w:val="none"/>
        </w:rPr>
      </w:pPr>
      <w:r>
        <w:rPr>
          <w:rFonts w:hint="eastAsia" w:ascii="宋体" w:hAnsi="宋体" w:cs="宋体"/>
          <w:b/>
          <w:color w:val="auto"/>
          <w:szCs w:val="21"/>
          <w:highlight w:val="none"/>
        </w:rPr>
        <w:t>（1） 如供应商为截标时间前60日以内成立的公司，可以提供供应商与委托代理人签订的劳动合同复印件代替社保证明复印件；</w:t>
      </w:r>
    </w:p>
    <w:p>
      <w:pPr>
        <w:pageBreakBefore w:val="0"/>
        <w:kinsoku/>
        <w:wordWrap w:val="0"/>
        <w:topLinePunct w:val="0"/>
        <w:bidi w:val="0"/>
        <w:spacing w:line="440" w:lineRule="atLeast"/>
        <w:ind w:firstLine="422"/>
        <w:rPr>
          <w:rFonts w:ascii="宋体" w:hAnsi="宋体" w:cs="宋体"/>
          <w:b/>
          <w:color w:val="auto"/>
          <w:szCs w:val="21"/>
          <w:highlight w:val="none"/>
        </w:rPr>
      </w:pPr>
      <w:r>
        <w:rPr>
          <w:rFonts w:hint="eastAsia" w:ascii="宋体" w:hAnsi="宋体" w:cs="宋体"/>
          <w:b/>
          <w:color w:val="auto"/>
          <w:szCs w:val="21"/>
          <w:highlight w:val="none"/>
        </w:rPr>
        <w:t>（2）如供应商为事业单位，可以提供事业单位机构编制管理证复印件或事业单位机构为其发放工资的工资条复印件代替社保证明复印件；</w:t>
      </w:r>
    </w:p>
    <w:p>
      <w:pPr>
        <w:pageBreakBefore w:val="0"/>
        <w:kinsoku/>
        <w:wordWrap w:val="0"/>
        <w:topLinePunct w:val="0"/>
        <w:bidi w:val="0"/>
        <w:spacing w:line="440" w:lineRule="atLeast"/>
        <w:ind w:firstLine="422"/>
        <w:rPr>
          <w:rFonts w:hAnsi="宋体" w:cs="宋体"/>
          <w:b/>
          <w:color w:val="auto"/>
          <w:sz w:val="32"/>
          <w:highlight w:val="none"/>
        </w:rPr>
      </w:pPr>
      <w:r>
        <w:rPr>
          <w:rFonts w:hint="eastAsia" w:ascii="宋体" w:hAnsi="宋体" w:cs="宋体"/>
          <w:b/>
          <w:color w:val="auto"/>
          <w:szCs w:val="21"/>
          <w:highlight w:val="none"/>
        </w:rPr>
        <w:t>（3）如委托代理人为免缴纳社保人员，提供免缴纳社保的证明材料复印件及供应商与委托代理人签订的劳动合同复印件代替社保证明复印件。</w:t>
      </w:r>
      <w:bookmarkStart w:id="49" w:name="_Toc21370_WPSOffice_Level1"/>
      <w:bookmarkStart w:id="50" w:name="_Toc6975_WPSOffice_Level1"/>
    </w:p>
    <w:p>
      <w:pPr>
        <w:pageBreakBefore w:val="0"/>
        <w:kinsoku/>
        <w:wordWrap w:val="0"/>
        <w:topLinePunct w:val="0"/>
        <w:bidi w:val="0"/>
        <w:rPr>
          <w:color w:val="auto"/>
          <w:highlight w:val="none"/>
        </w:rPr>
      </w:pPr>
    </w:p>
    <w:p>
      <w:pPr>
        <w:pStyle w:val="3"/>
        <w:pageBreakBefore w:val="0"/>
        <w:kinsoku/>
        <w:wordWrap w:val="0"/>
        <w:topLinePunct w:val="0"/>
        <w:bidi w:val="0"/>
        <w:ind w:firstLine="643"/>
        <w:rPr>
          <w:color w:val="auto"/>
          <w:highlight w:val="none"/>
        </w:rPr>
      </w:pPr>
    </w:p>
    <w:p>
      <w:pPr>
        <w:pStyle w:val="19"/>
        <w:pageBreakBefore w:val="0"/>
        <w:kinsoku/>
        <w:wordWrap w:val="0"/>
        <w:topLinePunct w:val="0"/>
        <w:bidi w:val="0"/>
        <w:ind w:firstLine="643"/>
        <w:jc w:val="center"/>
        <w:rPr>
          <w:rFonts w:hAnsi="宋体" w:cs="宋体"/>
          <w:b/>
          <w:color w:val="auto"/>
          <w:sz w:val="32"/>
          <w:highlight w:val="none"/>
        </w:rPr>
      </w:pPr>
      <w:r>
        <w:rPr>
          <w:rFonts w:hint="eastAsia" w:hAnsi="宋体" w:cs="宋体"/>
          <w:b/>
          <w:color w:val="auto"/>
          <w:sz w:val="32"/>
          <w:highlight w:val="none"/>
        </w:rPr>
        <w:t>授权委托书（格式二）</w:t>
      </w:r>
      <w:bookmarkEnd w:id="49"/>
      <w:bookmarkEnd w:id="50"/>
    </w:p>
    <w:p>
      <w:pPr>
        <w:pStyle w:val="19"/>
        <w:pageBreakBefore w:val="0"/>
        <w:kinsoku/>
        <w:wordWrap w:val="0"/>
        <w:topLinePunct w:val="0"/>
        <w:bidi w:val="0"/>
        <w:ind w:firstLine="420"/>
        <w:rPr>
          <w:rFonts w:hAnsi="宋体" w:cs="宋体"/>
          <w:color w:val="auto"/>
          <w:szCs w:val="21"/>
          <w:highlight w:val="none"/>
          <w:u w:val="single"/>
        </w:rPr>
      </w:pPr>
      <w:r>
        <w:rPr>
          <w:rFonts w:hint="eastAsia" w:hAnsi="宋体" w:cs="宋体"/>
          <w:color w:val="auto"/>
          <w:szCs w:val="21"/>
          <w:highlight w:val="none"/>
        </w:rPr>
        <w:t>致：</w:t>
      </w:r>
      <w:r>
        <w:rPr>
          <w:rFonts w:hint="eastAsia" w:hAnsi="宋体" w:cs="宋体"/>
          <w:color w:val="auto"/>
          <w:szCs w:val="21"/>
          <w:highlight w:val="none"/>
          <w:u w:val="single"/>
        </w:rPr>
        <w:t>广西华诚达建设项目管理有限公司</w:t>
      </w:r>
    </w:p>
    <w:p>
      <w:pPr>
        <w:pageBreakBefore w:val="0"/>
        <w:kinsoku/>
        <w:wordWrap w:val="0"/>
        <w:topLinePunct w:val="0"/>
        <w:bidi w:val="0"/>
        <w:rPr>
          <w:rFonts w:ascii="宋体" w:hAnsi="宋体" w:cs="宋体"/>
          <w:color w:val="auto"/>
          <w:highlight w:val="none"/>
        </w:rPr>
      </w:pPr>
    </w:p>
    <w:p>
      <w:pPr>
        <w:pStyle w:val="19"/>
        <w:pageBreakBefore w:val="0"/>
        <w:kinsoku/>
        <w:wordWrap w:val="0"/>
        <w:topLinePunct w:val="0"/>
        <w:bidi w:val="0"/>
        <w:spacing w:line="340" w:lineRule="exact"/>
        <w:ind w:firstLine="420" w:firstLineChars="200"/>
        <w:rPr>
          <w:rFonts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（姓名）系自然人，现授权委托（姓 名）以本人名义参加</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pPr>
        <w:pStyle w:val="19"/>
        <w:pageBreakBefore w:val="0"/>
        <w:kinsoku/>
        <w:wordWrap w:val="0"/>
        <w:topLinePunct w:val="0"/>
        <w:bidi w:val="0"/>
        <w:spacing w:line="340" w:lineRule="exact"/>
        <w:ind w:firstLine="420" w:firstLineChars="200"/>
        <w:rPr>
          <w:rFonts w:hAnsi="宋体" w:cs="宋体"/>
          <w:color w:val="auto"/>
          <w:highlight w:val="none"/>
        </w:rPr>
      </w:pPr>
      <w:r>
        <w:rPr>
          <w:rFonts w:hint="eastAsia" w:hAnsi="宋体" w:cs="宋体"/>
          <w:color w:val="auto"/>
          <w:highlight w:val="none"/>
        </w:rPr>
        <w:t>本人对被授权人的签字事项负全部责任。</w:t>
      </w:r>
    </w:p>
    <w:p>
      <w:pPr>
        <w:pStyle w:val="19"/>
        <w:pageBreakBefore w:val="0"/>
        <w:kinsoku/>
        <w:wordWrap w:val="0"/>
        <w:topLinePunct w:val="0"/>
        <w:bidi w:val="0"/>
        <w:spacing w:line="340" w:lineRule="exact"/>
        <w:ind w:firstLine="420" w:firstLineChars="200"/>
        <w:rPr>
          <w:rFonts w:hAnsi="宋体" w:cs="宋体"/>
          <w:color w:val="auto"/>
          <w:highlight w:val="none"/>
          <w:u w:val="single"/>
        </w:rPr>
      </w:pPr>
      <w:r>
        <w:rPr>
          <w:rFonts w:hint="eastAsia" w:hAnsi="宋体" w:cs="宋体"/>
          <w:color w:val="auto"/>
          <w:highlight w:val="none"/>
        </w:rPr>
        <w:t>授权委托代理期限：从    年    月  日起至  年    月 日止。</w:t>
      </w:r>
    </w:p>
    <w:p>
      <w:pPr>
        <w:pStyle w:val="19"/>
        <w:pageBreakBefore w:val="0"/>
        <w:kinsoku/>
        <w:wordWrap w:val="0"/>
        <w:topLinePunct w:val="0"/>
        <w:bidi w:val="0"/>
        <w:spacing w:line="340" w:lineRule="exact"/>
        <w:rPr>
          <w:rFonts w:hAnsi="宋体" w:cs="宋体"/>
          <w:color w:val="auto"/>
          <w:highlight w:val="none"/>
          <w:u w:val="single"/>
        </w:rPr>
      </w:pPr>
    </w:p>
    <w:p>
      <w:pPr>
        <w:pageBreakBefore w:val="0"/>
        <w:kinsoku/>
        <w:wordWrap w:val="0"/>
        <w:topLinePunct w:val="0"/>
        <w:bidi w:val="0"/>
        <w:spacing w:line="34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pPr>
        <w:pageBreakBefore w:val="0"/>
        <w:kinsoku/>
        <w:wordWrap w:val="0"/>
        <w:topLinePunct w:val="0"/>
        <w:bidi w:val="0"/>
        <w:spacing w:line="340" w:lineRule="exact"/>
        <w:ind w:firstLine="420" w:firstLineChars="200"/>
        <w:rPr>
          <w:rFonts w:ascii="宋体" w:hAnsi="宋体" w:cs="宋体"/>
          <w:color w:val="auto"/>
          <w:kern w:val="0"/>
          <w:highlight w:val="none"/>
        </w:rPr>
      </w:pPr>
    </w:p>
    <w:p>
      <w:pPr>
        <w:pageBreakBefore w:val="0"/>
        <w:kinsoku/>
        <w:wordWrap w:val="0"/>
        <w:topLinePunct w:val="0"/>
        <w:bidi w:val="0"/>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我已在下面签字，以资证明。</w:t>
      </w:r>
    </w:p>
    <w:p>
      <w:pPr>
        <w:pageBreakBefore w:val="0"/>
        <w:kinsoku/>
        <w:wordWrap w:val="0"/>
        <w:topLinePunct w:val="0"/>
        <w:bidi w:val="0"/>
        <w:spacing w:line="340" w:lineRule="exact"/>
        <w:ind w:firstLine="420" w:firstLineChars="200"/>
        <w:rPr>
          <w:rFonts w:ascii="宋体" w:hAnsi="宋体" w:cs="宋体"/>
          <w:color w:val="auto"/>
          <w:szCs w:val="21"/>
          <w:highlight w:val="none"/>
        </w:rPr>
      </w:pPr>
    </w:p>
    <w:p>
      <w:pPr>
        <w:pageBreakBefore w:val="0"/>
        <w:kinsoku/>
        <w:wordWrap w:val="0"/>
        <w:topLinePunct w:val="0"/>
        <w:bidi w:val="0"/>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自然人签字并在签名处加盖大拇指指印或个人CA签章：　　年　　月　　日</w:t>
      </w:r>
    </w:p>
    <w:p>
      <w:pPr>
        <w:pStyle w:val="19"/>
        <w:pageBreakBefore w:val="0"/>
        <w:kinsoku/>
        <w:wordWrap w:val="0"/>
        <w:topLinePunct w:val="0"/>
        <w:bidi w:val="0"/>
        <w:spacing w:line="400" w:lineRule="exact"/>
        <w:ind w:left="420" w:leftChars="200"/>
        <w:rPr>
          <w:rFonts w:hAnsi="宋体" w:cs="宋体"/>
          <w:color w:val="auto"/>
          <w:szCs w:val="21"/>
          <w:highlight w:val="none"/>
        </w:rPr>
      </w:pPr>
    </w:p>
    <w:p>
      <w:pPr>
        <w:pStyle w:val="19"/>
        <w:pageBreakBefore w:val="0"/>
        <w:kinsoku/>
        <w:wordWrap w:val="0"/>
        <w:topLinePunct w:val="0"/>
        <w:bidi w:val="0"/>
        <w:spacing w:line="400" w:lineRule="exact"/>
        <w:ind w:firstLine="422"/>
        <w:rPr>
          <w:rFonts w:hAnsi="宋体" w:cs="宋体"/>
          <w:b/>
          <w:color w:val="auto"/>
          <w:szCs w:val="21"/>
          <w:highlight w:val="none"/>
        </w:rPr>
      </w:pPr>
      <w:r>
        <w:rPr>
          <w:rFonts w:hint="eastAsia" w:hAnsi="宋体" w:cs="宋体"/>
          <w:b/>
          <w:color w:val="auto"/>
          <w:szCs w:val="21"/>
          <w:highlight w:val="none"/>
        </w:rPr>
        <w:t>附：委托代理人身份证正反面复印件</w:t>
      </w:r>
    </w:p>
    <w:p>
      <w:pPr>
        <w:pageBreakBefore w:val="0"/>
        <w:kinsoku/>
        <w:wordWrap w:val="0"/>
        <w:topLinePunct w:val="0"/>
        <w:bidi w:val="0"/>
        <w:ind w:firstLine="422"/>
        <w:rPr>
          <w:rFonts w:ascii="宋体" w:hAnsi="宋体" w:cs="宋体"/>
          <w:b/>
          <w:color w:val="auto"/>
          <w:szCs w:val="21"/>
          <w:highlight w:val="none"/>
        </w:rPr>
      </w:pPr>
    </w:p>
    <w:p>
      <w:pPr>
        <w:pageBreakBefore w:val="0"/>
        <w:kinsoku/>
        <w:wordWrap w:val="0"/>
        <w:topLinePunct w:val="0"/>
        <w:bidi w:val="0"/>
        <w:rPr>
          <w:rFonts w:hAnsi="宋体" w:cs="宋体"/>
          <w:b/>
          <w:color w:val="auto"/>
          <w:sz w:val="28"/>
          <w:szCs w:val="28"/>
          <w:highlight w:val="none"/>
        </w:rPr>
      </w:pPr>
    </w:p>
    <w:p>
      <w:pPr>
        <w:pStyle w:val="19"/>
        <w:pageBreakBefore w:val="0"/>
        <w:kinsoku/>
        <w:wordWrap w:val="0"/>
        <w:topLinePunct w:val="0"/>
        <w:bidi w:val="0"/>
        <w:spacing w:line="340" w:lineRule="exact"/>
        <w:ind w:firstLine="602"/>
        <w:rPr>
          <w:rFonts w:hAnsi="宋体" w:cs="宋体"/>
          <w:b/>
          <w:color w:val="auto"/>
          <w:sz w:val="30"/>
          <w:szCs w:val="30"/>
          <w:highlight w:val="none"/>
        </w:rPr>
      </w:pPr>
      <w:r>
        <w:rPr>
          <w:rFonts w:hint="eastAsia" w:hAnsi="宋体" w:cs="宋体"/>
          <w:b/>
          <w:color w:val="auto"/>
          <w:sz w:val="30"/>
          <w:szCs w:val="30"/>
          <w:highlight w:val="none"/>
        </w:rPr>
        <w:t>3.供应商的法人或者其他组织营业执照等证明文件复印件（必须提供，自然人除外）；</w:t>
      </w:r>
    </w:p>
    <w:p>
      <w:pPr>
        <w:pageBreakBefore w:val="0"/>
        <w:tabs>
          <w:tab w:val="left" w:pos="1305"/>
        </w:tabs>
        <w:kinsoku/>
        <w:wordWrap w:val="0"/>
        <w:topLinePunct w:val="0"/>
        <w:bidi w:val="0"/>
        <w:spacing w:line="400" w:lineRule="exact"/>
        <w:ind w:firstLine="422"/>
        <w:rPr>
          <w:rFonts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19"/>
        <w:pageBreakBefore w:val="0"/>
        <w:kinsoku/>
        <w:wordWrap w:val="0"/>
        <w:topLinePunct w:val="0"/>
        <w:bidi w:val="0"/>
        <w:spacing w:line="340" w:lineRule="exact"/>
        <w:ind w:firstLine="562"/>
        <w:rPr>
          <w:rFonts w:hAnsi="宋体" w:cs="宋体"/>
          <w:b/>
          <w:color w:val="auto"/>
          <w:sz w:val="28"/>
          <w:szCs w:val="28"/>
          <w:highlight w:val="none"/>
        </w:rPr>
      </w:pPr>
    </w:p>
    <w:p>
      <w:pPr>
        <w:pStyle w:val="19"/>
        <w:pageBreakBefore w:val="0"/>
        <w:kinsoku/>
        <w:wordWrap w:val="0"/>
        <w:topLinePunct w:val="0"/>
        <w:bidi w:val="0"/>
        <w:spacing w:line="340" w:lineRule="exact"/>
        <w:ind w:firstLine="562"/>
        <w:rPr>
          <w:rFonts w:hAnsi="宋体" w:cs="宋体"/>
          <w:b/>
          <w:color w:val="auto"/>
          <w:sz w:val="28"/>
          <w:szCs w:val="28"/>
          <w:highlight w:val="none"/>
        </w:rPr>
      </w:pPr>
    </w:p>
    <w:p>
      <w:pPr>
        <w:pStyle w:val="19"/>
        <w:pageBreakBefore w:val="0"/>
        <w:kinsoku/>
        <w:wordWrap w:val="0"/>
        <w:topLinePunct w:val="0"/>
        <w:bidi w:val="0"/>
        <w:spacing w:line="340" w:lineRule="exact"/>
        <w:ind w:firstLine="562"/>
        <w:rPr>
          <w:rFonts w:hAnsi="宋体" w:cs="宋体"/>
          <w:b/>
          <w:color w:val="auto"/>
          <w:sz w:val="28"/>
          <w:szCs w:val="28"/>
          <w:highlight w:val="none"/>
        </w:rPr>
      </w:pPr>
    </w:p>
    <w:p>
      <w:pPr>
        <w:pStyle w:val="19"/>
        <w:pageBreakBefore w:val="0"/>
        <w:kinsoku/>
        <w:wordWrap w:val="0"/>
        <w:topLinePunct w:val="0"/>
        <w:bidi w:val="0"/>
        <w:spacing w:line="340" w:lineRule="exact"/>
        <w:ind w:firstLine="562"/>
        <w:rPr>
          <w:rFonts w:hAnsi="宋体" w:cs="宋体"/>
          <w:b/>
          <w:color w:val="auto"/>
          <w:sz w:val="28"/>
          <w:szCs w:val="28"/>
          <w:highlight w:val="none"/>
        </w:rPr>
      </w:pPr>
    </w:p>
    <w:p>
      <w:pPr>
        <w:pStyle w:val="19"/>
        <w:pageBreakBefore w:val="0"/>
        <w:kinsoku/>
        <w:wordWrap w:val="0"/>
        <w:topLinePunct w:val="0"/>
        <w:bidi w:val="0"/>
        <w:spacing w:line="340" w:lineRule="exact"/>
        <w:ind w:firstLine="602"/>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4.</w:t>
      </w:r>
      <w:r>
        <w:rPr>
          <w:rFonts w:hint="eastAsia" w:hAnsi="宋体" w:cs="宋体"/>
          <w:b/>
          <w:color w:val="auto"/>
          <w:sz w:val="30"/>
          <w:szCs w:val="30"/>
          <w:highlight w:val="none"/>
          <w:lang w:eastAsia="zh-CN"/>
        </w:rPr>
        <w:t>供应商的地质灾害防治单位证书监理类甲级资质证书复印件（必须提供）；</w:t>
      </w:r>
    </w:p>
    <w:p>
      <w:pPr>
        <w:pageBreakBefore w:val="0"/>
        <w:kinsoku/>
        <w:wordWrap w:val="0"/>
        <w:topLinePunct w:val="0"/>
        <w:bidi w:val="0"/>
        <w:spacing w:line="440" w:lineRule="atLeast"/>
        <w:ind w:firstLine="562"/>
        <w:rPr>
          <w:rFonts w:ascii="宋体" w:hAnsi="宋体" w:cs="宋体"/>
          <w:b/>
          <w:color w:val="auto"/>
          <w:sz w:val="28"/>
          <w:szCs w:val="28"/>
          <w:highlight w:val="none"/>
        </w:rPr>
      </w:pPr>
    </w:p>
    <w:p>
      <w:pPr>
        <w:pageBreakBefore w:val="0"/>
        <w:kinsoku/>
        <w:wordWrap w:val="0"/>
        <w:topLinePunct w:val="0"/>
        <w:bidi w:val="0"/>
        <w:spacing w:line="520" w:lineRule="exact"/>
        <w:ind w:firstLine="422"/>
        <w:rPr>
          <w:rFonts w:ascii="宋体" w:hAnsi="宋体" w:cs="宋体"/>
          <w:b/>
          <w:color w:val="auto"/>
          <w:highlight w:val="none"/>
        </w:rPr>
      </w:pPr>
    </w:p>
    <w:p>
      <w:pPr>
        <w:pageBreakBefore w:val="0"/>
        <w:kinsoku/>
        <w:wordWrap w:val="0"/>
        <w:topLinePunct w:val="0"/>
        <w:bidi w:val="0"/>
        <w:spacing w:line="520" w:lineRule="exact"/>
        <w:ind w:firstLine="602"/>
        <w:rPr>
          <w:color w:val="auto"/>
          <w:highlight w:val="none"/>
        </w:rPr>
      </w:pPr>
      <w:r>
        <w:rPr>
          <w:rFonts w:hint="eastAsia" w:ascii="宋体" w:hAnsi="宋体"/>
          <w:b/>
          <w:bCs/>
          <w:color w:val="auto"/>
          <w:kern w:val="0"/>
          <w:sz w:val="30"/>
          <w:szCs w:val="30"/>
          <w:highlight w:val="none"/>
        </w:rPr>
        <w:t>5.供应商2021年以来任意年度内的财务状况报告复印件或财务报表复印件或2023年以来银行出具的资信证明复印件（若为新成立的企业，请根据实际情况提供</w:t>
      </w:r>
      <w:r>
        <w:rPr>
          <w:rFonts w:ascii="宋体" w:hAnsi="宋体"/>
          <w:b/>
          <w:bCs/>
          <w:color w:val="auto"/>
          <w:kern w:val="0"/>
          <w:sz w:val="30"/>
          <w:szCs w:val="30"/>
          <w:highlight w:val="none"/>
        </w:rPr>
        <w:t>）</w:t>
      </w:r>
      <w:r>
        <w:rPr>
          <w:rFonts w:hint="eastAsia" w:ascii="宋体" w:hAnsi="宋体"/>
          <w:b/>
          <w:bCs/>
          <w:color w:val="auto"/>
          <w:kern w:val="0"/>
          <w:sz w:val="30"/>
          <w:szCs w:val="30"/>
          <w:highlight w:val="none"/>
        </w:rPr>
        <w:t>（必须提供）</w:t>
      </w:r>
    </w:p>
    <w:p>
      <w:pPr>
        <w:pageBreakBefore w:val="0"/>
        <w:kinsoku/>
        <w:wordWrap w:val="0"/>
        <w:topLinePunct w:val="0"/>
        <w:bidi w:val="0"/>
        <w:spacing w:line="460" w:lineRule="exact"/>
        <w:ind w:firstLine="602"/>
        <w:jc w:val="left"/>
        <w:rPr>
          <w:rFonts w:ascii="宋体" w:hAnsi="宋体"/>
          <w:b/>
          <w:bCs/>
          <w:color w:val="auto"/>
          <w:kern w:val="0"/>
          <w:sz w:val="30"/>
          <w:szCs w:val="30"/>
          <w:highlight w:val="none"/>
        </w:rPr>
      </w:pPr>
    </w:p>
    <w:p>
      <w:pPr>
        <w:pageBreakBefore w:val="0"/>
        <w:kinsoku/>
        <w:wordWrap w:val="0"/>
        <w:topLinePunct w:val="0"/>
        <w:bidi w:val="0"/>
        <w:spacing w:line="460" w:lineRule="exact"/>
        <w:ind w:firstLine="602"/>
        <w:jc w:val="left"/>
        <w:rPr>
          <w:rFonts w:ascii="宋体" w:hAnsi="宋体"/>
          <w:b/>
          <w:bCs/>
          <w:color w:val="auto"/>
          <w:kern w:val="0"/>
          <w:sz w:val="30"/>
          <w:szCs w:val="30"/>
          <w:highlight w:val="none"/>
        </w:rPr>
      </w:pPr>
    </w:p>
    <w:p>
      <w:pPr>
        <w:pageBreakBefore w:val="0"/>
        <w:kinsoku/>
        <w:wordWrap w:val="0"/>
        <w:topLinePunct w:val="0"/>
        <w:bidi w:val="0"/>
        <w:spacing w:line="460" w:lineRule="exact"/>
        <w:ind w:firstLine="602"/>
        <w:jc w:val="left"/>
        <w:rPr>
          <w:rFonts w:ascii="宋体" w:hAnsi="宋体"/>
          <w:b/>
          <w:bCs/>
          <w:color w:val="auto"/>
          <w:kern w:val="0"/>
          <w:sz w:val="30"/>
          <w:szCs w:val="30"/>
          <w:highlight w:val="none"/>
        </w:rPr>
      </w:pPr>
      <w:r>
        <w:rPr>
          <w:rFonts w:hint="eastAsia" w:ascii="宋体" w:hAnsi="宋体"/>
          <w:b/>
          <w:bCs/>
          <w:color w:val="auto"/>
          <w:kern w:val="0"/>
          <w:sz w:val="30"/>
          <w:szCs w:val="30"/>
          <w:highlight w:val="none"/>
        </w:rPr>
        <w:t>6.供应商2023年以来任意一个月依法缴纳税收的相关材料复印件(可以是银行已缴纳税费凭证复印件或第三方有效的相关业务托缴凭证复印件或</w:t>
      </w:r>
      <w:r>
        <w:rPr>
          <w:rFonts w:hint="eastAsia" w:ascii="宋体" w:hAnsi="宋体"/>
          <w:b/>
          <w:bCs/>
          <w:color w:val="auto"/>
          <w:kern w:val="0"/>
          <w:sz w:val="30"/>
          <w:szCs w:val="30"/>
          <w:highlight w:val="none"/>
          <w:lang w:eastAsia="zh-CN"/>
        </w:rPr>
        <w:t>供应商</w:t>
      </w:r>
      <w:r>
        <w:rPr>
          <w:rFonts w:hint="eastAsia" w:ascii="宋体" w:hAnsi="宋体"/>
          <w:b/>
          <w:bCs/>
          <w:color w:val="auto"/>
          <w:kern w:val="0"/>
          <w:sz w:val="30"/>
          <w:szCs w:val="30"/>
          <w:highlight w:val="none"/>
        </w:rPr>
        <w:t>所在地税务部门出具的有效证明复印件；无纳税记录的，应提供由</w:t>
      </w:r>
      <w:r>
        <w:rPr>
          <w:rFonts w:hint="eastAsia" w:ascii="宋体" w:hAnsi="宋体"/>
          <w:b/>
          <w:bCs/>
          <w:color w:val="auto"/>
          <w:kern w:val="0"/>
          <w:sz w:val="30"/>
          <w:szCs w:val="30"/>
          <w:highlight w:val="none"/>
          <w:lang w:eastAsia="zh-CN"/>
        </w:rPr>
        <w:t>供应商</w:t>
      </w:r>
      <w:r>
        <w:rPr>
          <w:rFonts w:hint="eastAsia" w:ascii="宋体" w:hAnsi="宋体"/>
          <w:b/>
          <w:bCs/>
          <w:color w:val="auto"/>
          <w:kern w:val="0"/>
          <w:sz w:val="30"/>
          <w:szCs w:val="30"/>
          <w:highlight w:val="none"/>
        </w:rPr>
        <w:t>所在地的税务部门出具的依法免税或准予延期缴税的证明，若为新成立的企业，请根据实际情况提供）（必须提供）</w:t>
      </w:r>
    </w:p>
    <w:p>
      <w:pPr>
        <w:pageBreakBefore w:val="0"/>
        <w:tabs>
          <w:tab w:val="left" w:pos="1305"/>
        </w:tabs>
        <w:kinsoku/>
        <w:wordWrap w:val="0"/>
        <w:topLinePunct w:val="0"/>
        <w:bidi w:val="0"/>
        <w:spacing w:line="420" w:lineRule="exact"/>
        <w:rPr>
          <w:rFonts w:ascii="宋体" w:hAnsi="宋体"/>
          <w:color w:val="auto"/>
          <w:highlight w:val="none"/>
        </w:rPr>
      </w:pPr>
      <w:r>
        <w:rPr>
          <w:rFonts w:hint="eastAsia" w:ascii="宋体" w:hAnsi="宋体"/>
          <w:color w:val="auto"/>
          <w:highlight w:val="none"/>
        </w:rPr>
        <w:t>　　</w:t>
      </w:r>
    </w:p>
    <w:p>
      <w:pPr>
        <w:pageBreakBefore w:val="0"/>
        <w:tabs>
          <w:tab w:val="left" w:pos="1305"/>
        </w:tabs>
        <w:kinsoku/>
        <w:wordWrap w:val="0"/>
        <w:topLinePunct w:val="0"/>
        <w:bidi w:val="0"/>
        <w:spacing w:line="420" w:lineRule="exact"/>
        <w:ind w:firstLine="562"/>
        <w:rPr>
          <w:rFonts w:ascii="宋体" w:hAnsi="宋体" w:cs="宋体"/>
          <w:b/>
          <w:color w:val="auto"/>
          <w:sz w:val="28"/>
          <w:szCs w:val="28"/>
          <w:highlight w:val="none"/>
        </w:rPr>
      </w:pPr>
    </w:p>
    <w:p>
      <w:pPr>
        <w:pageBreakBefore w:val="0"/>
        <w:tabs>
          <w:tab w:val="left" w:pos="1305"/>
        </w:tabs>
        <w:kinsoku/>
        <w:wordWrap w:val="0"/>
        <w:topLinePunct w:val="0"/>
        <w:bidi w:val="0"/>
        <w:spacing w:line="460" w:lineRule="exact"/>
        <w:ind w:firstLine="602"/>
        <w:rPr>
          <w:rFonts w:ascii="宋体" w:hAnsi="宋体"/>
          <w:b/>
          <w:bCs/>
          <w:color w:val="auto"/>
          <w:kern w:val="0"/>
          <w:sz w:val="30"/>
          <w:szCs w:val="30"/>
          <w:highlight w:val="none"/>
        </w:rPr>
      </w:pPr>
      <w:r>
        <w:rPr>
          <w:rFonts w:hint="eastAsia" w:ascii="宋体" w:hAnsi="宋体"/>
          <w:b/>
          <w:bCs/>
          <w:color w:val="auto"/>
          <w:kern w:val="0"/>
          <w:sz w:val="30"/>
          <w:szCs w:val="30"/>
          <w:highlight w:val="none"/>
        </w:rPr>
        <w:t>7.供应商2023年以来任意一个月的依法缴纳社会保障资金的相关材料（无缴费记录的，应提供由供应商所在地的行政主管部门出具的依法免缴社保费或准予延期缴纳社保费的证明，若为新成立的企业，请根据实际情况提供）（必须提供）</w:t>
      </w:r>
    </w:p>
    <w:p>
      <w:pPr>
        <w:rPr>
          <w:rFonts w:hint="eastAsia" w:ascii="宋体" w:hAnsi="宋体"/>
          <w:b/>
          <w:bCs/>
          <w:color w:val="auto"/>
          <w:kern w:val="0"/>
          <w:sz w:val="32"/>
          <w:szCs w:val="32"/>
          <w:highlight w:val="none"/>
          <w:lang w:val="en-US" w:eastAsia="zh-CN"/>
        </w:rPr>
      </w:pPr>
    </w:p>
    <w:p>
      <w:pPr>
        <w:pageBreakBefore w:val="0"/>
        <w:kinsoku/>
        <w:wordWrap w:val="0"/>
        <w:topLinePunct w:val="0"/>
        <w:bidi w:val="0"/>
        <w:spacing w:line="400" w:lineRule="exact"/>
        <w:ind w:firstLine="643"/>
        <w:rPr>
          <w:rFonts w:ascii="宋体" w:hAnsi="宋体"/>
          <w:b/>
          <w:bCs/>
          <w:color w:val="auto"/>
          <w:kern w:val="0"/>
          <w:sz w:val="32"/>
          <w:szCs w:val="32"/>
          <w:highlight w:val="none"/>
        </w:rPr>
      </w:pPr>
      <w:r>
        <w:rPr>
          <w:rFonts w:hint="eastAsia" w:ascii="宋体" w:hAnsi="宋体"/>
          <w:b/>
          <w:bCs/>
          <w:color w:val="auto"/>
          <w:kern w:val="0"/>
          <w:sz w:val="32"/>
          <w:szCs w:val="32"/>
          <w:highlight w:val="none"/>
          <w:lang w:val="en-US" w:eastAsia="zh-CN"/>
        </w:rPr>
        <w:t>8.</w:t>
      </w:r>
      <w:r>
        <w:rPr>
          <w:rFonts w:hint="eastAsia" w:ascii="宋体" w:hAnsi="宋体"/>
          <w:b/>
          <w:bCs/>
          <w:color w:val="auto"/>
          <w:kern w:val="0"/>
          <w:sz w:val="32"/>
          <w:szCs w:val="32"/>
          <w:highlight w:val="none"/>
        </w:rPr>
        <w:t>供应商参加政府采购活动前3年内在经营活动中没有重大违法记录及有关信用信息的书面声明（必须提供）</w:t>
      </w:r>
    </w:p>
    <w:p>
      <w:pPr>
        <w:pStyle w:val="19"/>
        <w:pageBreakBefore w:val="0"/>
        <w:kinsoku/>
        <w:wordWrap w:val="0"/>
        <w:topLinePunct w:val="0"/>
        <w:bidi w:val="0"/>
        <w:spacing w:line="400" w:lineRule="exact"/>
        <w:ind w:firstLine="643"/>
        <w:rPr>
          <w:rFonts w:hAnsi="宋体" w:cs="宋体"/>
          <w:b/>
          <w:color w:val="auto"/>
          <w:sz w:val="32"/>
          <w:szCs w:val="32"/>
          <w:highlight w:val="none"/>
        </w:rPr>
      </w:pPr>
    </w:p>
    <w:p>
      <w:pPr>
        <w:pStyle w:val="19"/>
        <w:pageBreakBefore w:val="0"/>
        <w:kinsoku/>
        <w:wordWrap w:val="0"/>
        <w:topLinePunct w:val="0"/>
        <w:bidi w:val="0"/>
        <w:spacing w:line="400" w:lineRule="exact"/>
        <w:ind w:firstLine="643"/>
        <w:jc w:val="left"/>
        <w:rPr>
          <w:rFonts w:hAnsi="宋体" w:cs="宋体"/>
          <w:b/>
          <w:color w:val="auto"/>
          <w:sz w:val="32"/>
          <w:szCs w:val="32"/>
          <w:highlight w:val="none"/>
        </w:rPr>
      </w:pPr>
      <w:r>
        <w:rPr>
          <w:rFonts w:hint="eastAsia" w:hAnsi="宋体" w:cs="宋体"/>
          <w:b/>
          <w:color w:val="auto"/>
          <w:sz w:val="32"/>
          <w:szCs w:val="32"/>
          <w:highlight w:val="none"/>
        </w:rPr>
        <w:t>附件：</w:t>
      </w:r>
    </w:p>
    <w:p>
      <w:pPr>
        <w:pStyle w:val="19"/>
        <w:pageBreakBefore w:val="0"/>
        <w:kinsoku/>
        <w:wordWrap w:val="0"/>
        <w:topLinePunct w:val="0"/>
        <w:bidi w:val="0"/>
        <w:spacing w:line="400" w:lineRule="exact"/>
        <w:ind w:firstLine="643"/>
        <w:jc w:val="center"/>
        <w:rPr>
          <w:rFonts w:hAnsi="宋体" w:cs="宋体"/>
          <w:b/>
          <w:color w:val="auto"/>
          <w:sz w:val="32"/>
          <w:szCs w:val="32"/>
          <w:highlight w:val="none"/>
        </w:rPr>
      </w:pPr>
      <w:bookmarkStart w:id="51" w:name="_Toc30890_WPSOffice_Level1"/>
      <w:bookmarkStart w:id="52" w:name="_Toc30304_WPSOffice_Level1"/>
      <w:r>
        <w:rPr>
          <w:rFonts w:hint="eastAsia" w:hAnsi="宋体" w:cs="宋体"/>
          <w:b/>
          <w:color w:val="auto"/>
          <w:sz w:val="32"/>
          <w:szCs w:val="32"/>
          <w:highlight w:val="none"/>
        </w:rPr>
        <w:t>声   明</w:t>
      </w:r>
      <w:bookmarkEnd w:id="51"/>
      <w:bookmarkEnd w:id="52"/>
    </w:p>
    <w:p>
      <w:pPr>
        <w:pStyle w:val="19"/>
        <w:pageBreakBefore w:val="0"/>
        <w:kinsoku/>
        <w:wordWrap w:val="0"/>
        <w:topLinePunct w:val="0"/>
        <w:bidi w:val="0"/>
        <w:spacing w:line="400" w:lineRule="exact"/>
        <w:ind w:firstLine="422"/>
        <w:rPr>
          <w:rFonts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广西华诚达建设项目管理有限公司</w:t>
      </w:r>
    </w:p>
    <w:p>
      <w:pPr>
        <w:pStyle w:val="17"/>
        <w:pageBreakBefore w:val="0"/>
        <w:kinsoku/>
        <w:wordWrap w:val="0"/>
        <w:topLinePunct w:val="0"/>
        <w:bidi w:val="0"/>
        <w:rPr>
          <w:rFonts w:ascii="宋体" w:hAnsi="宋体" w:cs="宋体"/>
          <w:color w:val="auto"/>
          <w:highlight w:val="none"/>
        </w:rPr>
      </w:pPr>
    </w:p>
    <w:p>
      <w:pPr>
        <w:pStyle w:val="19"/>
        <w:pageBreakBefore w:val="0"/>
        <w:kinsoku/>
        <w:wordWrap w:val="0"/>
        <w:topLinePunct w:val="0"/>
        <w:bidi w:val="0"/>
        <w:spacing w:line="400" w:lineRule="exact"/>
        <w:ind w:firstLine="420" w:firstLineChars="200"/>
        <w:rPr>
          <w:rFonts w:hAnsi="宋体" w:cs="宋体"/>
          <w:color w:val="auto"/>
          <w:highlight w:val="none"/>
        </w:rPr>
      </w:pPr>
      <w:r>
        <w:rPr>
          <w:rFonts w:hint="eastAsia" w:hAnsi="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pageBreakBefore w:val="0"/>
        <w:kinsoku/>
        <w:wordWrap w:val="0"/>
        <w:topLinePunct w:val="0"/>
        <w:bidi w:val="0"/>
        <w:rPr>
          <w:rFonts w:ascii="宋体" w:hAnsi="宋体" w:cs="宋体"/>
          <w:color w:val="auto"/>
          <w:highlight w:val="none"/>
        </w:rPr>
      </w:pPr>
    </w:p>
    <w:p>
      <w:pPr>
        <w:pageBreakBefore w:val="0"/>
        <w:kinsoku/>
        <w:wordWrap w:val="0"/>
        <w:topLinePunct w:val="0"/>
        <w:bidi w:val="0"/>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供应商[公章(CA签章)，自然人签字或个人CA签章]：</w:t>
      </w:r>
    </w:p>
    <w:p>
      <w:pPr>
        <w:pStyle w:val="19"/>
        <w:pageBreakBefore w:val="0"/>
        <w:kinsoku/>
        <w:wordWrap w:val="0"/>
        <w:topLinePunct w:val="0"/>
        <w:bidi w:val="0"/>
        <w:ind w:firstLine="3990" w:firstLineChars="1900"/>
        <w:rPr>
          <w:rFonts w:hAnsi="宋体" w:cs="宋体"/>
          <w:color w:val="auto"/>
          <w:highlight w:val="none"/>
          <w:u w:val="single"/>
        </w:rPr>
      </w:pPr>
      <w:r>
        <w:rPr>
          <w:rFonts w:hint="eastAsia" w:hAnsi="宋体" w:cs="宋体"/>
          <w:color w:val="auto"/>
          <w:highlight w:val="none"/>
        </w:rPr>
        <w:t>日          期：</w:t>
      </w:r>
    </w:p>
    <w:p>
      <w:pPr>
        <w:pageBreakBefore w:val="0"/>
        <w:kinsoku/>
        <w:wordWrap w:val="0"/>
        <w:topLinePunct w:val="0"/>
        <w:bidi w:val="0"/>
        <w:spacing w:line="400" w:lineRule="exact"/>
        <w:ind w:left="420" w:leftChars="200" w:firstLine="3780" w:firstLineChars="1800"/>
        <w:rPr>
          <w:rFonts w:ascii="宋体" w:hAnsi="宋体" w:cs="宋体"/>
          <w:color w:val="auto"/>
          <w:kern w:val="0"/>
          <w:szCs w:val="21"/>
          <w:highlight w:val="none"/>
        </w:rPr>
      </w:pPr>
    </w:p>
    <w:p>
      <w:pPr>
        <w:pageBreakBefore w:val="0"/>
        <w:kinsoku/>
        <w:wordWrap w:val="0"/>
        <w:topLinePunct w:val="0"/>
        <w:bidi w:val="0"/>
        <w:ind w:firstLine="643"/>
        <w:rPr>
          <w:rFonts w:ascii="宋体" w:hAnsi="宋体"/>
          <w:b/>
          <w:color w:val="auto"/>
          <w:kern w:val="0"/>
          <w:sz w:val="32"/>
          <w:szCs w:val="32"/>
          <w:highlight w:val="none"/>
        </w:rPr>
      </w:pPr>
    </w:p>
    <w:p>
      <w:pPr>
        <w:pageBreakBefore w:val="0"/>
        <w:kinsoku/>
        <w:wordWrap w:val="0"/>
        <w:topLinePunct w:val="0"/>
        <w:bidi w:val="0"/>
        <w:ind w:firstLine="643"/>
        <w:rPr>
          <w:rFonts w:ascii="宋体" w:hAnsi="宋体"/>
          <w:b/>
          <w:color w:val="auto"/>
          <w:kern w:val="0"/>
          <w:sz w:val="32"/>
          <w:szCs w:val="32"/>
          <w:highlight w:val="none"/>
        </w:rPr>
      </w:pPr>
    </w:p>
    <w:p>
      <w:pPr>
        <w:pageBreakBefore w:val="0"/>
        <w:kinsoku/>
        <w:wordWrap w:val="0"/>
        <w:topLinePunct w:val="0"/>
        <w:bidi w:val="0"/>
        <w:ind w:firstLine="643"/>
        <w:rPr>
          <w:rFonts w:ascii="宋体" w:hAnsi="宋体"/>
          <w:b/>
          <w:color w:val="auto"/>
          <w:kern w:val="0"/>
          <w:sz w:val="32"/>
          <w:szCs w:val="32"/>
          <w:highlight w:val="none"/>
        </w:rPr>
      </w:pPr>
      <w:r>
        <w:rPr>
          <w:rFonts w:hint="eastAsia" w:ascii="宋体" w:hAnsi="宋体"/>
          <w:b/>
          <w:color w:val="auto"/>
          <w:kern w:val="0"/>
          <w:sz w:val="32"/>
          <w:szCs w:val="32"/>
          <w:highlight w:val="none"/>
        </w:rPr>
        <w:br w:type="page"/>
      </w:r>
    </w:p>
    <w:p>
      <w:pPr>
        <w:pageBreakBefore w:val="0"/>
        <w:kinsoku/>
        <w:wordWrap w:val="0"/>
        <w:topLinePunct w:val="0"/>
        <w:bidi w:val="0"/>
        <w:ind w:firstLine="2570" w:firstLineChars="800"/>
        <w:rPr>
          <w:rFonts w:ascii="宋体" w:hAnsi="宋体"/>
          <w:b/>
          <w:color w:val="auto"/>
          <w:kern w:val="0"/>
          <w:sz w:val="32"/>
          <w:szCs w:val="32"/>
          <w:highlight w:val="none"/>
        </w:rPr>
      </w:pPr>
      <w:r>
        <w:rPr>
          <w:rFonts w:hint="eastAsia" w:ascii="宋体" w:hAnsi="宋体"/>
          <w:b/>
          <w:color w:val="auto"/>
          <w:kern w:val="0"/>
          <w:sz w:val="32"/>
          <w:szCs w:val="32"/>
          <w:highlight w:val="none"/>
        </w:rPr>
        <w:t>（二）符合性响应证明材料目录</w:t>
      </w:r>
    </w:p>
    <w:p>
      <w:pPr>
        <w:pageBreakBefore w:val="0"/>
        <w:tabs>
          <w:tab w:val="left" w:pos="567"/>
        </w:tabs>
        <w:kinsoku/>
        <w:wordWrap w:val="0"/>
        <w:topLinePunct w:val="0"/>
        <w:bidi w:val="0"/>
        <w:spacing w:line="52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响应函（格式见附件）</w:t>
      </w:r>
      <w:r>
        <w:rPr>
          <w:rFonts w:hint="eastAsia" w:ascii="宋体" w:hAnsi="宋体" w:cs="宋体"/>
          <w:b/>
          <w:color w:val="auto"/>
          <w:sz w:val="24"/>
          <w:highlight w:val="none"/>
        </w:rPr>
        <w:t>（必须提供）；</w:t>
      </w:r>
    </w:p>
    <w:p>
      <w:pPr>
        <w:pageBreakBefore w:val="0"/>
        <w:kinsoku/>
        <w:wordWrap w:val="0"/>
        <w:topLinePunct w:val="0"/>
        <w:bidi w:val="0"/>
        <w:spacing w:line="52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2.磋商报价表（格式见附件）</w:t>
      </w:r>
      <w:r>
        <w:rPr>
          <w:rFonts w:hint="eastAsia" w:ascii="宋体" w:hAnsi="宋体" w:cs="宋体"/>
          <w:b/>
          <w:bCs/>
          <w:color w:val="auto"/>
          <w:sz w:val="24"/>
          <w:highlight w:val="none"/>
        </w:rPr>
        <w:t>（必须提供）；</w:t>
      </w:r>
    </w:p>
    <w:p>
      <w:pPr>
        <w:pageBreakBefore w:val="0"/>
        <w:kinsoku/>
        <w:wordWrap w:val="0"/>
        <w:topLinePunct w:val="0"/>
        <w:bidi w:val="0"/>
        <w:spacing w:line="52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监理服务需求</w:t>
      </w:r>
      <w:r>
        <w:rPr>
          <w:rFonts w:hint="eastAsia" w:ascii="宋体" w:hAnsi="宋体" w:cs="宋体"/>
          <w:color w:val="auto"/>
          <w:sz w:val="24"/>
          <w:highlight w:val="none"/>
        </w:rPr>
        <w:t>响应表（格式见附件）</w:t>
      </w:r>
      <w:r>
        <w:rPr>
          <w:rFonts w:hint="eastAsia" w:ascii="宋体" w:hAnsi="宋体" w:cs="宋体"/>
          <w:b/>
          <w:bCs/>
          <w:color w:val="auto"/>
          <w:sz w:val="24"/>
          <w:highlight w:val="none"/>
        </w:rPr>
        <w:t>(必须提供)；</w:t>
      </w:r>
    </w:p>
    <w:p>
      <w:pPr>
        <w:pageBreakBefore w:val="0"/>
        <w:widowControl/>
        <w:shd w:val="clear" w:color="auto" w:fill="FFFFFF"/>
        <w:kinsoku/>
        <w:wordWrap w:val="0"/>
        <w:topLinePunct w:val="0"/>
        <w:bidi w:val="0"/>
        <w:spacing w:line="480" w:lineRule="exact"/>
        <w:ind w:firstLine="480" w:firstLineChars="200"/>
        <w:rPr>
          <w:rFonts w:hint="eastAsia" w:ascii="宋体" w:hAnsi="宋体" w:eastAsia="宋体"/>
          <w:color w:val="auto"/>
          <w:kern w:val="0"/>
          <w:sz w:val="24"/>
          <w:highlight w:val="none"/>
          <w:shd w:val="clear" w:color="auto" w:fill="FFFFFF"/>
          <w:lang w:eastAsia="zh-CN"/>
        </w:rPr>
      </w:pPr>
      <w:r>
        <w:rPr>
          <w:rFonts w:hint="eastAsia" w:ascii="宋体" w:hAnsi="宋体"/>
          <w:bCs/>
          <w:color w:val="auto"/>
          <w:kern w:val="0"/>
          <w:sz w:val="24"/>
          <w:szCs w:val="32"/>
          <w:highlight w:val="none"/>
        </w:rPr>
        <w:t>4.</w:t>
      </w:r>
      <w:r>
        <w:rPr>
          <w:rFonts w:hint="eastAsia" w:ascii="宋体" w:hAnsi="宋体"/>
          <w:bCs/>
          <w:color w:val="auto"/>
          <w:kern w:val="0"/>
          <w:sz w:val="24"/>
          <w:szCs w:val="32"/>
          <w:highlight w:val="none"/>
          <w:lang w:eastAsia="zh-CN"/>
        </w:rPr>
        <w:t>服务承诺书（由供应商根据本项目服务采购要求、特点及供应商自身的处理能力自行编写，承诺书内容至少应包括“监理服务需求” 中的所有服务条款）（格式见附件）</w:t>
      </w:r>
      <w:r>
        <w:rPr>
          <w:rFonts w:hint="eastAsia" w:ascii="宋体" w:hAnsi="宋体"/>
          <w:b/>
          <w:bCs w:val="0"/>
          <w:color w:val="auto"/>
          <w:kern w:val="0"/>
          <w:sz w:val="24"/>
          <w:szCs w:val="32"/>
          <w:highlight w:val="none"/>
          <w:lang w:eastAsia="zh-CN"/>
        </w:rPr>
        <w:t>（必须提供）；</w:t>
      </w:r>
    </w:p>
    <w:p>
      <w:pPr>
        <w:pStyle w:val="4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kern w:val="0"/>
          <w:sz w:val="24"/>
          <w:highlight w:val="none"/>
          <w:shd w:val="clear" w:color="auto" w:fill="FFFFFF"/>
        </w:rPr>
      </w:pPr>
      <w:r>
        <w:rPr>
          <w:rFonts w:hint="eastAsia" w:ascii="宋体" w:hAnsi="宋体"/>
          <w:color w:val="auto"/>
          <w:kern w:val="0"/>
          <w:sz w:val="24"/>
          <w:highlight w:val="none"/>
          <w:shd w:val="clear" w:color="auto" w:fill="FFFFFF"/>
          <w:lang w:val="en-US" w:eastAsia="zh-CN"/>
        </w:rPr>
        <w:t>5.</w:t>
      </w:r>
      <w:r>
        <w:rPr>
          <w:rFonts w:hint="eastAsia" w:ascii="宋体" w:hAnsi="宋体"/>
          <w:color w:val="auto"/>
          <w:kern w:val="0"/>
          <w:sz w:val="24"/>
          <w:highlight w:val="none"/>
          <w:shd w:val="clear" w:color="auto" w:fill="FFFFFF"/>
        </w:rPr>
        <w:t>监理大纲</w:t>
      </w:r>
      <w:r>
        <w:rPr>
          <w:rFonts w:hint="eastAsia" w:ascii="宋体" w:hAnsi="宋体"/>
          <w:b/>
          <w:bCs/>
          <w:color w:val="auto"/>
          <w:kern w:val="0"/>
          <w:sz w:val="24"/>
          <w:highlight w:val="none"/>
          <w:shd w:val="clear" w:color="auto" w:fill="FFFFFF"/>
        </w:rPr>
        <w:t>（必须提供）；</w:t>
      </w:r>
    </w:p>
    <w:p>
      <w:pPr>
        <w:pStyle w:val="4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b/>
          <w:bCs/>
          <w:color w:val="auto"/>
          <w:highlight w:val="none"/>
        </w:rPr>
      </w:pPr>
      <w:r>
        <w:rPr>
          <w:rFonts w:hint="eastAsia" w:ascii="宋体" w:hAnsi="宋体"/>
          <w:color w:val="auto"/>
          <w:kern w:val="0"/>
          <w:sz w:val="24"/>
          <w:highlight w:val="none"/>
          <w:shd w:val="clear" w:color="auto" w:fill="FFFFFF"/>
          <w:lang w:val="en-US" w:eastAsia="zh-CN"/>
        </w:rPr>
        <w:t>6.</w:t>
      </w:r>
      <w:r>
        <w:rPr>
          <w:rFonts w:hint="eastAsia" w:ascii="宋体" w:hAnsi="宋体"/>
          <w:color w:val="auto"/>
          <w:kern w:val="0"/>
          <w:sz w:val="24"/>
          <w:highlight w:val="none"/>
          <w:shd w:val="clear" w:color="auto" w:fill="FFFFFF"/>
        </w:rPr>
        <w:t>拟投入本工程的监理人员情况表</w:t>
      </w:r>
      <w:r>
        <w:rPr>
          <w:rFonts w:hint="eastAsia" w:ascii="宋体" w:hAnsi="宋体"/>
          <w:b/>
          <w:bCs/>
          <w:color w:val="auto"/>
          <w:kern w:val="0"/>
          <w:sz w:val="24"/>
          <w:highlight w:val="none"/>
          <w:shd w:val="clear" w:color="auto" w:fill="FFFFFF"/>
        </w:rPr>
        <w:t>【必须提供，并一起提供由县级以上（含县级）社会养老保险经办机构出具的</w:t>
      </w:r>
      <w:r>
        <w:rPr>
          <w:rFonts w:hint="eastAsia" w:ascii="宋体" w:hAnsi="宋体"/>
          <w:b/>
          <w:bCs/>
          <w:color w:val="auto"/>
          <w:kern w:val="0"/>
          <w:sz w:val="24"/>
          <w:highlight w:val="none"/>
          <w:shd w:val="clear" w:color="auto" w:fill="FFFFFF"/>
          <w:lang w:eastAsia="zh-CN"/>
        </w:rPr>
        <w:t>供应商</w:t>
      </w:r>
      <w:r>
        <w:rPr>
          <w:rFonts w:hint="eastAsia" w:ascii="宋体" w:hAnsi="宋体"/>
          <w:b/>
          <w:bCs/>
          <w:color w:val="auto"/>
          <w:kern w:val="0"/>
          <w:sz w:val="24"/>
          <w:highlight w:val="none"/>
          <w:shd w:val="clear" w:color="auto" w:fill="FFFFFF"/>
        </w:rPr>
        <w:t>为项目实施人员</w:t>
      </w:r>
      <w:r>
        <w:rPr>
          <w:rFonts w:hint="eastAsia" w:ascii="宋体" w:hAnsi="宋体"/>
          <w:b/>
          <w:bCs/>
          <w:color w:val="auto"/>
          <w:kern w:val="0"/>
          <w:sz w:val="24"/>
          <w:highlight w:val="none"/>
          <w:shd w:val="clear" w:color="auto" w:fill="FFFFFF"/>
          <w:lang w:eastAsia="zh-CN"/>
        </w:rPr>
        <w:t>2024年以来任意连续三个月缴纳社保的证明材料复印件</w:t>
      </w:r>
      <w:r>
        <w:rPr>
          <w:rFonts w:hint="eastAsia" w:ascii="宋体" w:hAnsi="宋体"/>
          <w:b/>
          <w:bCs/>
          <w:color w:val="auto"/>
          <w:kern w:val="0"/>
          <w:sz w:val="24"/>
          <w:highlight w:val="none"/>
          <w:shd w:val="clear" w:color="auto" w:fill="FFFFFF"/>
        </w:rPr>
        <w:t>（如</w:t>
      </w:r>
      <w:r>
        <w:rPr>
          <w:rFonts w:hint="eastAsia" w:ascii="宋体" w:hAnsi="宋体"/>
          <w:b/>
          <w:bCs/>
          <w:color w:val="auto"/>
          <w:kern w:val="0"/>
          <w:sz w:val="24"/>
          <w:highlight w:val="none"/>
          <w:shd w:val="clear" w:color="auto" w:fill="FFFFFF"/>
          <w:lang w:eastAsia="zh-CN"/>
        </w:rPr>
        <w:t>供应商</w:t>
      </w:r>
      <w:r>
        <w:rPr>
          <w:rFonts w:hint="eastAsia" w:ascii="宋体" w:hAnsi="宋体"/>
          <w:b/>
          <w:bCs/>
          <w:color w:val="auto"/>
          <w:kern w:val="0"/>
          <w:sz w:val="24"/>
          <w:highlight w:val="none"/>
          <w:shd w:val="clear" w:color="auto" w:fill="FFFFFF"/>
        </w:rPr>
        <w:t>为截标时间前 60 日以内成立的公司，可以提供</w:t>
      </w:r>
      <w:r>
        <w:rPr>
          <w:rFonts w:hint="eastAsia" w:ascii="宋体" w:hAnsi="宋体"/>
          <w:b/>
          <w:bCs/>
          <w:color w:val="auto"/>
          <w:kern w:val="0"/>
          <w:sz w:val="24"/>
          <w:highlight w:val="none"/>
          <w:shd w:val="clear" w:color="auto" w:fill="FFFFFF"/>
          <w:lang w:eastAsia="zh-CN"/>
        </w:rPr>
        <w:t>供应商</w:t>
      </w:r>
      <w:r>
        <w:rPr>
          <w:rFonts w:hint="eastAsia" w:ascii="宋体" w:hAnsi="宋体"/>
          <w:b/>
          <w:bCs/>
          <w:color w:val="auto"/>
          <w:kern w:val="0"/>
          <w:sz w:val="24"/>
          <w:highlight w:val="none"/>
          <w:shd w:val="clear" w:color="auto" w:fill="FFFFFF"/>
        </w:rPr>
        <w:t>与项目实施人员签订的劳动合同复 印件代替社保证明复印件；项目实施人员为免缴纳社保人员，提供免缴纳社保的证明材料复印件及</w:t>
      </w:r>
      <w:r>
        <w:rPr>
          <w:rFonts w:hint="eastAsia" w:ascii="宋体" w:hAnsi="宋体"/>
          <w:b/>
          <w:bCs/>
          <w:color w:val="auto"/>
          <w:kern w:val="0"/>
          <w:sz w:val="24"/>
          <w:highlight w:val="none"/>
          <w:shd w:val="clear" w:color="auto" w:fill="FFFFFF"/>
          <w:lang w:eastAsia="zh-CN"/>
        </w:rPr>
        <w:t>供应商</w:t>
      </w:r>
      <w:r>
        <w:rPr>
          <w:rFonts w:hint="eastAsia" w:ascii="宋体" w:hAnsi="宋体"/>
          <w:b/>
          <w:bCs/>
          <w:color w:val="auto"/>
          <w:kern w:val="0"/>
          <w:sz w:val="24"/>
          <w:highlight w:val="none"/>
          <w:shd w:val="clear" w:color="auto" w:fill="FFFFFF"/>
        </w:rPr>
        <w:t>与项目实施人员签订的劳动合同复印件代替社保证明复印件）】。</w:t>
      </w:r>
    </w:p>
    <w:p>
      <w:pPr>
        <w:pStyle w:val="19"/>
        <w:pageBreakBefore w:val="0"/>
        <w:kinsoku/>
        <w:wordWrap w:val="0"/>
        <w:topLinePunct w:val="0"/>
        <w:bidi w:val="0"/>
        <w:spacing w:line="320" w:lineRule="exact"/>
        <w:ind w:firstLine="562"/>
        <w:rPr>
          <w:b/>
          <w:color w:val="auto"/>
          <w:sz w:val="28"/>
          <w:szCs w:val="28"/>
          <w:highlight w:val="none"/>
        </w:rPr>
      </w:pPr>
    </w:p>
    <w:p>
      <w:pPr>
        <w:pStyle w:val="19"/>
        <w:pageBreakBefore w:val="0"/>
        <w:kinsoku/>
        <w:wordWrap w:val="0"/>
        <w:topLinePunct w:val="0"/>
        <w:bidi w:val="0"/>
        <w:spacing w:line="320" w:lineRule="exact"/>
        <w:ind w:firstLine="562"/>
        <w:rPr>
          <w:b/>
          <w:color w:val="auto"/>
          <w:sz w:val="28"/>
          <w:szCs w:val="28"/>
          <w:highlight w:val="none"/>
        </w:rPr>
      </w:pPr>
    </w:p>
    <w:p>
      <w:pPr>
        <w:pStyle w:val="19"/>
        <w:pageBreakBefore w:val="0"/>
        <w:kinsoku/>
        <w:wordWrap w:val="0"/>
        <w:topLinePunct w:val="0"/>
        <w:bidi w:val="0"/>
        <w:spacing w:line="320" w:lineRule="exact"/>
        <w:ind w:firstLine="562"/>
        <w:rPr>
          <w:b/>
          <w:color w:val="auto"/>
          <w:sz w:val="28"/>
          <w:szCs w:val="28"/>
          <w:highlight w:val="none"/>
        </w:rPr>
      </w:pPr>
    </w:p>
    <w:p>
      <w:pPr>
        <w:pageBreakBefore w:val="0"/>
        <w:kinsoku/>
        <w:wordWrap w:val="0"/>
        <w:topLinePunct w:val="0"/>
        <w:bidi w:val="0"/>
        <w:rPr>
          <w:color w:val="auto"/>
          <w:highlight w:val="none"/>
        </w:rPr>
      </w:pPr>
    </w:p>
    <w:p>
      <w:pPr>
        <w:pStyle w:val="19"/>
        <w:pageBreakBefore w:val="0"/>
        <w:kinsoku/>
        <w:wordWrap w:val="0"/>
        <w:topLinePunct w:val="0"/>
        <w:bidi w:val="0"/>
        <w:spacing w:line="320" w:lineRule="exact"/>
        <w:ind w:firstLine="562"/>
        <w:rPr>
          <w:b/>
          <w:color w:val="auto"/>
          <w:sz w:val="28"/>
          <w:szCs w:val="28"/>
          <w:highlight w:val="none"/>
        </w:rPr>
      </w:pPr>
    </w:p>
    <w:p>
      <w:pPr>
        <w:pageBreakBefore w:val="0"/>
        <w:kinsoku/>
        <w:wordWrap w:val="0"/>
        <w:topLinePunct w:val="0"/>
        <w:bidi w:val="0"/>
        <w:spacing w:line="400" w:lineRule="exact"/>
        <w:ind w:firstLine="643"/>
        <w:rPr>
          <w:rFonts w:ascii="宋体" w:hAnsi="宋体" w:cs="宋体"/>
          <w:b/>
          <w:bCs/>
          <w:color w:val="auto"/>
          <w:sz w:val="32"/>
          <w:szCs w:val="32"/>
          <w:highlight w:val="none"/>
        </w:rPr>
      </w:pPr>
    </w:p>
    <w:p>
      <w:pPr>
        <w:pageBreakBefore w:val="0"/>
        <w:kinsoku/>
        <w:wordWrap w:val="0"/>
        <w:topLinePunct w:val="0"/>
        <w:bidi w:val="0"/>
        <w:ind w:firstLine="643"/>
        <w:rPr>
          <w:rFonts w:ascii="宋体" w:hAnsi="宋体" w:cs="宋体"/>
          <w:b/>
          <w:bCs/>
          <w:color w:val="auto"/>
          <w:sz w:val="32"/>
          <w:szCs w:val="32"/>
          <w:highlight w:val="none"/>
        </w:rPr>
      </w:pPr>
      <w:bookmarkStart w:id="53" w:name="_Toc497927072"/>
      <w:bookmarkStart w:id="54" w:name="_Toc17617"/>
      <w:bookmarkStart w:id="55" w:name="_Toc12920"/>
      <w:r>
        <w:rPr>
          <w:rFonts w:hint="eastAsia" w:ascii="宋体" w:hAnsi="宋体" w:cs="宋体"/>
          <w:b/>
          <w:bCs/>
          <w:color w:val="auto"/>
          <w:sz w:val="32"/>
          <w:szCs w:val="32"/>
          <w:highlight w:val="none"/>
        </w:rPr>
        <w:br w:type="page"/>
      </w:r>
    </w:p>
    <w:p>
      <w:pPr>
        <w:pageBreakBefore w:val="0"/>
        <w:kinsoku/>
        <w:wordWrap w:val="0"/>
        <w:topLinePunct w:val="0"/>
        <w:bidi w:val="0"/>
        <w:spacing w:line="400" w:lineRule="exact"/>
        <w:ind w:firstLine="643"/>
        <w:rPr>
          <w:rFonts w:ascii="宋体" w:hAnsi="宋体" w:cs="宋体"/>
          <w:b/>
          <w:bCs/>
          <w:color w:val="auto"/>
          <w:sz w:val="32"/>
          <w:szCs w:val="32"/>
          <w:highlight w:val="none"/>
        </w:rPr>
      </w:pPr>
      <w:r>
        <w:rPr>
          <w:rFonts w:hint="eastAsia" w:ascii="宋体" w:hAnsi="宋体" w:cs="宋体"/>
          <w:b/>
          <w:bCs/>
          <w:color w:val="auto"/>
          <w:sz w:val="32"/>
          <w:szCs w:val="32"/>
          <w:highlight w:val="none"/>
        </w:rPr>
        <w:t>1.响应函（格式见附件）（必须提供）</w:t>
      </w:r>
      <w:bookmarkEnd w:id="53"/>
      <w:bookmarkEnd w:id="54"/>
      <w:bookmarkEnd w:id="55"/>
    </w:p>
    <w:p>
      <w:pPr>
        <w:pStyle w:val="19"/>
        <w:pageBreakBefore w:val="0"/>
        <w:kinsoku/>
        <w:wordWrap w:val="0"/>
        <w:topLinePunct w:val="0"/>
        <w:bidi w:val="0"/>
        <w:ind w:firstLine="643"/>
        <w:rPr>
          <w:rFonts w:hAnsi="宋体" w:cs="宋体"/>
          <w:b/>
          <w:color w:val="auto"/>
          <w:sz w:val="32"/>
          <w:highlight w:val="none"/>
        </w:rPr>
      </w:pPr>
      <w:r>
        <w:rPr>
          <w:rFonts w:hint="eastAsia" w:hAnsi="宋体" w:cs="宋体"/>
          <w:b/>
          <w:color w:val="auto"/>
          <w:sz w:val="32"/>
          <w:highlight w:val="none"/>
        </w:rPr>
        <w:t>附件：</w:t>
      </w:r>
    </w:p>
    <w:p>
      <w:pPr>
        <w:pStyle w:val="19"/>
        <w:pageBreakBefore w:val="0"/>
        <w:kinsoku/>
        <w:wordWrap w:val="0"/>
        <w:topLinePunct w:val="0"/>
        <w:bidi w:val="0"/>
        <w:ind w:firstLine="803" w:firstLineChars="250"/>
        <w:jc w:val="center"/>
        <w:rPr>
          <w:rFonts w:hAnsi="宋体" w:cs="宋体"/>
          <w:color w:val="auto"/>
          <w:sz w:val="32"/>
          <w:highlight w:val="none"/>
        </w:rPr>
      </w:pPr>
      <w:bookmarkStart w:id="56" w:name="_Toc7273_WPSOffice_Level1"/>
      <w:bookmarkStart w:id="57" w:name="_Toc17832_WPSOffice_Level1"/>
      <w:r>
        <w:rPr>
          <w:rFonts w:hint="eastAsia" w:hAnsi="宋体" w:cs="宋体"/>
          <w:b/>
          <w:color w:val="auto"/>
          <w:sz w:val="32"/>
          <w:highlight w:val="none"/>
        </w:rPr>
        <w:t>响 应 函 （格 式）</w:t>
      </w:r>
      <w:bookmarkEnd w:id="56"/>
      <w:bookmarkEnd w:id="57"/>
    </w:p>
    <w:p>
      <w:pPr>
        <w:pageBreakBefore w:val="0"/>
        <w:kinsoku/>
        <w:wordWrap w:val="0"/>
        <w:topLinePunct w:val="0"/>
        <w:bidi w:val="0"/>
        <w:spacing w:line="400" w:lineRule="exact"/>
        <w:rPr>
          <w:rFonts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：广西华诚达建设项目管理有限公司</w:t>
      </w:r>
    </w:p>
    <w:p>
      <w:pPr>
        <w:pageBreakBefore w:val="0"/>
        <w:kinsoku/>
        <w:wordWrap w:val="0"/>
        <w:topLinePunct w:val="0"/>
        <w:bidi w:val="0"/>
        <w:spacing w:line="400" w:lineRule="exact"/>
        <w:rPr>
          <w:rFonts w:ascii="宋体" w:hAnsi="宋体" w:cs="宋体"/>
          <w:color w:val="auto"/>
          <w:szCs w:val="21"/>
          <w:highlight w:val="none"/>
        </w:rPr>
      </w:pPr>
    </w:p>
    <w:p>
      <w:pPr>
        <w:pStyle w:val="19"/>
        <w:pageBreakBefore w:val="0"/>
        <w:kinsoku/>
        <w:wordWrap w:val="0"/>
        <w:topLinePunct w:val="0"/>
        <w:bidi w:val="0"/>
        <w:spacing w:line="360" w:lineRule="exact"/>
        <w:ind w:firstLine="420"/>
        <w:rPr>
          <w:rFonts w:hAnsi="宋体" w:cs="宋体"/>
          <w:color w:val="auto"/>
          <w:highlight w:val="none"/>
          <w:u w:val="singl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highlight w:val="none"/>
          <w:u w:val="single"/>
        </w:rPr>
        <w:t xml:space="preserve">                    </w:t>
      </w:r>
      <w:r>
        <w:rPr>
          <w:rFonts w:hint="eastAsia" w:hAnsi="宋体" w:cs="宋体"/>
          <w:color w:val="auto"/>
          <w:szCs w:val="21"/>
          <w:highlight w:val="none"/>
        </w:rPr>
        <w:t>，签字代表</w:t>
      </w:r>
      <w:r>
        <w:rPr>
          <w:rFonts w:hint="eastAsia" w:hAnsi="宋体" w:cs="宋体"/>
          <w:color w:val="auto"/>
          <w:szCs w:val="21"/>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pPr>
        <w:pStyle w:val="19"/>
        <w:pageBreakBefore w:val="0"/>
        <w:kinsoku/>
        <w:wordWrap w:val="0"/>
        <w:topLinePunct w:val="0"/>
        <w:bidi w:val="0"/>
        <w:spacing w:line="360" w:lineRule="exact"/>
        <w:ind w:firstLine="420"/>
        <w:rPr>
          <w:rFonts w:hAnsi="宋体" w:cs="宋体"/>
          <w:color w:val="auto"/>
          <w:highlight w:val="none"/>
        </w:rPr>
      </w:pPr>
      <w:r>
        <w:rPr>
          <w:rFonts w:hint="eastAsia" w:hAnsi="宋体" w:cs="宋体"/>
          <w:color w:val="auto"/>
          <w:highlight w:val="none"/>
        </w:rPr>
        <w:t>据此函，签字代表宣布同意如下：</w:t>
      </w:r>
    </w:p>
    <w:p>
      <w:pPr>
        <w:pStyle w:val="19"/>
        <w:pageBreakBefore w:val="0"/>
        <w:kinsoku/>
        <w:wordWrap w:val="0"/>
        <w:topLinePunct w:val="0"/>
        <w:bidi w:val="0"/>
        <w:spacing w:line="360" w:lineRule="exact"/>
        <w:ind w:firstLine="420"/>
        <w:rPr>
          <w:rFonts w:hAnsi="宋体" w:cs="宋体"/>
          <w:color w:val="auto"/>
          <w:highlight w:val="none"/>
        </w:rPr>
      </w:pPr>
      <w:r>
        <w:rPr>
          <w:rFonts w:hint="eastAsia" w:hAnsi="宋体" w:cs="宋体"/>
          <w:color w:val="auto"/>
          <w:highlight w:val="none"/>
        </w:rPr>
        <w:t>1. 按磋商文件</w:t>
      </w:r>
      <w:r>
        <w:rPr>
          <w:rFonts w:hint="eastAsia" w:hAnsi="宋体" w:cs="宋体"/>
          <w:color w:val="auto"/>
          <w:highlight w:val="none"/>
          <w:lang w:eastAsia="zh-CN"/>
        </w:rPr>
        <w:t>监理服务需求</w:t>
      </w:r>
      <w:r>
        <w:rPr>
          <w:rFonts w:hint="eastAsia" w:hAnsi="宋体" w:cs="宋体"/>
          <w:color w:val="auto"/>
          <w:highlight w:val="none"/>
        </w:rPr>
        <w:t>和磋商报价表：</w:t>
      </w:r>
    </w:p>
    <w:p>
      <w:pPr>
        <w:pStyle w:val="19"/>
        <w:pageBreakBefore w:val="0"/>
        <w:kinsoku/>
        <w:wordWrap w:val="0"/>
        <w:topLinePunct w:val="0"/>
        <w:bidi w:val="0"/>
        <w:spacing w:line="360" w:lineRule="exact"/>
        <w:ind w:firstLine="420"/>
        <w:rPr>
          <w:rFonts w:hAnsi="宋体" w:cs="宋体"/>
          <w:color w:val="auto"/>
          <w:highlight w:val="none"/>
        </w:rPr>
      </w:pPr>
      <w:r>
        <w:rPr>
          <w:rFonts w:hint="eastAsia" w:hAnsi="宋体" w:cs="宋体"/>
          <w:color w:val="auto"/>
          <w:highlight w:val="none"/>
        </w:rPr>
        <w:t>磋商总报价</w:t>
      </w:r>
      <w:r>
        <w:rPr>
          <w:rFonts w:hint="eastAsia" w:hAnsi="宋体" w:cs="宋体"/>
          <w:color w:val="auto"/>
          <w:highlight w:val="none"/>
          <w:u w:val="single"/>
        </w:rPr>
        <w:t>（大写）</w:t>
      </w:r>
      <w:r>
        <w:rPr>
          <w:rFonts w:hint="eastAsia" w:hAnsi="宋体" w:cs="宋体"/>
          <w:color w:val="auto"/>
          <w:highlight w:val="none"/>
        </w:rPr>
        <w:t>元人民币(</w:t>
      </w:r>
      <w:r>
        <w:rPr>
          <w:rFonts w:hint="eastAsia" w:hAnsi="宋体" w:cs="宋体"/>
          <w:color w:val="auto"/>
          <w:highlight w:val="none"/>
          <w:u w:val="single"/>
        </w:rPr>
        <w:t xml:space="preserve">￥                       </w:t>
      </w:r>
      <w:r>
        <w:rPr>
          <w:rFonts w:hint="eastAsia" w:hAnsi="宋体" w:cs="宋体"/>
          <w:color w:val="auto"/>
          <w:highlight w:val="none"/>
        </w:rPr>
        <w:t>)。</w:t>
      </w:r>
    </w:p>
    <w:p>
      <w:pPr>
        <w:pStyle w:val="19"/>
        <w:pageBreakBefore w:val="0"/>
        <w:kinsoku/>
        <w:wordWrap w:val="0"/>
        <w:topLinePunct w:val="0"/>
        <w:bidi w:val="0"/>
        <w:spacing w:line="360" w:lineRule="exact"/>
        <w:ind w:firstLine="420"/>
        <w:rPr>
          <w:rFonts w:hAnsi="宋体" w:cs="宋体"/>
          <w:color w:val="auto"/>
          <w:highlight w:val="none"/>
        </w:rPr>
      </w:pPr>
      <w:r>
        <w:rPr>
          <w:rFonts w:hint="eastAsia" w:hAnsi="宋体" w:cs="宋体"/>
          <w:color w:val="auto"/>
          <w:highlight w:val="none"/>
        </w:rPr>
        <w:t>2.我方承诺已具备磋商文件规定的供应商资格条件。</w:t>
      </w:r>
    </w:p>
    <w:p>
      <w:pPr>
        <w:pStyle w:val="19"/>
        <w:pageBreakBefore w:val="0"/>
        <w:kinsoku/>
        <w:wordWrap w:val="0"/>
        <w:topLinePunct w:val="0"/>
        <w:bidi w:val="0"/>
        <w:spacing w:line="360" w:lineRule="exact"/>
        <w:ind w:firstLine="420"/>
        <w:rPr>
          <w:rFonts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pPr>
        <w:pStyle w:val="19"/>
        <w:pageBreakBefore w:val="0"/>
        <w:kinsoku/>
        <w:wordWrap w:val="0"/>
        <w:topLinePunct w:val="0"/>
        <w:bidi w:val="0"/>
        <w:spacing w:line="360" w:lineRule="exact"/>
        <w:ind w:firstLine="420"/>
        <w:rPr>
          <w:rFonts w:hAnsi="宋体" w:cs="宋体"/>
          <w:color w:val="auto"/>
          <w:highlight w:val="none"/>
        </w:rPr>
      </w:pPr>
      <w:r>
        <w:rPr>
          <w:rFonts w:hint="eastAsia" w:hAnsi="宋体" w:cs="宋体"/>
          <w:color w:val="auto"/>
          <w:highlight w:val="none"/>
        </w:rPr>
        <w:t>4. 响应文件有效期为</w:t>
      </w:r>
      <w:r>
        <w:rPr>
          <w:rFonts w:hint="eastAsia" w:hAnsi="宋体" w:cs="宋体"/>
          <w:color w:val="auto"/>
          <w:szCs w:val="21"/>
          <w:highlight w:val="none"/>
        </w:rPr>
        <w:t>响应文件递交截止时间之日起90天。</w:t>
      </w:r>
    </w:p>
    <w:p>
      <w:pPr>
        <w:pStyle w:val="19"/>
        <w:pageBreakBefore w:val="0"/>
        <w:kinsoku/>
        <w:wordWrap w:val="0"/>
        <w:topLinePunct w:val="0"/>
        <w:bidi w:val="0"/>
        <w:spacing w:line="360" w:lineRule="exact"/>
        <w:ind w:firstLine="420"/>
        <w:rPr>
          <w:rFonts w:hAnsi="宋体" w:cs="宋体"/>
          <w:color w:val="auto"/>
          <w:highlight w:val="none"/>
        </w:rPr>
      </w:pPr>
      <w:r>
        <w:rPr>
          <w:rFonts w:hint="eastAsia" w:hAnsi="宋体" w:cs="宋体"/>
          <w:color w:val="auto"/>
          <w:highlight w:val="none"/>
        </w:rPr>
        <w:t>5. 如我方成交：</w:t>
      </w:r>
    </w:p>
    <w:p>
      <w:pPr>
        <w:pStyle w:val="19"/>
        <w:pageBreakBefore w:val="0"/>
        <w:kinsoku/>
        <w:wordWrap w:val="0"/>
        <w:topLinePunct w:val="0"/>
        <w:bidi w:val="0"/>
        <w:spacing w:line="360" w:lineRule="exact"/>
        <w:ind w:firstLine="420"/>
        <w:rPr>
          <w:rFonts w:hAnsi="宋体" w:cs="宋体"/>
          <w:color w:val="auto"/>
          <w:highlight w:val="none"/>
        </w:rPr>
      </w:pPr>
      <w:r>
        <w:rPr>
          <w:rFonts w:hint="eastAsia" w:hAnsi="宋体" w:cs="宋体"/>
          <w:color w:val="auto"/>
          <w:highlight w:val="none"/>
        </w:rPr>
        <w:t>（1）我方承诺在收到成交通知书后，在成交通知书规定的期限内与采购人签订合同。</w:t>
      </w:r>
    </w:p>
    <w:p>
      <w:pPr>
        <w:pStyle w:val="19"/>
        <w:pageBreakBefore w:val="0"/>
        <w:kinsoku/>
        <w:wordWrap w:val="0"/>
        <w:topLinePunct w:val="0"/>
        <w:bidi w:val="0"/>
        <w:spacing w:line="360" w:lineRule="exact"/>
        <w:ind w:firstLine="420"/>
        <w:rPr>
          <w:rFonts w:hAnsi="宋体" w:cs="宋体"/>
          <w:color w:val="auto"/>
          <w:szCs w:val="21"/>
          <w:highlight w:val="none"/>
        </w:rPr>
      </w:pPr>
      <w:r>
        <w:rPr>
          <w:rFonts w:hint="eastAsia" w:hAnsi="宋体" w:cs="宋体"/>
          <w:color w:val="auto"/>
          <w:szCs w:val="21"/>
          <w:highlight w:val="none"/>
        </w:rPr>
        <w:t>（2）我方承诺按照磋商文件规定递交履约担保。</w:t>
      </w:r>
    </w:p>
    <w:p>
      <w:pPr>
        <w:pStyle w:val="19"/>
        <w:pageBreakBefore w:val="0"/>
        <w:kinsoku/>
        <w:wordWrap w:val="0"/>
        <w:topLinePunct w:val="0"/>
        <w:bidi w:val="0"/>
        <w:spacing w:line="360" w:lineRule="exact"/>
        <w:ind w:firstLine="420"/>
        <w:rPr>
          <w:rFonts w:hAnsi="宋体" w:cs="宋体"/>
          <w:color w:val="auto"/>
          <w:szCs w:val="21"/>
          <w:highlight w:val="none"/>
        </w:rPr>
      </w:pPr>
      <w:r>
        <w:rPr>
          <w:rFonts w:hint="eastAsia" w:hAnsi="宋体" w:cs="宋体"/>
          <w:color w:val="auto"/>
          <w:szCs w:val="21"/>
          <w:highlight w:val="none"/>
        </w:rPr>
        <w:t>（3）我方承诺本响应文件至本项目合同履行完毕止均保持有效，按磋商文件及政府采购法律、法规的规定履行合同责任和义务。</w:t>
      </w:r>
    </w:p>
    <w:p>
      <w:pPr>
        <w:pStyle w:val="19"/>
        <w:pageBreakBefore w:val="0"/>
        <w:kinsoku/>
        <w:wordWrap w:val="0"/>
        <w:topLinePunct w:val="0"/>
        <w:bidi w:val="0"/>
        <w:spacing w:line="360" w:lineRule="exact"/>
        <w:ind w:firstLine="420"/>
        <w:rPr>
          <w:rFonts w:hAnsi="宋体" w:cs="宋体"/>
          <w:color w:val="auto"/>
          <w:szCs w:val="21"/>
          <w:highlight w:val="none"/>
        </w:rPr>
      </w:pPr>
      <w:r>
        <w:rPr>
          <w:rFonts w:hint="eastAsia" w:hAnsi="宋体" w:cs="宋体"/>
          <w:color w:val="auto"/>
          <w:szCs w:val="21"/>
          <w:highlight w:val="none"/>
        </w:rPr>
        <w:t>与本项目有关的正式通讯地址为：</w:t>
      </w:r>
    </w:p>
    <w:p>
      <w:pPr>
        <w:pageBreakBefore w:val="0"/>
        <w:kinsoku/>
        <w:wordWrap w:val="0"/>
        <w:topLinePunct w:val="0"/>
        <w:bidi w:val="0"/>
        <w:rPr>
          <w:rFonts w:ascii="宋体" w:hAnsi="宋体" w:cs="宋体"/>
          <w:color w:val="auto"/>
          <w:szCs w:val="21"/>
          <w:highlight w:val="none"/>
        </w:rPr>
      </w:pPr>
    </w:p>
    <w:p>
      <w:pPr>
        <w:pStyle w:val="19"/>
        <w:pageBreakBefore w:val="0"/>
        <w:kinsoku/>
        <w:wordWrap w:val="0"/>
        <w:topLinePunct w:val="0"/>
        <w:bidi w:val="0"/>
        <w:spacing w:line="320" w:lineRule="exact"/>
        <w:ind w:firstLine="420"/>
        <w:rPr>
          <w:rFonts w:hAnsi="宋体" w:cs="宋体"/>
          <w:color w:val="auto"/>
          <w:szCs w:val="21"/>
          <w:highlight w:val="none"/>
        </w:rPr>
      </w:pPr>
      <w:r>
        <w:rPr>
          <w:rFonts w:hint="eastAsia" w:hAnsi="宋体" w:cs="宋体"/>
          <w:color w:val="auto"/>
          <w:szCs w:val="21"/>
          <w:highlight w:val="none"/>
        </w:rPr>
        <w:t xml:space="preserve">地址： </w:t>
      </w:r>
      <w:r>
        <w:rPr>
          <w:rFonts w:hint="eastAsia" w:hAnsi="宋体" w:cs="宋体"/>
          <w:color w:val="auto"/>
          <w:szCs w:val="21"/>
          <w:highlight w:val="none"/>
          <w:u w:val="single"/>
        </w:rPr>
        <w:t xml:space="preserve">                               　       </w:t>
      </w:r>
    </w:p>
    <w:p>
      <w:pPr>
        <w:pStyle w:val="19"/>
        <w:pageBreakBefore w:val="0"/>
        <w:kinsoku/>
        <w:wordWrap w:val="0"/>
        <w:topLinePunct w:val="0"/>
        <w:bidi w:val="0"/>
        <w:spacing w:line="320" w:lineRule="exact"/>
        <w:ind w:firstLine="420"/>
        <w:rPr>
          <w:rFonts w:hAnsi="宋体" w:cs="宋体"/>
          <w:color w:val="auto"/>
          <w:szCs w:val="21"/>
          <w:highlight w:val="none"/>
        </w:rPr>
      </w:pPr>
      <w:r>
        <w:rPr>
          <w:rFonts w:hint="eastAsia" w:hAnsi="宋体" w:cs="宋体"/>
          <w:color w:val="auto"/>
          <w:szCs w:val="21"/>
          <w:highlight w:val="none"/>
        </w:rPr>
        <w:t xml:space="preserve">邮编：  </w:t>
      </w:r>
      <w:r>
        <w:rPr>
          <w:rFonts w:hint="eastAsia" w:hAnsi="宋体" w:cs="宋体"/>
          <w:color w:val="auto"/>
          <w:szCs w:val="21"/>
          <w:highlight w:val="none"/>
          <w:u w:val="single"/>
        </w:rPr>
        <w:t xml:space="preserve">                               　       </w:t>
      </w:r>
    </w:p>
    <w:p>
      <w:pPr>
        <w:pStyle w:val="19"/>
        <w:pageBreakBefore w:val="0"/>
        <w:kinsoku/>
        <w:wordWrap w:val="0"/>
        <w:topLinePunct w:val="0"/>
        <w:bidi w:val="0"/>
        <w:spacing w:line="320" w:lineRule="exact"/>
        <w:ind w:firstLine="420"/>
        <w:rPr>
          <w:rFonts w:hAnsi="宋体" w:cs="宋体"/>
          <w:color w:val="auto"/>
          <w:szCs w:val="21"/>
          <w:highlight w:val="none"/>
        </w:rPr>
      </w:pPr>
      <w:r>
        <w:rPr>
          <w:rFonts w:hint="eastAsia" w:hAnsi="宋体" w:cs="宋体"/>
          <w:color w:val="auto"/>
          <w:szCs w:val="21"/>
          <w:highlight w:val="none"/>
        </w:rPr>
        <w:t>电话、传真：</w:t>
      </w:r>
      <w:r>
        <w:rPr>
          <w:rFonts w:hint="eastAsia" w:hAnsi="宋体" w:cs="宋体"/>
          <w:color w:val="auto"/>
          <w:szCs w:val="21"/>
          <w:highlight w:val="none"/>
          <w:u w:val="single"/>
        </w:rPr>
        <w:t xml:space="preserve">                               　       </w:t>
      </w:r>
    </w:p>
    <w:p>
      <w:pPr>
        <w:pStyle w:val="19"/>
        <w:pageBreakBefore w:val="0"/>
        <w:kinsoku/>
        <w:wordWrap w:val="0"/>
        <w:topLinePunct w:val="0"/>
        <w:bidi w:val="0"/>
        <w:spacing w:line="320" w:lineRule="exact"/>
        <w:ind w:firstLine="420"/>
        <w:rPr>
          <w:rFonts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pPr>
        <w:pStyle w:val="19"/>
        <w:pageBreakBefore w:val="0"/>
        <w:kinsoku/>
        <w:wordWrap w:val="0"/>
        <w:topLinePunct w:val="0"/>
        <w:bidi w:val="0"/>
        <w:spacing w:line="320" w:lineRule="exact"/>
        <w:ind w:firstLine="420"/>
        <w:rPr>
          <w:rFonts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pPr>
        <w:pStyle w:val="19"/>
        <w:pageBreakBefore w:val="0"/>
        <w:kinsoku/>
        <w:wordWrap w:val="0"/>
        <w:topLinePunct w:val="0"/>
        <w:bidi w:val="0"/>
        <w:spacing w:line="320" w:lineRule="exact"/>
        <w:ind w:firstLine="420"/>
        <w:rPr>
          <w:rFonts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pPr>
        <w:pStyle w:val="19"/>
        <w:pageBreakBefore w:val="0"/>
        <w:kinsoku/>
        <w:wordWrap w:val="0"/>
        <w:topLinePunct w:val="0"/>
        <w:bidi w:val="0"/>
        <w:spacing w:line="320" w:lineRule="exact"/>
        <w:ind w:firstLine="420"/>
        <w:rPr>
          <w:rFonts w:hAnsi="宋体" w:cs="宋体"/>
          <w:bCs/>
          <w:color w:val="auto"/>
          <w:szCs w:val="21"/>
          <w:highlight w:val="none"/>
        </w:rPr>
      </w:pPr>
    </w:p>
    <w:p>
      <w:pPr>
        <w:pStyle w:val="19"/>
        <w:pageBreakBefore w:val="0"/>
        <w:kinsoku/>
        <w:wordWrap w:val="0"/>
        <w:topLinePunct w:val="0"/>
        <w:bidi w:val="0"/>
        <w:spacing w:line="320" w:lineRule="exact"/>
        <w:ind w:firstLine="420"/>
        <w:rPr>
          <w:rFonts w:hAnsi="宋体" w:cs="宋体"/>
          <w:bCs/>
          <w:color w:val="auto"/>
          <w:szCs w:val="21"/>
          <w:highlight w:val="none"/>
          <w:u w:val="single"/>
        </w:rPr>
      </w:pPr>
      <w:r>
        <w:rPr>
          <w:rFonts w:hint="eastAsia" w:hAnsi="宋体" w:cs="宋体"/>
          <w:bCs/>
          <w:color w:val="auto"/>
          <w:szCs w:val="21"/>
          <w:highlight w:val="none"/>
        </w:rPr>
        <w:t>供应商[公章(CA签章)、自然人除外]：</w:t>
      </w:r>
    </w:p>
    <w:p>
      <w:pPr>
        <w:pStyle w:val="19"/>
        <w:pageBreakBefore w:val="0"/>
        <w:kinsoku/>
        <w:wordWrap w:val="0"/>
        <w:topLinePunct w:val="0"/>
        <w:bidi w:val="0"/>
        <w:spacing w:line="320" w:lineRule="exact"/>
        <w:ind w:firstLine="420"/>
        <w:rPr>
          <w:rFonts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p>
    <w:p>
      <w:pPr>
        <w:pStyle w:val="19"/>
        <w:pageBreakBefore w:val="0"/>
        <w:kinsoku/>
        <w:wordWrap w:val="0"/>
        <w:topLinePunct w:val="0"/>
        <w:bidi w:val="0"/>
        <w:spacing w:line="320" w:lineRule="exact"/>
        <w:ind w:firstLine="420"/>
        <w:rPr>
          <w:rFonts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p>
    <w:p>
      <w:pPr>
        <w:pStyle w:val="31"/>
        <w:pageBreakBefore w:val="0"/>
        <w:kinsoku/>
        <w:wordWrap w:val="0"/>
        <w:topLinePunct w:val="0"/>
        <w:bidi w:val="0"/>
        <w:ind w:left="0" w:leftChars="0" w:firstLine="0" w:firstLineChars="0"/>
        <w:rPr>
          <w:color w:val="auto"/>
          <w:highlight w:val="none"/>
        </w:rPr>
      </w:pPr>
    </w:p>
    <w:p>
      <w:pPr>
        <w:pageBreakBefore w:val="0"/>
        <w:kinsoku/>
        <w:wordWrap w:val="0"/>
        <w:topLinePunct w:val="0"/>
        <w:bidi w:val="0"/>
        <w:ind w:firstLine="562"/>
        <w:rPr>
          <w:rFonts w:hAnsi="宋体" w:cs="宋体"/>
          <w:b/>
          <w:color w:val="auto"/>
          <w:sz w:val="28"/>
          <w:szCs w:val="28"/>
          <w:highlight w:val="none"/>
        </w:rPr>
      </w:pPr>
      <w:r>
        <w:rPr>
          <w:rFonts w:hint="eastAsia" w:hAnsi="宋体" w:cs="宋体"/>
          <w:b/>
          <w:color w:val="auto"/>
          <w:sz w:val="28"/>
          <w:szCs w:val="28"/>
          <w:highlight w:val="none"/>
        </w:rPr>
        <w:br w:type="page"/>
      </w:r>
    </w:p>
    <w:p>
      <w:pPr>
        <w:pageBreakBefore w:val="0"/>
        <w:kinsoku/>
        <w:wordWrap w:val="0"/>
        <w:topLinePunct w:val="0"/>
        <w:bidi w:val="0"/>
        <w:spacing w:line="400" w:lineRule="exact"/>
        <w:ind w:firstLine="643"/>
        <w:rPr>
          <w:rFonts w:ascii="宋体" w:hAnsi="宋体" w:cs="宋体"/>
          <w:b/>
          <w:bCs/>
          <w:color w:val="auto"/>
          <w:sz w:val="32"/>
          <w:szCs w:val="32"/>
          <w:highlight w:val="none"/>
        </w:rPr>
      </w:pPr>
      <w:r>
        <w:rPr>
          <w:rFonts w:hint="eastAsia" w:ascii="宋体" w:hAnsi="宋体" w:cs="宋体"/>
          <w:b/>
          <w:bCs/>
          <w:color w:val="auto"/>
          <w:sz w:val="32"/>
          <w:szCs w:val="32"/>
          <w:highlight w:val="none"/>
        </w:rPr>
        <w:t>2. 磋商报价表（必须提供）</w:t>
      </w:r>
    </w:p>
    <w:p>
      <w:pPr>
        <w:pStyle w:val="19"/>
        <w:pageBreakBefore w:val="0"/>
        <w:kinsoku/>
        <w:wordWrap w:val="0"/>
        <w:topLinePunct w:val="0"/>
        <w:bidi w:val="0"/>
        <w:spacing w:line="320" w:lineRule="exact"/>
        <w:ind w:firstLine="562"/>
        <w:jc w:val="left"/>
        <w:rPr>
          <w:rFonts w:hAnsi="宋体" w:cs="宋体"/>
          <w:b/>
          <w:color w:val="auto"/>
          <w:sz w:val="28"/>
          <w:szCs w:val="28"/>
          <w:highlight w:val="none"/>
        </w:rPr>
      </w:pPr>
    </w:p>
    <w:p>
      <w:pPr>
        <w:pStyle w:val="12"/>
        <w:pageBreakBefore w:val="0"/>
        <w:kinsoku/>
        <w:wordWrap w:val="0"/>
        <w:topLinePunct w:val="0"/>
        <w:bidi w:val="0"/>
        <w:ind w:left="0" w:firstLine="602"/>
        <w:rPr>
          <w:rFonts w:ascii="宋体" w:hAnsi="宋体" w:cs="宋体"/>
          <w:color w:val="auto"/>
          <w:highlight w:val="none"/>
        </w:rPr>
      </w:pPr>
      <w:r>
        <w:rPr>
          <w:rFonts w:hint="eastAsia" w:ascii="宋体" w:hAnsi="宋体" w:cs="宋体"/>
          <w:b/>
          <w:bCs/>
          <w:color w:val="auto"/>
          <w:sz w:val="30"/>
          <w:szCs w:val="30"/>
          <w:highlight w:val="none"/>
        </w:rPr>
        <w:t>附件：</w:t>
      </w:r>
    </w:p>
    <w:p>
      <w:pPr>
        <w:pStyle w:val="19"/>
        <w:pageBreakBefore w:val="0"/>
        <w:kinsoku/>
        <w:wordWrap w:val="0"/>
        <w:topLinePunct w:val="0"/>
        <w:bidi w:val="0"/>
        <w:spacing w:line="480" w:lineRule="exact"/>
        <w:ind w:firstLine="602"/>
        <w:jc w:val="center"/>
        <w:rPr>
          <w:rFonts w:hAnsi="宋体" w:cs="宋体"/>
          <w:b/>
          <w:color w:val="auto"/>
          <w:sz w:val="30"/>
          <w:szCs w:val="30"/>
          <w:highlight w:val="none"/>
        </w:rPr>
      </w:pPr>
      <w:r>
        <w:rPr>
          <w:rFonts w:hint="eastAsia" w:hAnsi="宋体" w:cs="宋体"/>
          <w:b/>
          <w:color w:val="auto"/>
          <w:sz w:val="30"/>
          <w:szCs w:val="30"/>
          <w:highlight w:val="none"/>
        </w:rPr>
        <w:t>磋商报价表（格式）</w:t>
      </w:r>
    </w:p>
    <w:tbl>
      <w:tblPr>
        <w:tblStyle w:val="32"/>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2918"/>
        <w:gridCol w:w="1589"/>
        <w:gridCol w:w="863"/>
        <w:gridCol w:w="579"/>
        <w:gridCol w:w="918"/>
        <w:gridCol w:w="1863"/>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38" w:hRule="atLeast"/>
          <w:jc w:val="center"/>
        </w:trPr>
        <w:tc>
          <w:tcPr>
            <w:tcW w:w="2918" w:type="dxa"/>
            <w:vAlign w:val="center"/>
          </w:tcPr>
          <w:p>
            <w:pPr>
              <w:pageBreakBefore w:val="0"/>
              <w:kinsoku/>
              <w:wordWrap w:val="0"/>
              <w:topLinePunct w:val="0"/>
              <w:bidi w:val="0"/>
              <w:jc w:val="center"/>
              <w:rPr>
                <w:rFonts w:ascii="宋体" w:hAnsi="宋体" w:cs="宋体"/>
                <w:bCs/>
                <w:color w:val="auto"/>
                <w:szCs w:val="21"/>
                <w:highlight w:val="none"/>
              </w:rPr>
            </w:pPr>
            <w:r>
              <w:rPr>
                <w:rFonts w:hint="eastAsia" w:ascii="宋体" w:hAnsi="宋体" w:cs="宋体"/>
                <w:bCs/>
                <w:color w:val="auto"/>
                <w:szCs w:val="21"/>
                <w:highlight w:val="none"/>
              </w:rPr>
              <w:t>项目名称</w:t>
            </w:r>
          </w:p>
        </w:tc>
        <w:tc>
          <w:tcPr>
            <w:tcW w:w="1589" w:type="dxa"/>
            <w:vAlign w:val="center"/>
          </w:tcPr>
          <w:p>
            <w:pPr>
              <w:pageBreakBefore w:val="0"/>
              <w:kinsoku/>
              <w:wordWrap w:val="0"/>
              <w:topLinePunct w:val="0"/>
              <w:bidi w:val="0"/>
              <w:jc w:val="center"/>
              <w:rPr>
                <w:rFonts w:ascii="宋体" w:hAnsi="宋体" w:cs="宋体"/>
                <w:bCs/>
                <w:color w:val="auto"/>
                <w:szCs w:val="21"/>
                <w:highlight w:val="none"/>
              </w:rPr>
            </w:pPr>
            <w:r>
              <w:rPr>
                <w:rFonts w:hint="eastAsia" w:ascii="宋体" w:hAnsi="宋体" w:cs="宋体"/>
                <w:bCs/>
                <w:color w:val="auto"/>
                <w:szCs w:val="21"/>
                <w:highlight w:val="none"/>
              </w:rPr>
              <w:t>服务内容及承诺</w:t>
            </w:r>
          </w:p>
        </w:tc>
        <w:tc>
          <w:tcPr>
            <w:tcW w:w="863" w:type="dxa"/>
            <w:vAlign w:val="center"/>
          </w:tcPr>
          <w:p>
            <w:pPr>
              <w:pageBreakBefore w:val="0"/>
              <w:kinsoku/>
              <w:wordWrap w:val="0"/>
              <w:topLinePunct w:val="0"/>
              <w:bidi w:val="0"/>
              <w:jc w:val="center"/>
              <w:rPr>
                <w:rFonts w:ascii="宋体" w:hAnsi="宋体" w:cs="宋体"/>
                <w:bCs/>
                <w:color w:val="auto"/>
                <w:szCs w:val="21"/>
                <w:highlight w:val="none"/>
              </w:rPr>
            </w:pPr>
            <w:r>
              <w:rPr>
                <w:rFonts w:hint="eastAsia" w:ascii="宋体" w:hAnsi="宋体" w:cs="宋体"/>
                <w:bCs/>
                <w:color w:val="auto"/>
                <w:szCs w:val="21"/>
                <w:highlight w:val="none"/>
              </w:rPr>
              <w:t>数量①</w:t>
            </w:r>
          </w:p>
        </w:tc>
        <w:tc>
          <w:tcPr>
            <w:tcW w:w="579" w:type="dxa"/>
            <w:vAlign w:val="center"/>
          </w:tcPr>
          <w:p>
            <w:pPr>
              <w:pageBreakBefore w:val="0"/>
              <w:kinsoku/>
              <w:wordWrap w:val="0"/>
              <w:topLinePunct w:val="0"/>
              <w:bidi w:val="0"/>
              <w:jc w:val="center"/>
              <w:rPr>
                <w:rFonts w:ascii="宋体" w:hAnsi="宋体" w:cs="宋体"/>
                <w:bCs/>
                <w:color w:val="auto"/>
                <w:szCs w:val="21"/>
                <w:highlight w:val="none"/>
              </w:rPr>
            </w:pPr>
            <w:r>
              <w:rPr>
                <w:rFonts w:hint="eastAsia" w:ascii="宋体" w:hAnsi="宋体" w:cs="宋体"/>
                <w:bCs/>
                <w:color w:val="auto"/>
                <w:szCs w:val="21"/>
                <w:highlight w:val="none"/>
              </w:rPr>
              <w:t>单位</w:t>
            </w:r>
          </w:p>
        </w:tc>
        <w:tc>
          <w:tcPr>
            <w:tcW w:w="918" w:type="dxa"/>
            <w:vAlign w:val="center"/>
          </w:tcPr>
          <w:p>
            <w:pPr>
              <w:pageBreakBefore w:val="0"/>
              <w:kinsoku/>
              <w:wordWrap w:val="0"/>
              <w:topLinePunct w:val="0"/>
              <w:bidi w:val="0"/>
              <w:jc w:val="center"/>
              <w:rPr>
                <w:rFonts w:ascii="宋体" w:hAnsi="宋体" w:cs="宋体"/>
                <w:bCs/>
                <w:color w:val="auto"/>
                <w:szCs w:val="21"/>
                <w:highlight w:val="none"/>
              </w:rPr>
            </w:pPr>
            <w:r>
              <w:rPr>
                <w:rFonts w:hint="eastAsia" w:ascii="宋体" w:hAnsi="宋体" w:cs="宋体"/>
                <w:bCs/>
                <w:color w:val="auto"/>
                <w:szCs w:val="21"/>
                <w:highlight w:val="none"/>
              </w:rPr>
              <w:t>单价（元）②</w:t>
            </w:r>
          </w:p>
        </w:tc>
        <w:tc>
          <w:tcPr>
            <w:tcW w:w="1863" w:type="dxa"/>
            <w:vAlign w:val="center"/>
          </w:tcPr>
          <w:p>
            <w:pPr>
              <w:pageBreakBefore w:val="0"/>
              <w:kinsoku/>
              <w:wordWrap w:val="0"/>
              <w:topLinePunct w:val="0"/>
              <w:bidi w:val="0"/>
              <w:rPr>
                <w:rFonts w:ascii="宋体" w:hAnsi="宋体" w:cs="宋体"/>
                <w:bCs/>
                <w:color w:val="auto"/>
                <w:szCs w:val="21"/>
                <w:highlight w:val="none"/>
              </w:rPr>
            </w:pPr>
            <w:r>
              <w:rPr>
                <w:rFonts w:hint="eastAsia" w:ascii="宋体" w:hAnsi="宋体" w:cs="宋体"/>
                <w:bCs/>
                <w:color w:val="auto"/>
                <w:szCs w:val="21"/>
                <w:highlight w:val="none"/>
              </w:rPr>
              <w:t>单项合计=数量×单价③＝①×②（元）</w:t>
            </w:r>
          </w:p>
        </w:tc>
        <w:tc>
          <w:tcPr>
            <w:tcW w:w="591" w:type="dxa"/>
            <w:vAlign w:val="center"/>
          </w:tcPr>
          <w:p>
            <w:pPr>
              <w:pageBreakBefore w:val="0"/>
              <w:kinsoku/>
              <w:wordWrap w:val="0"/>
              <w:topLinePunct w:val="0"/>
              <w:bidi w:val="0"/>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2918" w:type="dxa"/>
            <w:vAlign w:val="center"/>
          </w:tcPr>
          <w:p>
            <w:pPr>
              <w:pageBreakBefore w:val="0"/>
              <w:kinsoku/>
              <w:wordWrap w:val="0"/>
              <w:topLinePunct w:val="0"/>
              <w:bidi w:val="0"/>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桂林市秀峰区甲山村委老庙山等6处危岩地质灾害治理工程监理服务</w:t>
            </w:r>
          </w:p>
        </w:tc>
        <w:tc>
          <w:tcPr>
            <w:tcW w:w="1589" w:type="dxa"/>
            <w:vAlign w:val="center"/>
          </w:tcPr>
          <w:p>
            <w:pPr>
              <w:pageBreakBefore w:val="0"/>
              <w:kinsoku/>
              <w:wordWrap w:val="0"/>
              <w:topLinePunct w:val="0"/>
              <w:bidi w:val="0"/>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监理服务需求</w:t>
            </w:r>
            <w:r>
              <w:rPr>
                <w:rFonts w:hint="eastAsia" w:ascii="宋体" w:hAnsi="宋体" w:cs="宋体"/>
                <w:bCs/>
                <w:color w:val="auto"/>
                <w:szCs w:val="21"/>
                <w:highlight w:val="none"/>
              </w:rPr>
              <w:t>》中要求完成的所有内容</w:t>
            </w:r>
          </w:p>
        </w:tc>
        <w:tc>
          <w:tcPr>
            <w:tcW w:w="863" w:type="dxa"/>
            <w:vAlign w:val="center"/>
          </w:tcPr>
          <w:p>
            <w:pPr>
              <w:pageBreakBefore w:val="0"/>
              <w:kinsoku/>
              <w:wordWrap w:val="0"/>
              <w:topLinePunct w:val="0"/>
              <w:bidi w:val="0"/>
              <w:ind w:firstLine="420"/>
              <w:rPr>
                <w:rFonts w:ascii="宋体" w:hAnsi="宋体" w:cs="宋体"/>
                <w:color w:val="auto"/>
                <w:szCs w:val="21"/>
                <w:highlight w:val="none"/>
              </w:rPr>
            </w:pPr>
          </w:p>
        </w:tc>
        <w:tc>
          <w:tcPr>
            <w:tcW w:w="579" w:type="dxa"/>
            <w:vAlign w:val="center"/>
          </w:tcPr>
          <w:p>
            <w:pPr>
              <w:pageBreakBefore w:val="0"/>
              <w:kinsoku/>
              <w:wordWrap w:val="0"/>
              <w:topLinePunct w:val="0"/>
              <w:bidi w:val="0"/>
              <w:ind w:firstLine="420"/>
              <w:rPr>
                <w:rFonts w:ascii="宋体" w:hAnsi="宋体" w:cs="宋体"/>
                <w:color w:val="auto"/>
                <w:szCs w:val="20"/>
                <w:highlight w:val="none"/>
              </w:rPr>
            </w:pPr>
          </w:p>
        </w:tc>
        <w:tc>
          <w:tcPr>
            <w:tcW w:w="918" w:type="dxa"/>
            <w:vAlign w:val="center"/>
          </w:tcPr>
          <w:p>
            <w:pPr>
              <w:pageBreakBefore w:val="0"/>
              <w:kinsoku/>
              <w:wordWrap w:val="0"/>
              <w:topLinePunct w:val="0"/>
              <w:bidi w:val="0"/>
              <w:ind w:firstLine="420"/>
              <w:rPr>
                <w:rFonts w:ascii="宋体" w:hAnsi="宋体" w:cs="宋体"/>
                <w:color w:val="auto"/>
                <w:szCs w:val="20"/>
                <w:highlight w:val="none"/>
              </w:rPr>
            </w:pPr>
          </w:p>
        </w:tc>
        <w:tc>
          <w:tcPr>
            <w:tcW w:w="1863" w:type="dxa"/>
            <w:vAlign w:val="center"/>
          </w:tcPr>
          <w:p>
            <w:pPr>
              <w:pageBreakBefore w:val="0"/>
              <w:kinsoku/>
              <w:wordWrap w:val="0"/>
              <w:topLinePunct w:val="0"/>
              <w:bidi w:val="0"/>
              <w:ind w:firstLine="420"/>
              <w:rPr>
                <w:rFonts w:ascii="宋体" w:hAnsi="宋体" w:cs="宋体"/>
                <w:color w:val="auto"/>
                <w:szCs w:val="20"/>
                <w:highlight w:val="none"/>
              </w:rPr>
            </w:pPr>
          </w:p>
        </w:tc>
        <w:tc>
          <w:tcPr>
            <w:tcW w:w="591" w:type="dxa"/>
            <w:vAlign w:val="center"/>
          </w:tcPr>
          <w:p>
            <w:pPr>
              <w:pageBreakBefore w:val="0"/>
              <w:kinsoku/>
              <w:wordWrap w:val="0"/>
              <w:topLinePunct w:val="0"/>
              <w:bidi w:val="0"/>
              <w:ind w:firstLine="420"/>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69" w:hRule="atLeast"/>
          <w:jc w:val="center"/>
        </w:trPr>
        <w:tc>
          <w:tcPr>
            <w:tcW w:w="6867" w:type="dxa"/>
            <w:gridSpan w:val="5"/>
            <w:vAlign w:val="center"/>
          </w:tcPr>
          <w:p>
            <w:pPr>
              <w:pageBreakBefore w:val="0"/>
              <w:kinsoku/>
              <w:wordWrap w:val="0"/>
              <w:topLinePunct w:val="0"/>
              <w:bidi w:val="0"/>
              <w:ind w:firstLine="420"/>
              <w:jc w:val="right"/>
              <w:rPr>
                <w:rFonts w:ascii="宋体" w:hAnsi="宋体" w:cs="宋体"/>
                <w:color w:val="auto"/>
                <w:szCs w:val="20"/>
                <w:highlight w:val="none"/>
              </w:rPr>
            </w:pPr>
            <w:r>
              <w:rPr>
                <w:rFonts w:hint="eastAsia" w:ascii="宋体" w:hAnsi="宋体" w:cs="宋体"/>
                <w:color w:val="auto"/>
                <w:szCs w:val="20"/>
                <w:highlight w:val="none"/>
              </w:rPr>
              <w:t>合计（元）</w:t>
            </w:r>
          </w:p>
        </w:tc>
        <w:tc>
          <w:tcPr>
            <w:tcW w:w="1863" w:type="dxa"/>
            <w:vAlign w:val="center"/>
          </w:tcPr>
          <w:p>
            <w:pPr>
              <w:pageBreakBefore w:val="0"/>
              <w:kinsoku/>
              <w:wordWrap w:val="0"/>
              <w:topLinePunct w:val="0"/>
              <w:bidi w:val="0"/>
              <w:ind w:firstLine="420"/>
              <w:rPr>
                <w:rFonts w:ascii="宋体" w:hAnsi="宋体" w:cs="宋体"/>
                <w:color w:val="auto"/>
                <w:szCs w:val="20"/>
                <w:highlight w:val="none"/>
              </w:rPr>
            </w:pPr>
          </w:p>
        </w:tc>
        <w:tc>
          <w:tcPr>
            <w:tcW w:w="591" w:type="dxa"/>
            <w:vAlign w:val="center"/>
          </w:tcPr>
          <w:p>
            <w:pPr>
              <w:pageBreakBefore w:val="0"/>
              <w:kinsoku/>
              <w:wordWrap w:val="0"/>
              <w:topLinePunct w:val="0"/>
              <w:bidi w:val="0"/>
              <w:ind w:firstLine="420"/>
              <w:rPr>
                <w:rFonts w:ascii="宋体" w:hAnsi="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66" w:hRule="atLeast"/>
          <w:jc w:val="center"/>
        </w:trPr>
        <w:tc>
          <w:tcPr>
            <w:tcW w:w="9321" w:type="dxa"/>
            <w:gridSpan w:val="7"/>
            <w:vAlign w:val="center"/>
          </w:tcPr>
          <w:p>
            <w:pPr>
              <w:pageBreakBefore w:val="0"/>
              <w:kinsoku/>
              <w:wordWrap w:val="0"/>
              <w:topLinePunct w:val="0"/>
              <w:bidi w:val="0"/>
              <w:rPr>
                <w:rFonts w:ascii="宋体" w:hAnsi="宋体" w:cs="宋体"/>
                <w:color w:val="auto"/>
                <w:szCs w:val="21"/>
                <w:highlight w:val="none"/>
              </w:rPr>
            </w:pPr>
            <w:r>
              <w:rPr>
                <w:rFonts w:hint="eastAsia" w:ascii="宋体" w:hAnsi="宋体"/>
                <w:bCs/>
                <w:color w:val="auto"/>
                <w:szCs w:val="21"/>
                <w:highlight w:val="none"/>
              </w:rPr>
              <w:t>磋商总报价（</w:t>
            </w:r>
            <w:r>
              <w:rPr>
                <w:rFonts w:hint="eastAsia"/>
                <w:bCs/>
                <w:color w:val="auto"/>
                <w:szCs w:val="21"/>
                <w:highlight w:val="none"/>
              </w:rPr>
              <w:t>大写</w:t>
            </w:r>
            <w:r>
              <w:rPr>
                <w:rFonts w:hint="eastAsia" w:ascii="宋体" w:hAnsi="宋体"/>
                <w:bCs/>
                <w:color w:val="auto"/>
                <w:szCs w:val="21"/>
                <w:highlight w:val="none"/>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bCs/>
                <w:color w:val="auto"/>
                <w:szCs w:val="21"/>
                <w:highlight w:val="none"/>
              </w:rPr>
              <w:t>（</w:t>
            </w:r>
            <w:r>
              <w:rPr>
                <w:rFonts w:hint="eastAsia"/>
                <w:color w:val="auto"/>
                <w:szCs w:val="21"/>
                <w:highlight w:val="none"/>
              </w:rPr>
              <w:t>￥</w:t>
            </w:r>
            <w:r>
              <w:rPr>
                <w:rFonts w:hint="eastAsia"/>
                <w:color w:val="auto"/>
                <w:szCs w:val="21"/>
                <w:highlight w:val="none"/>
                <w:u w:val="single"/>
              </w:rPr>
              <w:t xml:space="preserve">                              </w:t>
            </w:r>
            <w:r>
              <w:rPr>
                <w:rFonts w:hint="eastAsia"/>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321" w:type="dxa"/>
            <w:gridSpan w:val="7"/>
            <w:vAlign w:val="center"/>
          </w:tcPr>
          <w:p>
            <w:pPr>
              <w:pageBreakBefore w:val="0"/>
              <w:kinsoku/>
              <w:wordWrap w:val="0"/>
              <w:topLinePunct w:val="0"/>
              <w:bidi w:val="0"/>
              <w:rPr>
                <w:rFonts w:ascii="宋体" w:hAnsi="宋体" w:cs="宋体"/>
                <w:color w:val="auto"/>
                <w:kern w:val="0"/>
                <w:szCs w:val="21"/>
                <w:highlight w:val="none"/>
              </w:rPr>
            </w:pPr>
            <w:r>
              <w:rPr>
                <w:rFonts w:hint="eastAsia" w:ascii="宋体" w:hAnsi="宋体" w:cs="宋体"/>
                <w:color w:val="auto"/>
                <w:kern w:val="0"/>
                <w:szCs w:val="21"/>
                <w:highlight w:val="none"/>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321" w:type="dxa"/>
            <w:gridSpan w:val="7"/>
            <w:vAlign w:val="center"/>
          </w:tcPr>
          <w:p>
            <w:pPr>
              <w:pageBreakBefore w:val="0"/>
              <w:kinsoku/>
              <w:wordWrap w:val="0"/>
              <w:topLinePunct w:val="0"/>
              <w:bidi w:val="0"/>
              <w:rPr>
                <w:rFonts w:ascii="宋体" w:hAnsi="宋体" w:cs="宋体"/>
                <w:color w:val="auto"/>
                <w:kern w:val="0"/>
                <w:szCs w:val="21"/>
                <w:highlight w:val="none"/>
              </w:rPr>
            </w:pPr>
            <w:r>
              <w:rPr>
                <w:color w:val="auto"/>
                <w:spacing w:val="2"/>
                <w:highlight w:val="none"/>
              </w:rPr>
              <w:t>说明：投标报价包括资料收集费、调研考察费</w:t>
            </w:r>
            <w:r>
              <w:rPr>
                <w:color w:val="auto"/>
                <w:spacing w:val="1"/>
                <w:highlight w:val="none"/>
              </w:rPr>
              <w:t>、服务过程中产生的一切工作经费、技术服务费、成果文件</w:t>
            </w:r>
            <w:r>
              <w:rPr>
                <w:color w:val="auto"/>
                <w:highlight w:val="none"/>
              </w:rPr>
              <w:t xml:space="preserve"> 费、人工费、利润、税金等完成本项目服务所需的一切费用</w:t>
            </w:r>
            <w:r>
              <w:rPr>
                <w:color w:val="auto"/>
                <w:spacing w:val="-1"/>
                <w:highlight w:val="none"/>
              </w:rPr>
              <w:t>，供应商综合考虑在报价中。</w:t>
            </w:r>
          </w:p>
        </w:tc>
      </w:tr>
    </w:tbl>
    <w:p>
      <w:pPr>
        <w:pageBreakBefore w:val="0"/>
        <w:kinsoku/>
        <w:wordWrap w:val="0"/>
        <w:topLinePunct w:val="0"/>
        <w:bidi w:val="0"/>
        <w:spacing w:line="340" w:lineRule="exact"/>
        <w:rPr>
          <w:rFonts w:ascii="宋体" w:hAnsi="宋体" w:cs="宋体"/>
          <w:color w:val="auto"/>
          <w:szCs w:val="21"/>
          <w:highlight w:val="none"/>
        </w:rPr>
      </w:pPr>
    </w:p>
    <w:p>
      <w:pPr>
        <w:pageBreakBefore w:val="0"/>
        <w:kinsoku/>
        <w:wordWrap w:val="0"/>
        <w:topLinePunct w:val="0"/>
        <w:bidi w:val="0"/>
        <w:spacing w:line="340" w:lineRule="exact"/>
        <w:rPr>
          <w:rFonts w:ascii="宋体" w:hAnsi="宋体" w:cs="宋体"/>
          <w:color w:val="auto"/>
          <w:szCs w:val="21"/>
          <w:highlight w:val="none"/>
          <w:u w:val="single"/>
        </w:rPr>
      </w:pPr>
      <w:r>
        <w:rPr>
          <w:rFonts w:hint="eastAsia" w:ascii="宋体" w:hAnsi="宋体" w:cs="宋体"/>
          <w:color w:val="auto"/>
          <w:szCs w:val="21"/>
          <w:highlight w:val="none"/>
        </w:rPr>
        <w:t>供应商（CA签章，自然人除外）：</w:t>
      </w:r>
    </w:p>
    <w:p>
      <w:pPr>
        <w:pageBreakBefore w:val="0"/>
        <w:kinsoku/>
        <w:wordWrap w:val="0"/>
        <w:topLinePunct w:val="0"/>
        <w:bidi w:val="0"/>
        <w:spacing w:line="340" w:lineRule="exact"/>
        <w:rPr>
          <w:rFonts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法定代表人、负责人、自然人或相应的委托代理人签字或个人CA签章（属自然人的应在签名处加盖食指指印或个人CA签章）：</w:t>
      </w:r>
    </w:p>
    <w:p>
      <w:pPr>
        <w:pageBreakBefore w:val="0"/>
        <w:tabs>
          <w:tab w:val="left" w:pos="1305"/>
        </w:tabs>
        <w:kinsoku/>
        <w:wordWrap w:val="0"/>
        <w:topLinePunct w:val="0"/>
        <w:bidi w:val="0"/>
        <w:spacing w:line="340" w:lineRule="exact"/>
        <w:rPr>
          <w:rFonts w:ascii="宋体" w:hAnsi="宋体" w:cs="宋体"/>
          <w:bCs/>
          <w:color w:val="auto"/>
          <w:szCs w:val="21"/>
          <w:highlight w:val="none"/>
        </w:rPr>
      </w:pPr>
    </w:p>
    <w:p>
      <w:pPr>
        <w:pageBreakBefore w:val="0"/>
        <w:tabs>
          <w:tab w:val="left" w:pos="1305"/>
        </w:tabs>
        <w:kinsoku/>
        <w:wordWrap w:val="0"/>
        <w:topLinePunct w:val="0"/>
        <w:bidi w:val="0"/>
        <w:spacing w:line="340" w:lineRule="exact"/>
        <w:rPr>
          <w:rFonts w:ascii="宋体" w:hAnsi="宋体" w:cs="宋体"/>
          <w:bCs/>
          <w:color w:val="auto"/>
          <w:szCs w:val="21"/>
          <w:highlight w:val="none"/>
        </w:rPr>
      </w:pPr>
      <w:r>
        <w:rPr>
          <w:rFonts w:hint="eastAsia" w:ascii="宋体" w:hAnsi="宋体" w:cs="宋体"/>
          <w:bCs/>
          <w:color w:val="auto"/>
          <w:szCs w:val="21"/>
          <w:highlight w:val="none"/>
        </w:rPr>
        <w:t>注</w:t>
      </w:r>
      <w:r>
        <w:rPr>
          <w:rFonts w:hint="eastAsia" w:ascii="宋体" w:hAnsi="宋体" w:cs="宋体"/>
          <w:b/>
          <w:bCs/>
          <w:color w:val="auto"/>
          <w:szCs w:val="21"/>
          <w:highlight w:val="none"/>
        </w:rPr>
        <w:t>：</w:t>
      </w:r>
      <w:r>
        <w:rPr>
          <w:rFonts w:hint="eastAsia" w:ascii="宋体" w:hAnsi="宋体" w:cs="宋体"/>
          <w:bCs/>
          <w:color w:val="auto"/>
          <w:szCs w:val="21"/>
          <w:highlight w:val="none"/>
        </w:rPr>
        <w:t>1.各供应商</w:t>
      </w:r>
      <w:r>
        <w:rPr>
          <w:rFonts w:hint="eastAsia" w:ascii="宋体" w:hAnsi="宋体" w:cs="宋体"/>
          <w:color w:val="auto"/>
          <w:szCs w:val="21"/>
          <w:highlight w:val="none"/>
        </w:rPr>
        <w:t>必须就“</w:t>
      </w:r>
      <w:r>
        <w:rPr>
          <w:rFonts w:hint="eastAsia" w:ascii="宋体" w:hAnsi="宋体" w:cs="宋体"/>
          <w:color w:val="auto"/>
          <w:szCs w:val="21"/>
          <w:highlight w:val="none"/>
          <w:lang w:eastAsia="zh-CN"/>
        </w:rPr>
        <w:t>监理服务需求</w:t>
      </w:r>
      <w:r>
        <w:rPr>
          <w:rFonts w:hint="eastAsia" w:ascii="宋体" w:hAnsi="宋体" w:cs="宋体"/>
          <w:color w:val="auto"/>
          <w:szCs w:val="21"/>
          <w:highlight w:val="none"/>
        </w:rPr>
        <w:t>”中的所有内容作完整唯一报价，否则，其磋商响应将被拒绝。磋商响应文件只允许有一个报价。</w:t>
      </w:r>
    </w:p>
    <w:p>
      <w:pPr>
        <w:pStyle w:val="19"/>
        <w:pageBreakBefore w:val="0"/>
        <w:kinsoku/>
        <w:wordWrap w:val="0"/>
        <w:topLinePunct w:val="0"/>
        <w:bidi w:val="0"/>
        <w:spacing w:line="360" w:lineRule="exact"/>
        <w:ind w:firstLine="420" w:firstLineChars="200"/>
        <w:rPr>
          <w:rFonts w:hAnsi="宋体" w:cs="宋体"/>
          <w:color w:val="auto"/>
          <w:szCs w:val="21"/>
          <w:highlight w:val="none"/>
        </w:rPr>
      </w:pPr>
      <w:r>
        <w:rPr>
          <w:rFonts w:hint="eastAsia" w:hAnsi="宋体" w:cs="宋体"/>
          <w:color w:val="auto"/>
          <w:szCs w:val="21"/>
          <w:highlight w:val="none"/>
        </w:rPr>
        <w:t>2.供应商应根据所投项目如实填写磋商报价表</w:t>
      </w:r>
      <w:r>
        <w:rPr>
          <w:rFonts w:hint="eastAsia" w:hAnsi="宋体" w:cs="宋体"/>
          <w:bCs/>
          <w:color w:val="auto"/>
          <w:szCs w:val="21"/>
          <w:highlight w:val="none"/>
        </w:rPr>
        <w:t>的各项内容。</w:t>
      </w:r>
    </w:p>
    <w:p>
      <w:pPr>
        <w:pageBreakBefore w:val="0"/>
        <w:kinsoku/>
        <w:wordWrap w:val="0"/>
        <w:topLinePunct w:val="0"/>
        <w:bidi w:val="0"/>
        <w:ind w:firstLine="420" w:firstLineChars="200"/>
        <w:rPr>
          <w:rFonts w:ascii="宋体" w:hAnsi="宋体" w:cs="宋体"/>
          <w:b/>
          <w:bCs/>
          <w:color w:val="auto"/>
          <w:sz w:val="32"/>
          <w:szCs w:val="32"/>
          <w:highlight w:val="none"/>
        </w:rPr>
      </w:pPr>
      <w:r>
        <w:rPr>
          <w:rFonts w:hint="eastAsia" w:ascii="宋体" w:hAnsi="宋体" w:cs="宋体"/>
          <w:color w:val="auto"/>
          <w:szCs w:val="21"/>
          <w:highlight w:val="none"/>
        </w:rPr>
        <w:t>3.</w:t>
      </w:r>
      <w:r>
        <w:rPr>
          <w:rFonts w:hint="eastAsia" w:ascii="宋体" w:hAnsi="宋体" w:cs="宋体"/>
          <w:color w:val="auto"/>
          <w:highlight w:val="none"/>
        </w:rPr>
        <w:t>磋商报价表须由法定代表人负责人、自然人或相应的委托代理人签字或个人CA签章（属自然人的应在签名处加盖食指指印或个人CA签章）并加盖供应商CA签章（自然人除外）。</w:t>
      </w:r>
      <w:r>
        <w:rPr>
          <w:rFonts w:hint="eastAsia" w:ascii="宋体" w:hAnsi="宋体" w:cs="宋体"/>
          <w:b/>
          <w:color w:val="auto"/>
          <w:highlight w:val="none"/>
        </w:rPr>
        <w:t>当本表由多页构成时，需逐页加盖供应商公章（属自然人的须逐页签字或个人CA签章）</w:t>
      </w:r>
    </w:p>
    <w:p>
      <w:pPr>
        <w:pageBreakBefore w:val="0"/>
        <w:kinsoku/>
        <w:wordWrap w:val="0"/>
        <w:topLinePunct w:val="0"/>
        <w:bidi w:val="0"/>
        <w:ind w:firstLine="562"/>
        <w:rPr>
          <w:rFonts w:hAnsi="宋体" w:cs="宋体"/>
          <w:b/>
          <w:color w:val="auto"/>
          <w:sz w:val="28"/>
          <w:szCs w:val="28"/>
          <w:highlight w:val="none"/>
        </w:rPr>
      </w:pPr>
      <w:r>
        <w:rPr>
          <w:rFonts w:hint="eastAsia" w:hAnsi="宋体" w:cs="宋体"/>
          <w:b/>
          <w:color w:val="auto"/>
          <w:sz w:val="28"/>
          <w:szCs w:val="28"/>
          <w:highlight w:val="none"/>
        </w:rPr>
        <w:br w:type="page"/>
      </w:r>
    </w:p>
    <w:p>
      <w:pPr>
        <w:pStyle w:val="19"/>
        <w:pageBreakBefore w:val="0"/>
        <w:kinsoku/>
        <w:wordWrap w:val="0"/>
        <w:topLinePunct w:val="0"/>
        <w:bidi w:val="0"/>
        <w:spacing w:line="340" w:lineRule="exact"/>
        <w:ind w:firstLine="643"/>
        <w:rPr>
          <w:rFonts w:hAnsi="宋体" w:cs="宋体"/>
          <w:b/>
          <w:color w:val="auto"/>
          <w:sz w:val="28"/>
          <w:szCs w:val="28"/>
          <w:highlight w:val="none"/>
        </w:rPr>
      </w:pPr>
      <w:r>
        <w:rPr>
          <w:rFonts w:hint="eastAsia" w:hAnsi="宋体" w:cs="宋体"/>
          <w:b/>
          <w:bCs/>
          <w:color w:val="auto"/>
          <w:sz w:val="32"/>
          <w:szCs w:val="32"/>
          <w:highlight w:val="none"/>
        </w:rPr>
        <w:t>3.</w:t>
      </w:r>
      <w:r>
        <w:rPr>
          <w:rFonts w:hint="eastAsia" w:hAnsi="宋体" w:cs="宋体"/>
          <w:b/>
          <w:bCs/>
          <w:color w:val="auto"/>
          <w:sz w:val="32"/>
          <w:szCs w:val="32"/>
          <w:highlight w:val="none"/>
          <w:lang w:eastAsia="zh-CN"/>
        </w:rPr>
        <w:t>监理服务需求</w:t>
      </w:r>
      <w:r>
        <w:rPr>
          <w:rFonts w:hint="eastAsia" w:hAnsi="宋体" w:cs="宋体"/>
          <w:b/>
          <w:bCs/>
          <w:color w:val="auto"/>
          <w:sz w:val="32"/>
          <w:szCs w:val="32"/>
          <w:highlight w:val="none"/>
        </w:rPr>
        <w:t>响应表（格式见附件）(必须提供)</w:t>
      </w:r>
    </w:p>
    <w:p>
      <w:pPr>
        <w:pageBreakBefore w:val="0"/>
        <w:kinsoku/>
        <w:wordWrap w:val="0"/>
        <w:topLinePunct w:val="0"/>
        <w:bidi w:val="0"/>
        <w:rPr>
          <w:rFonts w:ascii="宋体" w:hAnsi="宋体" w:cs="宋体"/>
          <w:color w:val="auto"/>
          <w:highlight w:val="none"/>
        </w:rPr>
      </w:pPr>
    </w:p>
    <w:p>
      <w:pPr>
        <w:pStyle w:val="19"/>
        <w:pageBreakBefore w:val="0"/>
        <w:kinsoku/>
        <w:wordWrap w:val="0"/>
        <w:topLinePunct w:val="0"/>
        <w:bidi w:val="0"/>
        <w:spacing w:line="340" w:lineRule="exact"/>
        <w:ind w:firstLine="602"/>
        <w:rPr>
          <w:rFonts w:hAnsi="宋体" w:cs="宋体"/>
          <w:b/>
          <w:color w:val="auto"/>
          <w:sz w:val="30"/>
          <w:szCs w:val="30"/>
          <w:highlight w:val="none"/>
        </w:rPr>
      </w:pPr>
      <w:r>
        <w:rPr>
          <w:rFonts w:hint="eastAsia" w:hAnsi="宋体" w:cs="宋体"/>
          <w:b/>
          <w:color w:val="auto"/>
          <w:sz w:val="30"/>
          <w:szCs w:val="30"/>
          <w:highlight w:val="none"/>
        </w:rPr>
        <w:t>附件：</w:t>
      </w:r>
    </w:p>
    <w:tbl>
      <w:tblPr>
        <w:tblStyle w:val="32"/>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8"/>
        <w:gridCol w:w="2449"/>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Style w:val="19"/>
              <w:pageBreakBefore w:val="0"/>
              <w:kinsoku/>
              <w:wordWrap w:val="0"/>
              <w:topLinePunct w:val="0"/>
              <w:bidi w:val="0"/>
              <w:spacing w:line="280" w:lineRule="exact"/>
              <w:jc w:val="center"/>
              <w:rPr>
                <w:color w:val="auto"/>
                <w:highlight w:val="none"/>
              </w:rPr>
            </w:pPr>
            <w:r>
              <w:rPr>
                <w:rFonts w:hint="eastAsia"/>
                <w:color w:val="auto"/>
                <w:highlight w:val="none"/>
              </w:rPr>
              <w:t>服务项目</w:t>
            </w:r>
          </w:p>
        </w:tc>
        <w:tc>
          <w:tcPr>
            <w:tcW w:w="2449" w:type="dxa"/>
            <w:noWrap/>
            <w:vAlign w:val="center"/>
          </w:tcPr>
          <w:p>
            <w:pPr>
              <w:pStyle w:val="19"/>
              <w:pageBreakBefore w:val="0"/>
              <w:kinsoku/>
              <w:wordWrap w:val="0"/>
              <w:topLinePunct w:val="0"/>
              <w:bidi w:val="0"/>
              <w:spacing w:line="280" w:lineRule="exact"/>
              <w:jc w:val="center"/>
              <w:rPr>
                <w:color w:val="auto"/>
                <w:highlight w:val="none"/>
              </w:rPr>
            </w:pPr>
            <w:r>
              <w:rPr>
                <w:rFonts w:hint="eastAsia"/>
                <w:color w:val="auto"/>
                <w:highlight w:val="none"/>
              </w:rPr>
              <w:t>竞争性磋商文件要求</w:t>
            </w:r>
          </w:p>
        </w:tc>
        <w:tc>
          <w:tcPr>
            <w:tcW w:w="2918" w:type="dxa"/>
            <w:noWrap/>
            <w:vAlign w:val="center"/>
          </w:tcPr>
          <w:p>
            <w:pPr>
              <w:pStyle w:val="19"/>
              <w:pageBreakBefore w:val="0"/>
              <w:kinsoku/>
              <w:wordWrap w:val="0"/>
              <w:topLinePunct w:val="0"/>
              <w:bidi w:val="0"/>
              <w:spacing w:line="280" w:lineRule="exact"/>
              <w:jc w:val="center"/>
              <w:rPr>
                <w:color w:val="auto"/>
                <w:highlight w:val="none"/>
              </w:rPr>
            </w:pPr>
            <w:r>
              <w:rPr>
                <w:rFonts w:hint="eastAsia"/>
                <w:color w:val="auto"/>
                <w:highlight w:val="none"/>
              </w:rPr>
              <w:t>响应文件的响应情况（对服务内容及要求的承诺）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78" w:type="dxa"/>
            <w:noWrap/>
            <w:vAlign w:val="center"/>
          </w:tcPr>
          <w:p>
            <w:pPr>
              <w:pageBreakBefore w:val="0"/>
              <w:kinsoku/>
              <w:wordWrap w:val="0"/>
              <w:overflowPunct w:val="0"/>
              <w:topLinePunct w:val="0"/>
              <w:bidi w:val="0"/>
              <w:snapToGrid w:val="0"/>
              <w:spacing w:line="420" w:lineRule="exact"/>
              <w:jc w:val="left"/>
              <w:rPr>
                <w:rFonts w:ascii="宋体" w:hAnsi="宋体"/>
                <w:bCs/>
                <w:color w:val="auto"/>
                <w:szCs w:val="21"/>
                <w:highlight w:val="none"/>
              </w:rPr>
            </w:pPr>
          </w:p>
        </w:tc>
        <w:tc>
          <w:tcPr>
            <w:tcW w:w="2449" w:type="dxa"/>
            <w:noWrap/>
            <w:vAlign w:val="center"/>
          </w:tcPr>
          <w:p>
            <w:pPr>
              <w:pStyle w:val="19"/>
              <w:pageBreakBefore w:val="0"/>
              <w:kinsoku/>
              <w:wordWrap w:val="0"/>
              <w:topLinePunct w:val="0"/>
              <w:bidi w:val="0"/>
              <w:spacing w:line="280" w:lineRule="exact"/>
              <w:jc w:val="center"/>
              <w:rPr>
                <w:color w:val="auto"/>
                <w:highlight w:val="none"/>
              </w:rPr>
            </w:pPr>
          </w:p>
        </w:tc>
        <w:tc>
          <w:tcPr>
            <w:tcW w:w="2918" w:type="dxa"/>
            <w:noWrap/>
            <w:vAlign w:val="center"/>
          </w:tcPr>
          <w:p>
            <w:pPr>
              <w:pStyle w:val="19"/>
              <w:pageBreakBefore w:val="0"/>
              <w:kinsoku/>
              <w:wordWrap w:val="0"/>
              <w:topLinePunct w:val="0"/>
              <w:bidi w:val="0"/>
              <w:spacing w:line="280" w:lineRule="exact"/>
              <w:jc w:val="center"/>
              <w:rPr>
                <w:color w:val="auto"/>
                <w:highlight w:val="none"/>
              </w:rPr>
            </w:pPr>
          </w:p>
        </w:tc>
      </w:tr>
    </w:tbl>
    <w:p>
      <w:pPr>
        <w:pageBreakBefore w:val="0"/>
        <w:kinsoku/>
        <w:wordWrap w:val="0"/>
        <w:topLinePunct w:val="0"/>
        <w:bidi w:val="0"/>
        <w:spacing w:line="340" w:lineRule="exact"/>
        <w:rPr>
          <w:rFonts w:ascii="宋体" w:hAnsi="宋体" w:cs="宋体"/>
          <w:color w:val="auto"/>
          <w:szCs w:val="21"/>
          <w:highlight w:val="none"/>
        </w:rPr>
      </w:pPr>
    </w:p>
    <w:p>
      <w:pPr>
        <w:pageBreakBefore w:val="0"/>
        <w:kinsoku/>
        <w:wordWrap w:val="0"/>
        <w:topLinePunct w:val="0"/>
        <w:bidi w:val="0"/>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 xml:space="preserve"> 供应商[公章(CA签章)，自然人签字或个人CA签章]：</w:t>
      </w:r>
    </w:p>
    <w:p>
      <w:pPr>
        <w:pageBreakBefore w:val="0"/>
        <w:kinsoku/>
        <w:wordWrap w:val="0"/>
        <w:topLinePunct w:val="0"/>
        <w:bidi w:val="0"/>
        <w:snapToGrid w:val="0"/>
        <w:spacing w:line="400" w:lineRule="exact"/>
        <w:ind w:firstLine="1680" w:firstLineChars="800"/>
        <w:rPr>
          <w:rFonts w:ascii="宋体" w:hAnsi="宋体" w:cs="宋体"/>
          <w:color w:val="auto"/>
          <w:highlight w:val="none"/>
          <w:u w:val="single"/>
        </w:rPr>
      </w:pPr>
      <w:r>
        <w:rPr>
          <w:rFonts w:hint="eastAsia" w:ascii="宋体" w:hAnsi="宋体" w:cs="宋体"/>
          <w:color w:val="auto"/>
          <w:highlight w:val="none"/>
        </w:rPr>
        <w:t xml:space="preserve">   日          期：</w:t>
      </w:r>
    </w:p>
    <w:p>
      <w:pPr>
        <w:pageBreakBefore w:val="0"/>
        <w:kinsoku/>
        <w:wordWrap w:val="0"/>
        <w:topLinePunct w:val="0"/>
        <w:bidi w:val="0"/>
        <w:ind w:firstLine="1890" w:firstLineChars="900"/>
        <w:rPr>
          <w:rFonts w:ascii="宋体" w:hAnsi="宋体" w:cs="宋体"/>
          <w:color w:val="auto"/>
          <w:highlight w:val="none"/>
          <w:u w:val="single"/>
        </w:rPr>
      </w:pPr>
    </w:p>
    <w:p>
      <w:pPr>
        <w:pageBreakBefore w:val="0"/>
        <w:kinsoku/>
        <w:wordWrap w:val="0"/>
        <w:topLinePunct w:val="0"/>
        <w:bidi w:val="0"/>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注：</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监理服务需求</w:t>
      </w:r>
      <w:r>
        <w:rPr>
          <w:rFonts w:hint="eastAsia" w:ascii="宋体" w:hAnsi="宋体" w:cs="宋体"/>
          <w:b/>
          <w:color w:val="auto"/>
          <w:szCs w:val="21"/>
          <w:highlight w:val="none"/>
        </w:rPr>
        <w:t>响应表”各项内容必须如实填写。</w:t>
      </w:r>
    </w:p>
    <w:p>
      <w:pPr>
        <w:pageBreakBefore w:val="0"/>
        <w:kinsoku/>
        <w:wordWrap w:val="0"/>
        <w:topLinePunct w:val="0"/>
        <w:bidi w:val="0"/>
        <w:spacing w:line="400" w:lineRule="exact"/>
        <w:ind w:firstLine="422"/>
        <w:rPr>
          <w:rFonts w:ascii="宋体" w:hAnsi="宋体" w:cs="宋体"/>
          <w:b/>
          <w:bCs/>
          <w:color w:val="auto"/>
          <w:szCs w:val="21"/>
          <w:highlight w:val="none"/>
        </w:rPr>
      </w:pPr>
      <w:r>
        <w:rPr>
          <w:rFonts w:hint="eastAsia" w:ascii="宋体" w:hAnsi="宋体" w:cs="宋体"/>
          <w:b/>
          <w:color w:val="auto"/>
          <w:szCs w:val="21"/>
          <w:highlight w:val="none"/>
        </w:rPr>
        <w:t>2.当本表由多页构成时，需逐页加盖供应商公章（CA签章）（属自然人的须逐页签字或个人CA签章）。</w:t>
      </w:r>
    </w:p>
    <w:p>
      <w:pPr>
        <w:pStyle w:val="40"/>
        <w:pageBreakBefore w:val="0"/>
        <w:kinsoku/>
        <w:wordWrap w:val="0"/>
        <w:topLinePunct w:val="0"/>
        <w:bidi w:val="0"/>
        <w:rPr>
          <w:rFonts w:ascii="宋体" w:hAnsi="宋体" w:cs="宋体"/>
          <w:color w:val="auto"/>
          <w:highlight w:val="none"/>
        </w:rPr>
      </w:pPr>
    </w:p>
    <w:p>
      <w:pPr>
        <w:pStyle w:val="40"/>
        <w:pageBreakBefore w:val="0"/>
        <w:kinsoku/>
        <w:wordWrap w:val="0"/>
        <w:topLinePunct w:val="0"/>
        <w:bidi w:val="0"/>
        <w:rPr>
          <w:rFonts w:ascii="宋体" w:hAnsi="宋体" w:cs="宋体"/>
          <w:color w:val="auto"/>
          <w:highlight w:val="none"/>
        </w:rPr>
      </w:pPr>
    </w:p>
    <w:p>
      <w:pPr>
        <w:pStyle w:val="17"/>
        <w:pageBreakBefore w:val="0"/>
        <w:kinsoku/>
        <w:wordWrap w:val="0"/>
        <w:topLinePunct w:val="0"/>
        <w:bidi w:val="0"/>
        <w:rPr>
          <w:rFonts w:ascii="宋体" w:hAnsi="宋体" w:cs="宋体"/>
          <w:color w:val="auto"/>
          <w:highlight w:val="none"/>
        </w:rPr>
      </w:pPr>
    </w:p>
    <w:p>
      <w:pPr>
        <w:pageBreakBefore w:val="0"/>
        <w:kinsoku/>
        <w:wordWrap w:val="0"/>
        <w:topLinePunct w:val="0"/>
        <w:bidi w:val="0"/>
        <w:ind w:firstLine="562"/>
        <w:rPr>
          <w:rFonts w:hAnsi="宋体" w:cs="宋体"/>
          <w:b/>
          <w:color w:val="auto"/>
          <w:sz w:val="28"/>
          <w:szCs w:val="28"/>
          <w:highlight w:val="none"/>
        </w:rPr>
      </w:pPr>
    </w:p>
    <w:p>
      <w:pPr>
        <w:pageBreakBefore w:val="0"/>
        <w:kinsoku/>
        <w:wordWrap w:val="0"/>
        <w:topLinePunct w:val="0"/>
        <w:bidi w:val="0"/>
        <w:spacing w:line="460" w:lineRule="exact"/>
        <w:ind w:firstLine="562"/>
        <w:rPr>
          <w:rFonts w:ascii="宋体" w:hAnsi="宋体" w:cs="宋体"/>
          <w:b/>
          <w:bCs/>
          <w:color w:val="auto"/>
          <w:sz w:val="32"/>
          <w:szCs w:val="32"/>
          <w:highlight w:val="none"/>
        </w:rPr>
      </w:pPr>
      <w:r>
        <w:rPr>
          <w:rFonts w:hint="eastAsia" w:hAnsi="宋体" w:cs="宋体"/>
          <w:b/>
          <w:color w:val="auto"/>
          <w:sz w:val="28"/>
          <w:szCs w:val="28"/>
          <w:highlight w:val="none"/>
        </w:rPr>
        <w:br w:type="page"/>
      </w:r>
      <w:r>
        <w:rPr>
          <w:rFonts w:hint="eastAsia" w:ascii="宋体" w:hAnsi="宋体" w:cs="宋体"/>
          <w:b/>
          <w:bCs/>
          <w:color w:val="auto"/>
          <w:sz w:val="32"/>
          <w:szCs w:val="32"/>
          <w:highlight w:val="none"/>
        </w:rPr>
        <w:t>4.</w:t>
      </w:r>
      <w:r>
        <w:rPr>
          <w:rFonts w:hint="eastAsia" w:ascii="宋体" w:hAnsi="宋体" w:cs="宋体"/>
          <w:b/>
          <w:bCs/>
          <w:color w:val="auto"/>
          <w:sz w:val="32"/>
          <w:szCs w:val="32"/>
          <w:highlight w:val="none"/>
          <w:lang w:eastAsia="zh-CN"/>
        </w:rPr>
        <w:t>服务承诺书（由供应商根据本项目服务采购要求、特点及供应商自身的处理能力自行编写，承诺书内容至少应包括“监理服务需求” 中的所有服务条款）（格式见附件）（必须提供）；</w:t>
      </w:r>
    </w:p>
    <w:p>
      <w:pPr>
        <w:pageBreakBefore w:val="0"/>
        <w:kinsoku/>
        <w:wordWrap w:val="0"/>
        <w:topLinePunct w:val="0"/>
        <w:bidi w:val="0"/>
        <w:rPr>
          <w:rFonts w:ascii="宋体" w:hAnsi="宋体" w:cs="宋体"/>
          <w:color w:val="auto"/>
          <w:highlight w:val="none"/>
        </w:rPr>
      </w:pPr>
    </w:p>
    <w:p>
      <w:pPr>
        <w:pStyle w:val="19"/>
        <w:pageBreakBefore w:val="0"/>
        <w:kinsoku/>
        <w:wordWrap w:val="0"/>
        <w:topLinePunct w:val="0"/>
        <w:bidi w:val="0"/>
        <w:spacing w:line="340" w:lineRule="exact"/>
        <w:ind w:firstLine="602"/>
        <w:rPr>
          <w:rFonts w:hAnsi="宋体" w:cs="宋体"/>
          <w:color w:val="auto"/>
          <w:sz w:val="30"/>
          <w:szCs w:val="30"/>
          <w:highlight w:val="none"/>
        </w:rPr>
      </w:pPr>
      <w:r>
        <w:rPr>
          <w:rFonts w:hint="eastAsia" w:hAnsi="宋体" w:cs="宋体"/>
          <w:b/>
          <w:color w:val="auto"/>
          <w:sz w:val="30"/>
          <w:szCs w:val="30"/>
          <w:highlight w:val="none"/>
        </w:rPr>
        <w:t>附件：</w:t>
      </w:r>
    </w:p>
    <w:p>
      <w:pPr>
        <w:pageBreakBefore w:val="0"/>
        <w:kinsoku/>
        <w:wordWrap w:val="0"/>
        <w:topLinePunct w:val="0"/>
        <w:bidi w:val="0"/>
        <w:rPr>
          <w:rFonts w:ascii="宋体" w:hAnsi="宋体" w:cs="宋体"/>
          <w:color w:val="auto"/>
          <w:highlight w:val="none"/>
        </w:rPr>
      </w:pPr>
    </w:p>
    <w:p>
      <w:pPr>
        <w:pStyle w:val="19"/>
        <w:pageBreakBefore w:val="0"/>
        <w:kinsoku/>
        <w:wordWrap w:val="0"/>
        <w:topLinePunct w:val="0"/>
        <w:bidi w:val="0"/>
        <w:spacing w:line="340" w:lineRule="exact"/>
        <w:ind w:firstLine="643"/>
        <w:jc w:val="center"/>
        <w:rPr>
          <w:rFonts w:hAnsi="宋体" w:cs="宋体"/>
          <w:b/>
          <w:color w:val="auto"/>
          <w:sz w:val="32"/>
          <w:szCs w:val="32"/>
          <w:highlight w:val="none"/>
        </w:rPr>
      </w:pPr>
      <w:r>
        <w:rPr>
          <w:rFonts w:hint="eastAsia" w:hAnsi="宋体" w:cs="宋体"/>
          <w:b/>
          <w:color w:val="auto"/>
          <w:sz w:val="32"/>
          <w:szCs w:val="32"/>
          <w:highlight w:val="none"/>
        </w:rPr>
        <w:t>服务承诺书 （格式）</w:t>
      </w:r>
    </w:p>
    <w:p>
      <w:pPr>
        <w:pStyle w:val="17"/>
        <w:pageBreakBefore w:val="0"/>
        <w:kinsoku/>
        <w:wordWrap w:val="0"/>
        <w:topLinePunct w:val="0"/>
        <w:bidi w:val="0"/>
        <w:rPr>
          <w:rFonts w:ascii="宋体" w:hAnsi="宋体" w:cs="宋体"/>
          <w:color w:val="auto"/>
          <w:highlight w:val="none"/>
        </w:rPr>
      </w:pPr>
    </w:p>
    <w:p>
      <w:pPr>
        <w:pageBreakBefore w:val="0"/>
        <w:widowControl/>
        <w:kinsoku/>
        <w:wordWrap w:val="0"/>
        <w:topLinePunct w:val="0"/>
        <w:bidi w:val="0"/>
        <w:ind w:firstLine="562"/>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          （根据</w:t>
      </w:r>
      <w:r>
        <w:rPr>
          <w:rFonts w:hint="eastAsia" w:ascii="宋体" w:hAnsi="宋体" w:cs="宋体"/>
          <w:b/>
          <w:color w:val="auto"/>
          <w:kern w:val="0"/>
          <w:sz w:val="28"/>
          <w:szCs w:val="28"/>
          <w:highlight w:val="none"/>
          <w:lang w:eastAsia="zh-CN"/>
        </w:rPr>
        <w:t>监理服务需求</w:t>
      </w:r>
      <w:r>
        <w:rPr>
          <w:rFonts w:hint="eastAsia" w:ascii="宋体" w:hAnsi="宋体" w:cs="宋体"/>
          <w:b/>
          <w:color w:val="auto"/>
          <w:kern w:val="0"/>
          <w:sz w:val="28"/>
          <w:szCs w:val="28"/>
          <w:highlight w:val="none"/>
        </w:rPr>
        <w:t>及评审办法自行编制）</w:t>
      </w:r>
    </w:p>
    <w:p>
      <w:pPr>
        <w:pageBreakBefore w:val="0"/>
        <w:widowControl/>
        <w:kinsoku/>
        <w:wordWrap w:val="0"/>
        <w:topLinePunct w:val="0"/>
        <w:bidi w:val="0"/>
        <w:ind w:firstLine="1470" w:firstLineChars="700"/>
        <w:jc w:val="left"/>
        <w:rPr>
          <w:rFonts w:ascii="宋体" w:hAnsi="宋体" w:cs="宋体"/>
          <w:color w:val="auto"/>
          <w:szCs w:val="21"/>
          <w:highlight w:val="none"/>
        </w:rPr>
      </w:pPr>
    </w:p>
    <w:p>
      <w:pPr>
        <w:pageBreakBefore w:val="0"/>
        <w:widowControl/>
        <w:kinsoku/>
        <w:wordWrap w:val="0"/>
        <w:topLinePunct w:val="0"/>
        <w:bidi w:val="0"/>
        <w:ind w:firstLine="1470" w:firstLineChars="700"/>
        <w:jc w:val="left"/>
        <w:rPr>
          <w:rFonts w:ascii="宋体" w:hAnsi="宋体" w:cs="宋体"/>
          <w:color w:val="auto"/>
          <w:szCs w:val="21"/>
          <w:highlight w:val="none"/>
        </w:rPr>
      </w:pPr>
    </w:p>
    <w:p>
      <w:pPr>
        <w:pageBreakBefore w:val="0"/>
        <w:widowControl/>
        <w:kinsoku/>
        <w:wordWrap w:val="0"/>
        <w:topLinePunct w:val="0"/>
        <w:bidi w:val="0"/>
        <w:ind w:firstLine="1470" w:firstLineChars="700"/>
        <w:jc w:val="left"/>
        <w:rPr>
          <w:rFonts w:ascii="宋体" w:hAnsi="宋体" w:cs="宋体"/>
          <w:color w:val="auto"/>
          <w:szCs w:val="21"/>
          <w:highlight w:val="none"/>
        </w:rPr>
      </w:pPr>
    </w:p>
    <w:p>
      <w:pPr>
        <w:pageBreakBefore w:val="0"/>
        <w:widowControl/>
        <w:kinsoku/>
        <w:wordWrap w:val="0"/>
        <w:topLinePunct w:val="0"/>
        <w:bidi w:val="0"/>
        <w:ind w:firstLine="1470" w:firstLineChars="700"/>
        <w:jc w:val="left"/>
        <w:rPr>
          <w:rFonts w:ascii="宋体" w:hAnsi="宋体" w:cs="宋体"/>
          <w:color w:val="auto"/>
          <w:szCs w:val="21"/>
          <w:highlight w:val="none"/>
        </w:rPr>
      </w:pPr>
    </w:p>
    <w:p>
      <w:pPr>
        <w:pageBreakBefore w:val="0"/>
        <w:widowControl/>
        <w:kinsoku/>
        <w:wordWrap w:val="0"/>
        <w:topLinePunct w:val="0"/>
        <w:bidi w:val="0"/>
        <w:ind w:firstLine="1470" w:firstLineChars="700"/>
        <w:jc w:val="left"/>
        <w:rPr>
          <w:rFonts w:ascii="宋体" w:hAnsi="宋体" w:cs="宋体"/>
          <w:color w:val="auto"/>
          <w:szCs w:val="21"/>
          <w:highlight w:val="none"/>
        </w:rPr>
      </w:pPr>
    </w:p>
    <w:p>
      <w:pPr>
        <w:pageBreakBefore w:val="0"/>
        <w:widowControl/>
        <w:kinsoku/>
        <w:wordWrap w:val="0"/>
        <w:topLinePunct w:val="0"/>
        <w:bidi w:val="0"/>
        <w:ind w:firstLine="1680" w:firstLineChars="700"/>
        <w:jc w:val="left"/>
        <w:rPr>
          <w:rFonts w:ascii="宋体" w:hAnsi="宋体" w:cs="宋体"/>
          <w:color w:val="auto"/>
          <w:sz w:val="24"/>
          <w:highlight w:val="none"/>
        </w:rPr>
      </w:pPr>
    </w:p>
    <w:p>
      <w:pPr>
        <w:pageBreakBefore w:val="0"/>
        <w:widowControl/>
        <w:kinsoku/>
        <w:wordWrap w:val="0"/>
        <w:topLinePunct w:val="0"/>
        <w:bidi w:val="0"/>
        <w:ind w:firstLine="1680" w:firstLineChars="700"/>
        <w:jc w:val="left"/>
        <w:rPr>
          <w:rFonts w:ascii="宋体" w:hAnsi="宋体" w:cs="宋体"/>
          <w:color w:val="auto"/>
          <w:sz w:val="24"/>
          <w:highlight w:val="none"/>
        </w:rPr>
      </w:pPr>
      <w:r>
        <w:rPr>
          <w:rFonts w:hint="eastAsia" w:ascii="宋体" w:hAnsi="宋体" w:cs="宋体"/>
          <w:color w:val="auto"/>
          <w:sz w:val="24"/>
          <w:highlight w:val="none"/>
        </w:rPr>
        <w:t>供应商[公章(CA签章)，自然人签字或个人CA签章]：</w:t>
      </w:r>
    </w:p>
    <w:p>
      <w:pPr>
        <w:pStyle w:val="19"/>
        <w:pageBreakBefore w:val="0"/>
        <w:kinsoku/>
        <w:wordWrap w:val="0"/>
        <w:topLinePunct w:val="0"/>
        <w:bidi w:val="0"/>
        <w:spacing w:line="300" w:lineRule="exact"/>
        <w:ind w:firstLine="482"/>
        <w:rPr>
          <w:rFonts w:hAnsi="宋体" w:cs="宋体"/>
          <w:b/>
          <w:color w:val="auto"/>
          <w:sz w:val="24"/>
          <w:szCs w:val="24"/>
          <w:highlight w:val="none"/>
        </w:rPr>
      </w:pPr>
    </w:p>
    <w:p>
      <w:pPr>
        <w:pageBreakBefore w:val="0"/>
        <w:kinsoku/>
        <w:wordWrap w:val="0"/>
        <w:topLinePunct w:val="0"/>
        <w:bidi w:val="0"/>
        <w:snapToGrid w:val="0"/>
        <w:spacing w:line="300" w:lineRule="exact"/>
        <w:ind w:firstLine="5520" w:firstLineChars="2300"/>
        <w:rPr>
          <w:rFonts w:ascii="宋体" w:hAnsi="宋体" w:cs="宋体"/>
          <w:color w:val="auto"/>
          <w:sz w:val="24"/>
          <w:highlight w:val="none"/>
          <w:u w:val="single"/>
        </w:rPr>
      </w:pPr>
      <w:r>
        <w:rPr>
          <w:rFonts w:hint="eastAsia" w:ascii="宋体" w:hAnsi="宋体" w:cs="宋体"/>
          <w:color w:val="auto"/>
          <w:sz w:val="24"/>
          <w:highlight w:val="none"/>
        </w:rPr>
        <w:t>日          期：</w:t>
      </w:r>
    </w:p>
    <w:p>
      <w:pPr>
        <w:pStyle w:val="19"/>
        <w:pageBreakBefore w:val="0"/>
        <w:kinsoku/>
        <w:wordWrap w:val="0"/>
        <w:topLinePunct w:val="0"/>
        <w:bidi w:val="0"/>
        <w:spacing w:line="340" w:lineRule="exact"/>
        <w:ind w:firstLine="562"/>
        <w:rPr>
          <w:rFonts w:hAnsi="宋体" w:cs="宋体"/>
          <w:b/>
          <w:color w:val="auto"/>
          <w:sz w:val="28"/>
          <w:szCs w:val="28"/>
          <w:highlight w:val="none"/>
        </w:rPr>
      </w:pPr>
    </w:p>
    <w:p>
      <w:pPr>
        <w:pageBreakBefore w:val="0"/>
        <w:widowControl/>
        <w:shd w:val="clear" w:color="auto" w:fill="FFFFFF"/>
        <w:kinsoku/>
        <w:wordWrap w:val="0"/>
        <w:topLinePunct w:val="0"/>
        <w:bidi w:val="0"/>
        <w:spacing w:line="480" w:lineRule="exact"/>
        <w:ind w:firstLine="562"/>
        <w:jc w:val="left"/>
        <w:rPr>
          <w:rFonts w:ascii="宋体" w:hAnsi="宋体" w:cs="宋体"/>
          <w:b/>
          <w:color w:val="auto"/>
          <w:sz w:val="28"/>
          <w:szCs w:val="28"/>
          <w:highlight w:val="none"/>
        </w:rPr>
      </w:pPr>
    </w:p>
    <w:p>
      <w:pPr>
        <w:pageBreakBefore w:val="0"/>
        <w:widowControl/>
        <w:shd w:val="clear" w:color="auto" w:fill="FFFFFF"/>
        <w:kinsoku/>
        <w:wordWrap w:val="0"/>
        <w:topLinePunct w:val="0"/>
        <w:bidi w:val="0"/>
        <w:spacing w:line="480" w:lineRule="exact"/>
        <w:ind w:firstLine="562"/>
        <w:jc w:val="left"/>
        <w:rPr>
          <w:rFonts w:ascii="宋体" w:hAnsi="宋体" w:cs="宋体"/>
          <w:b/>
          <w:color w:val="auto"/>
          <w:sz w:val="28"/>
          <w:szCs w:val="28"/>
          <w:highlight w:val="none"/>
        </w:rPr>
      </w:pPr>
    </w:p>
    <w:p>
      <w:pPr>
        <w:pageBreakBefore w:val="0"/>
        <w:widowControl/>
        <w:shd w:val="clear" w:color="auto" w:fill="FFFFFF"/>
        <w:kinsoku/>
        <w:wordWrap w:val="0"/>
        <w:topLinePunct w:val="0"/>
        <w:bidi w:val="0"/>
        <w:spacing w:line="480" w:lineRule="exact"/>
        <w:ind w:firstLine="562"/>
        <w:jc w:val="left"/>
        <w:rPr>
          <w:rFonts w:ascii="宋体" w:hAnsi="宋体" w:cs="宋体"/>
          <w:b/>
          <w:color w:val="auto"/>
          <w:sz w:val="28"/>
          <w:szCs w:val="28"/>
          <w:highlight w:val="none"/>
        </w:rPr>
      </w:pPr>
    </w:p>
    <w:p>
      <w:pPr>
        <w:pageBreakBefore w:val="0"/>
        <w:widowControl/>
        <w:shd w:val="clear" w:color="auto" w:fill="FFFFFF"/>
        <w:kinsoku/>
        <w:wordWrap w:val="0"/>
        <w:topLinePunct w:val="0"/>
        <w:bidi w:val="0"/>
        <w:spacing w:line="480" w:lineRule="exact"/>
        <w:ind w:firstLine="562"/>
        <w:jc w:val="left"/>
        <w:rPr>
          <w:rFonts w:ascii="宋体" w:hAnsi="宋体" w:cs="宋体"/>
          <w:b/>
          <w:color w:val="auto"/>
          <w:sz w:val="28"/>
          <w:szCs w:val="28"/>
          <w:highlight w:val="none"/>
        </w:rPr>
      </w:pPr>
    </w:p>
    <w:p>
      <w:pPr>
        <w:pageBreakBefore w:val="0"/>
        <w:widowControl/>
        <w:shd w:val="clear" w:color="auto" w:fill="FFFFFF"/>
        <w:kinsoku/>
        <w:wordWrap w:val="0"/>
        <w:topLinePunct w:val="0"/>
        <w:bidi w:val="0"/>
        <w:spacing w:line="480" w:lineRule="exact"/>
        <w:ind w:firstLine="562"/>
        <w:jc w:val="left"/>
        <w:rPr>
          <w:rFonts w:ascii="宋体" w:hAnsi="宋体" w:cs="宋体"/>
          <w:b/>
          <w:color w:val="auto"/>
          <w:sz w:val="28"/>
          <w:szCs w:val="28"/>
          <w:highlight w:val="none"/>
        </w:rPr>
      </w:pPr>
    </w:p>
    <w:p>
      <w:pPr>
        <w:pageBreakBefore w:val="0"/>
        <w:widowControl/>
        <w:shd w:val="clear" w:color="auto" w:fill="FFFFFF"/>
        <w:kinsoku/>
        <w:wordWrap w:val="0"/>
        <w:topLinePunct w:val="0"/>
        <w:bidi w:val="0"/>
        <w:spacing w:line="480" w:lineRule="exact"/>
        <w:ind w:firstLine="562"/>
        <w:jc w:val="left"/>
        <w:rPr>
          <w:rFonts w:ascii="宋体" w:hAnsi="宋体" w:cs="宋体"/>
          <w:b/>
          <w:color w:val="auto"/>
          <w:sz w:val="28"/>
          <w:szCs w:val="28"/>
          <w:highlight w:val="none"/>
        </w:rPr>
      </w:pPr>
    </w:p>
    <w:p>
      <w:pPr>
        <w:pageBreakBefore w:val="0"/>
        <w:widowControl/>
        <w:shd w:val="clear" w:color="auto" w:fill="FFFFFF"/>
        <w:kinsoku/>
        <w:wordWrap w:val="0"/>
        <w:topLinePunct w:val="0"/>
        <w:bidi w:val="0"/>
        <w:spacing w:line="480" w:lineRule="exact"/>
        <w:ind w:firstLine="562"/>
        <w:jc w:val="left"/>
        <w:rPr>
          <w:rFonts w:ascii="宋体" w:hAnsi="宋体" w:cs="宋体"/>
          <w:b/>
          <w:color w:val="auto"/>
          <w:sz w:val="28"/>
          <w:szCs w:val="28"/>
          <w:highlight w:val="none"/>
        </w:rPr>
      </w:pPr>
    </w:p>
    <w:p>
      <w:pPr>
        <w:pageBreakBefore w:val="0"/>
        <w:widowControl/>
        <w:shd w:val="clear" w:color="auto" w:fill="FFFFFF"/>
        <w:kinsoku/>
        <w:wordWrap w:val="0"/>
        <w:topLinePunct w:val="0"/>
        <w:bidi w:val="0"/>
        <w:spacing w:line="480" w:lineRule="exact"/>
        <w:ind w:firstLine="643"/>
        <w:jc w:val="left"/>
        <w:rPr>
          <w:rFonts w:hint="eastAsia" w:ascii="宋体" w:hAnsi="宋体" w:cs="宋体"/>
          <w:b/>
          <w:bCs/>
          <w:color w:val="auto"/>
          <w:sz w:val="32"/>
          <w:szCs w:val="32"/>
          <w:highlight w:val="none"/>
        </w:rPr>
      </w:pPr>
    </w:p>
    <w:p>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Style w:val="40"/>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宋体" w:hAnsi="宋体"/>
          <w:color w:val="auto"/>
          <w:kern w:val="0"/>
          <w:sz w:val="24"/>
          <w:highlight w:val="none"/>
          <w:shd w:val="clear" w:color="auto" w:fill="FFFFFF"/>
        </w:rPr>
      </w:pPr>
      <w:r>
        <w:rPr>
          <w:rFonts w:hint="eastAsia" w:ascii="宋体" w:hAnsi="宋体" w:cs="宋体"/>
          <w:b/>
          <w:bCs/>
          <w:color w:val="auto"/>
          <w:sz w:val="32"/>
          <w:szCs w:val="32"/>
          <w:highlight w:val="none"/>
        </w:rPr>
        <w:t>5.</w:t>
      </w:r>
      <w:r>
        <w:rPr>
          <w:rFonts w:hint="eastAsia" w:ascii="宋体" w:hAnsi="宋体" w:eastAsia="宋体" w:cs="宋体"/>
          <w:b/>
          <w:color w:val="auto"/>
          <w:kern w:val="0"/>
          <w:sz w:val="28"/>
          <w:szCs w:val="28"/>
          <w:highlight w:val="none"/>
          <w:lang w:val="en-US" w:eastAsia="zh-CN" w:bidi="ar-SA"/>
        </w:rPr>
        <w:t>监理大纲（必须提供）；</w:t>
      </w:r>
    </w:p>
    <w:p>
      <w:pPr>
        <w:pageBreakBefore w:val="0"/>
        <w:kinsoku/>
        <w:wordWrap w:val="0"/>
        <w:topLinePunct w:val="0"/>
        <w:bidi w:val="0"/>
        <w:ind w:firstLine="562"/>
        <w:rPr>
          <w:rFonts w:ascii="宋体" w:hAnsi="宋体" w:cs="宋体"/>
          <w:b/>
          <w:bCs/>
          <w:color w:val="auto"/>
          <w:sz w:val="32"/>
          <w:szCs w:val="32"/>
          <w:highlight w:val="none"/>
        </w:rPr>
      </w:pPr>
    </w:p>
    <w:p>
      <w:pPr>
        <w:pageBreakBefore w:val="0"/>
        <w:kinsoku/>
        <w:wordWrap w:val="0"/>
        <w:topLinePunct w:val="0"/>
        <w:bidi w:val="0"/>
        <w:spacing w:line="400" w:lineRule="exact"/>
        <w:jc w:val="center"/>
        <w:rPr>
          <w:rFonts w:ascii="宋体" w:hAnsi="宋体" w:cs="宋体"/>
          <w:color w:val="auto"/>
          <w:szCs w:val="21"/>
          <w:highlight w:val="none"/>
        </w:rPr>
      </w:pPr>
      <w:r>
        <w:rPr>
          <w:rFonts w:hint="eastAsia" w:ascii="宋体" w:hAnsi="宋体" w:cs="宋体"/>
          <w:b/>
          <w:color w:val="auto"/>
          <w:kern w:val="0"/>
          <w:sz w:val="28"/>
          <w:szCs w:val="28"/>
          <w:highlight w:val="none"/>
        </w:rPr>
        <w:t>（根据</w:t>
      </w:r>
      <w:r>
        <w:rPr>
          <w:rFonts w:hint="eastAsia" w:ascii="宋体" w:hAnsi="宋体" w:cs="宋体"/>
          <w:b/>
          <w:color w:val="auto"/>
          <w:kern w:val="0"/>
          <w:sz w:val="28"/>
          <w:szCs w:val="28"/>
          <w:highlight w:val="none"/>
          <w:lang w:eastAsia="zh-CN"/>
        </w:rPr>
        <w:t>监理服务需求</w:t>
      </w:r>
      <w:r>
        <w:rPr>
          <w:rFonts w:hint="eastAsia" w:ascii="宋体" w:hAnsi="宋体" w:cs="宋体"/>
          <w:b/>
          <w:color w:val="auto"/>
          <w:kern w:val="0"/>
          <w:sz w:val="28"/>
          <w:szCs w:val="28"/>
          <w:highlight w:val="none"/>
        </w:rPr>
        <w:t>及评审办法自行编制）</w:t>
      </w:r>
    </w:p>
    <w:p>
      <w:pPr>
        <w:pStyle w:val="41"/>
        <w:ind w:left="0" w:leftChars="0" w:firstLine="0" w:firstLineChars="0"/>
        <w:rPr>
          <w:rFonts w:ascii="宋体" w:hAnsi="宋体" w:cs="宋体"/>
          <w:color w:val="auto"/>
          <w:szCs w:val="21"/>
          <w:highlight w:val="none"/>
        </w:rPr>
      </w:pPr>
    </w:p>
    <w:p>
      <w:pPr>
        <w:rPr>
          <w:color w:val="auto"/>
          <w:highlight w:val="none"/>
        </w:rPr>
      </w:pPr>
    </w:p>
    <w:p>
      <w:pPr>
        <w:pageBreakBefore w:val="0"/>
        <w:kinsoku/>
        <w:wordWrap w:val="0"/>
        <w:topLinePunct w:val="0"/>
        <w:bidi w:val="0"/>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供应商[公章(CA签章)，自然人签字或个人CA签章]：</w:t>
      </w:r>
    </w:p>
    <w:p>
      <w:pPr>
        <w:pageBreakBefore w:val="0"/>
        <w:tabs>
          <w:tab w:val="left" w:pos="567"/>
        </w:tabs>
        <w:kinsoku/>
        <w:wordWrap w:val="0"/>
        <w:topLinePunct w:val="0"/>
        <w:bidi w:val="0"/>
        <w:rPr>
          <w:rFonts w:ascii="宋体" w:hAnsi="宋体" w:cs="宋体"/>
          <w:color w:val="auto"/>
          <w:highlight w:val="none"/>
        </w:rPr>
      </w:pPr>
    </w:p>
    <w:p>
      <w:pPr>
        <w:pageBreakBefore w:val="0"/>
        <w:kinsoku/>
        <w:wordWrap w:val="0"/>
        <w:topLinePunct w:val="0"/>
        <w:bidi w:val="0"/>
        <w:snapToGrid w:val="0"/>
        <w:spacing w:line="400" w:lineRule="exact"/>
        <w:ind w:firstLine="1680" w:firstLineChars="800"/>
        <w:rPr>
          <w:rFonts w:ascii="宋体" w:hAnsi="宋体" w:cs="宋体"/>
          <w:color w:val="auto"/>
          <w:highlight w:val="none"/>
        </w:rPr>
      </w:pPr>
      <w:r>
        <w:rPr>
          <w:rFonts w:hint="eastAsia" w:ascii="宋体" w:hAnsi="宋体" w:cs="宋体"/>
          <w:color w:val="auto"/>
          <w:highlight w:val="none"/>
        </w:rPr>
        <w:t xml:space="preserve">   日          期：</w:t>
      </w:r>
    </w:p>
    <w:p>
      <w:pPr>
        <w:pageBreakBefore w:val="0"/>
        <w:kinsoku/>
        <w:wordWrap w:val="0"/>
        <w:topLinePunct w:val="0"/>
        <w:bidi w:val="0"/>
        <w:spacing w:line="360" w:lineRule="auto"/>
        <w:ind w:firstLine="482"/>
        <w:rPr>
          <w:rFonts w:ascii="宋体" w:hAnsi="宋体" w:cs="宋体"/>
          <w:color w:val="auto"/>
          <w:highlight w:val="none"/>
          <w:u w:val="single"/>
        </w:rPr>
      </w:pPr>
      <w:r>
        <w:rPr>
          <w:rFonts w:hint="eastAsia" w:ascii="宋体" w:hAnsi="宋体" w:cs="宋体"/>
          <w:b/>
          <w:bCs/>
          <w:color w:val="auto"/>
          <w:sz w:val="24"/>
          <w:highlight w:val="none"/>
        </w:rPr>
        <w:t>注：供应商可根据自身情况结合本项目自行制定</w:t>
      </w:r>
    </w:p>
    <w:p>
      <w:pPr>
        <w:pageBreakBefore w:val="0"/>
        <w:kinsoku/>
        <w:wordWrap w:val="0"/>
        <w:topLinePunct w:val="0"/>
        <w:bidi w:val="0"/>
        <w:spacing w:line="480" w:lineRule="exact"/>
        <w:ind w:firstLine="643"/>
        <w:rPr>
          <w:rFonts w:ascii="宋体" w:hAnsi="宋体" w:cs="宋体"/>
          <w:b/>
          <w:bCs/>
          <w:color w:val="auto"/>
          <w:sz w:val="32"/>
          <w:szCs w:val="32"/>
          <w:highlight w:val="none"/>
        </w:rPr>
      </w:pPr>
    </w:p>
    <w:p>
      <w:pPr>
        <w:pStyle w:val="40"/>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b/>
          <w:bCs/>
          <w:color w:val="auto"/>
          <w:highlight w:val="none"/>
        </w:rPr>
      </w:pPr>
      <w:r>
        <w:rPr>
          <w:rFonts w:hint="eastAsia" w:ascii="宋体" w:hAnsi="宋体" w:cs="宋体"/>
          <w:b/>
          <w:bCs/>
          <w:color w:val="auto"/>
          <w:sz w:val="32"/>
          <w:szCs w:val="32"/>
          <w:highlight w:val="none"/>
        </w:rPr>
        <w:t>6.</w:t>
      </w:r>
      <w:r>
        <w:rPr>
          <w:rFonts w:hint="eastAsia" w:ascii="宋体" w:hAnsi="宋体"/>
          <w:color w:val="auto"/>
          <w:kern w:val="0"/>
          <w:sz w:val="32"/>
          <w:szCs w:val="32"/>
          <w:highlight w:val="none"/>
          <w:shd w:val="clear" w:color="auto" w:fill="FFFFFF"/>
        </w:rPr>
        <w:t>拟投入本工程的监理人员情况表</w:t>
      </w:r>
      <w:r>
        <w:rPr>
          <w:rFonts w:hint="eastAsia" w:ascii="宋体" w:hAnsi="宋体"/>
          <w:b/>
          <w:bCs/>
          <w:color w:val="auto"/>
          <w:kern w:val="0"/>
          <w:sz w:val="32"/>
          <w:szCs w:val="32"/>
          <w:highlight w:val="none"/>
          <w:shd w:val="clear" w:color="auto" w:fill="FFFFFF"/>
        </w:rPr>
        <w:t>【必须提供，并一起提供由县级以上（含县级）社会养老保险经办机构出具的</w:t>
      </w:r>
      <w:r>
        <w:rPr>
          <w:rFonts w:hint="eastAsia" w:ascii="宋体" w:hAnsi="宋体"/>
          <w:b/>
          <w:bCs/>
          <w:color w:val="auto"/>
          <w:kern w:val="0"/>
          <w:sz w:val="32"/>
          <w:szCs w:val="32"/>
          <w:highlight w:val="none"/>
          <w:shd w:val="clear" w:color="auto" w:fill="FFFFFF"/>
          <w:lang w:eastAsia="zh-CN"/>
        </w:rPr>
        <w:t>供应商</w:t>
      </w:r>
      <w:r>
        <w:rPr>
          <w:rFonts w:hint="eastAsia" w:ascii="宋体" w:hAnsi="宋体"/>
          <w:b/>
          <w:bCs/>
          <w:color w:val="auto"/>
          <w:kern w:val="0"/>
          <w:sz w:val="32"/>
          <w:szCs w:val="32"/>
          <w:highlight w:val="none"/>
          <w:shd w:val="clear" w:color="auto" w:fill="FFFFFF"/>
        </w:rPr>
        <w:t>为项目实施人员</w:t>
      </w:r>
      <w:r>
        <w:rPr>
          <w:rFonts w:hint="eastAsia" w:ascii="宋体" w:hAnsi="宋体"/>
          <w:b/>
          <w:bCs/>
          <w:color w:val="auto"/>
          <w:kern w:val="0"/>
          <w:sz w:val="32"/>
          <w:szCs w:val="32"/>
          <w:highlight w:val="none"/>
          <w:shd w:val="clear" w:color="auto" w:fill="FFFFFF"/>
          <w:lang w:eastAsia="zh-CN"/>
        </w:rPr>
        <w:t>2024年以来任意连续三个月缴纳社保的证明材料复印件</w:t>
      </w:r>
      <w:r>
        <w:rPr>
          <w:rFonts w:hint="eastAsia" w:ascii="宋体" w:hAnsi="宋体"/>
          <w:b/>
          <w:bCs/>
          <w:color w:val="auto"/>
          <w:kern w:val="0"/>
          <w:sz w:val="32"/>
          <w:szCs w:val="32"/>
          <w:highlight w:val="none"/>
          <w:shd w:val="clear" w:color="auto" w:fill="FFFFFF"/>
        </w:rPr>
        <w:t>（如</w:t>
      </w:r>
      <w:r>
        <w:rPr>
          <w:rFonts w:hint="eastAsia" w:ascii="宋体" w:hAnsi="宋体"/>
          <w:b/>
          <w:bCs/>
          <w:color w:val="auto"/>
          <w:kern w:val="0"/>
          <w:sz w:val="32"/>
          <w:szCs w:val="32"/>
          <w:highlight w:val="none"/>
          <w:shd w:val="clear" w:color="auto" w:fill="FFFFFF"/>
          <w:lang w:eastAsia="zh-CN"/>
        </w:rPr>
        <w:t>供应商</w:t>
      </w:r>
      <w:r>
        <w:rPr>
          <w:rFonts w:hint="eastAsia" w:ascii="宋体" w:hAnsi="宋体"/>
          <w:b/>
          <w:bCs/>
          <w:color w:val="auto"/>
          <w:kern w:val="0"/>
          <w:sz w:val="32"/>
          <w:szCs w:val="32"/>
          <w:highlight w:val="none"/>
          <w:shd w:val="clear" w:color="auto" w:fill="FFFFFF"/>
        </w:rPr>
        <w:t>为截标时间前 60 日以内成立的公司，可以提供</w:t>
      </w:r>
      <w:r>
        <w:rPr>
          <w:rFonts w:hint="eastAsia" w:ascii="宋体" w:hAnsi="宋体"/>
          <w:b/>
          <w:bCs/>
          <w:color w:val="auto"/>
          <w:kern w:val="0"/>
          <w:sz w:val="32"/>
          <w:szCs w:val="32"/>
          <w:highlight w:val="none"/>
          <w:shd w:val="clear" w:color="auto" w:fill="FFFFFF"/>
          <w:lang w:eastAsia="zh-CN"/>
        </w:rPr>
        <w:t>供应商</w:t>
      </w:r>
      <w:r>
        <w:rPr>
          <w:rFonts w:hint="eastAsia" w:ascii="宋体" w:hAnsi="宋体"/>
          <w:b/>
          <w:bCs/>
          <w:color w:val="auto"/>
          <w:kern w:val="0"/>
          <w:sz w:val="32"/>
          <w:szCs w:val="32"/>
          <w:highlight w:val="none"/>
          <w:shd w:val="clear" w:color="auto" w:fill="FFFFFF"/>
        </w:rPr>
        <w:t>与项目实施人员签订的劳动合同复印件代替社保证明复印件；项目实施人员为免缴纳社保人员，提供免缴纳社保的证明材料复印件及</w:t>
      </w:r>
      <w:r>
        <w:rPr>
          <w:rFonts w:hint="eastAsia" w:ascii="宋体" w:hAnsi="宋体"/>
          <w:b/>
          <w:bCs/>
          <w:color w:val="auto"/>
          <w:kern w:val="0"/>
          <w:sz w:val="32"/>
          <w:szCs w:val="32"/>
          <w:highlight w:val="none"/>
          <w:shd w:val="clear" w:color="auto" w:fill="FFFFFF"/>
          <w:lang w:eastAsia="zh-CN"/>
        </w:rPr>
        <w:t>供应商</w:t>
      </w:r>
      <w:r>
        <w:rPr>
          <w:rFonts w:hint="eastAsia" w:ascii="宋体" w:hAnsi="宋体"/>
          <w:b/>
          <w:bCs/>
          <w:color w:val="auto"/>
          <w:kern w:val="0"/>
          <w:sz w:val="32"/>
          <w:szCs w:val="32"/>
          <w:highlight w:val="none"/>
          <w:shd w:val="clear" w:color="auto" w:fill="FFFFFF"/>
        </w:rPr>
        <w:t>与项目实施人员签订的劳动合同复印件代替社保证明复印件）】。</w:t>
      </w:r>
    </w:p>
    <w:p>
      <w:pPr>
        <w:pageBreakBefore w:val="0"/>
        <w:kinsoku/>
        <w:wordWrap w:val="0"/>
        <w:topLinePunct w:val="0"/>
        <w:bidi w:val="0"/>
        <w:rPr>
          <w:rFonts w:ascii="宋体" w:hAnsi="宋体" w:cs="宋体"/>
          <w:color w:val="auto"/>
          <w:highlight w:val="none"/>
        </w:rPr>
      </w:pPr>
    </w:p>
    <w:p>
      <w:pPr>
        <w:pStyle w:val="19"/>
        <w:pageBreakBefore w:val="0"/>
        <w:kinsoku/>
        <w:wordWrap w:val="0"/>
        <w:topLinePunct w:val="0"/>
        <w:bidi w:val="0"/>
        <w:spacing w:line="400" w:lineRule="exact"/>
        <w:ind w:firstLine="602"/>
        <w:rPr>
          <w:rFonts w:hAnsi="宋体" w:cs="宋体"/>
          <w:b/>
          <w:color w:val="auto"/>
          <w:sz w:val="30"/>
          <w:szCs w:val="30"/>
          <w:highlight w:val="none"/>
        </w:rPr>
      </w:pPr>
      <w:r>
        <w:rPr>
          <w:rFonts w:hint="eastAsia" w:hAnsi="宋体" w:cs="宋体"/>
          <w:b/>
          <w:color w:val="auto"/>
          <w:sz w:val="30"/>
          <w:szCs w:val="30"/>
          <w:highlight w:val="none"/>
        </w:rPr>
        <w:t>附件：</w:t>
      </w:r>
    </w:p>
    <w:p>
      <w:pPr>
        <w:pStyle w:val="17"/>
        <w:pageBreakBefore w:val="0"/>
        <w:kinsoku/>
        <w:wordWrap w:val="0"/>
        <w:topLinePunct w:val="0"/>
        <w:bidi w:val="0"/>
        <w:rPr>
          <w:rFonts w:ascii="宋体" w:hAnsi="宋体" w:cs="宋体"/>
          <w:color w:val="auto"/>
          <w:highlight w:val="none"/>
        </w:rPr>
      </w:pPr>
    </w:p>
    <w:p>
      <w:pPr>
        <w:pStyle w:val="19"/>
        <w:pageBreakBefore w:val="0"/>
        <w:kinsoku/>
        <w:wordWrap w:val="0"/>
        <w:topLinePunct w:val="0"/>
        <w:bidi w:val="0"/>
        <w:spacing w:line="340" w:lineRule="exact"/>
        <w:ind w:firstLine="643"/>
        <w:jc w:val="center"/>
        <w:rPr>
          <w:rFonts w:hAnsi="宋体" w:cs="宋体"/>
          <w:b/>
          <w:color w:val="auto"/>
          <w:sz w:val="32"/>
          <w:szCs w:val="32"/>
          <w:highlight w:val="none"/>
        </w:rPr>
      </w:pPr>
      <w:r>
        <w:rPr>
          <w:rFonts w:hint="eastAsia" w:hAnsi="宋体" w:cs="宋体"/>
          <w:b/>
          <w:color w:val="auto"/>
          <w:sz w:val="32"/>
          <w:szCs w:val="32"/>
          <w:highlight w:val="none"/>
        </w:rPr>
        <w:t>拟投入本工程的监理人员情况表（格式）</w:t>
      </w:r>
    </w:p>
    <w:p>
      <w:pPr>
        <w:pStyle w:val="31"/>
        <w:pageBreakBefore w:val="0"/>
        <w:kinsoku/>
        <w:wordWrap w:val="0"/>
        <w:topLinePunct w:val="0"/>
        <w:bidi w:val="0"/>
        <w:ind w:firstLine="482"/>
        <w:rPr>
          <w:rFonts w:ascii="宋体" w:hAnsi="宋体" w:cs="宋体"/>
          <w:b/>
          <w:bCs/>
          <w:color w:val="auto"/>
          <w:sz w:val="24"/>
          <w:highlight w:val="none"/>
        </w:rPr>
      </w:pPr>
    </w:p>
    <w:tbl>
      <w:tblPr>
        <w:tblStyle w:val="158"/>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6"/>
        <w:gridCol w:w="2354"/>
        <w:gridCol w:w="2353"/>
        <w:gridCol w:w="2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2356" w:type="dxa"/>
            <w:vAlign w:val="center"/>
          </w:tcPr>
          <w:p>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napToGrid w:val="0"/>
                <w:color w:val="auto"/>
                <w:highlight w:val="none"/>
              </w:rPr>
            </w:pPr>
            <w:r>
              <w:rPr>
                <w:snapToGrid w:val="0"/>
                <w:color w:val="auto"/>
                <w:spacing w:val="-4"/>
                <w:highlight w:val="none"/>
              </w:rPr>
              <w:t>姓</w:t>
            </w:r>
            <w:r>
              <w:rPr>
                <w:snapToGrid w:val="0"/>
                <w:color w:val="auto"/>
                <w:spacing w:val="11"/>
                <w:highlight w:val="none"/>
              </w:rPr>
              <w:t xml:space="preserve"> </w:t>
            </w:r>
            <w:r>
              <w:rPr>
                <w:snapToGrid w:val="0"/>
                <w:color w:val="auto"/>
                <w:spacing w:val="-4"/>
                <w:highlight w:val="none"/>
              </w:rPr>
              <w:t>名</w:t>
            </w:r>
          </w:p>
        </w:tc>
        <w:tc>
          <w:tcPr>
            <w:tcW w:w="2354" w:type="dxa"/>
            <w:vAlign w:val="center"/>
          </w:tcPr>
          <w:p>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napToGrid w:val="0"/>
                <w:color w:val="auto"/>
                <w:highlight w:val="none"/>
              </w:rPr>
            </w:pPr>
            <w:r>
              <w:rPr>
                <w:snapToGrid w:val="0"/>
                <w:color w:val="auto"/>
                <w:spacing w:val="-2"/>
                <w:highlight w:val="none"/>
              </w:rPr>
              <w:t>职务</w:t>
            </w:r>
          </w:p>
        </w:tc>
        <w:tc>
          <w:tcPr>
            <w:tcW w:w="2353" w:type="dxa"/>
            <w:vAlign w:val="center"/>
          </w:tcPr>
          <w:p>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napToGrid w:val="0"/>
                <w:color w:val="auto"/>
                <w:highlight w:val="none"/>
              </w:rPr>
            </w:pPr>
            <w:r>
              <w:rPr>
                <w:snapToGrid w:val="0"/>
                <w:color w:val="auto"/>
                <w:spacing w:val="-3"/>
                <w:highlight w:val="none"/>
              </w:rPr>
              <w:t>学历</w:t>
            </w:r>
          </w:p>
        </w:tc>
        <w:tc>
          <w:tcPr>
            <w:tcW w:w="2715" w:type="dxa"/>
            <w:vAlign w:val="center"/>
          </w:tcPr>
          <w:p>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napToGrid w:val="0"/>
                <w:color w:val="auto"/>
                <w:highlight w:val="none"/>
              </w:rPr>
            </w:pPr>
            <w:r>
              <w:rPr>
                <w:snapToGrid w:val="0"/>
                <w:color w:val="auto"/>
                <w:spacing w:val="-1"/>
                <w:highlight w:val="none"/>
              </w:rPr>
              <w:t>执业资格或职称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356" w:type="dxa"/>
            <w:vAlign w:val="top"/>
          </w:tcPr>
          <w:p>
            <w:pPr>
              <w:rPr>
                <w:rFonts w:ascii="Arial"/>
                <w:snapToGrid w:val="0"/>
                <w:color w:val="auto"/>
                <w:sz w:val="21"/>
                <w:highlight w:val="none"/>
              </w:rPr>
            </w:pPr>
          </w:p>
        </w:tc>
        <w:tc>
          <w:tcPr>
            <w:tcW w:w="2354" w:type="dxa"/>
            <w:vAlign w:val="top"/>
          </w:tcPr>
          <w:p>
            <w:pPr>
              <w:rPr>
                <w:rFonts w:ascii="Arial"/>
                <w:snapToGrid w:val="0"/>
                <w:color w:val="auto"/>
                <w:sz w:val="21"/>
                <w:highlight w:val="none"/>
              </w:rPr>
            </w:pPr>
          </w:p>
        </w:tc>
        <w:tc>
          <w:tcPr>
            <w:tcW w:w="2353" w:type="dxa"/>
            <w:vAlign w:val="top"/>
          </w:tcPr>
          <w:p>
            <w:pPr>
              <w:rPr>
                <w:rFonts w:ascii="Arial"/>
                <w:snapToGrid w:val="0"/>
                <w:color w:val="auto"/>
                <w:sz w:val="21"/>
                <w:highlight w:val="none"/>
              </w:rPr>
            </w:pPr>
          </w:p>
        </w:tc>
        <w:tc>
          <w:tcPr>
            <w:tcW w:w="2715" w:type="dxa"/>
            <w:vAlign w:val="top"/>
          </w:tcPr>
          <w:p>
            <w:pPr>
              <w:rPr>
                <w:rFonts w:ascii="Arial"/>
                <w:snapToGrid w:val="0"/>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56" w:type="dxa"/>
            <w:vAlign w:val="top"/>
          </w:tcPr>
          <w:p>
            <w:pPr>
              <w:rPr>
                <w:rFonts w:ascii="Arial"/>
                <w:snapToGrid w:val="0"/>
                <w:color w:val="auto"/>
                <w:sz w:val="21"/>
                <w:highlight w:val="none"/>
              </w:rPr>
            </w:pPr>
          </w:p>
        </w:tc>
        <w:tc>
          <w:tcPr>
            <w:tcW w:w="2354" w:type="dxa"/>
            <w:vAlign w:val="top"/>
          </w:tcPr>
          <w:p>
            <w:pPr>
              <w:rPr>
                <w:rFonts w:ascii="Arial"/>
                <w:snapToGrid w:val="0"/>
                <w:color w:val="auto"/>
                <w:sz w:val="21"/>
                <w:highlight w:val="none"/>
              </w:rPr>
            </w:pPr>
          </w:p>
        </w:tc>
        <w:tc>
          <w:tcPr>
            <w:tcW w:w="2353" w:type="dxa"/>
            <w:vAlign w:val="top"/>
          </w:tcPr>
          <w:p>
            <w:pPr>
              <w:rPr>
                <w:rFonts w:ascii="Arial"/>
                <w:snapToGrid w:val="0"/>
                <w:color w:val="auto"/>
                <w:sz w:val="21"/>
                <w:highlight w:val="none"/>
              </w:rPr>
            </w:pPr>
          </w:p>
        </w:tc>
        <w:tc>
          <w:tcPr>
            <w:tcW w:w="2715" w:type="dxa"/>
            <w:vAlign w:val="top"/>
          </w:tcPr>
          <w:p>
            <w:pPr>
              <w:rPr>
                <w:rFonts w:ascii="Arial"/>
                <w:snapToGrid w:val="0"/>
                <w:color w:val="auto"/>
                <w:sz w:val="21"/>
                <w:highlight w:val="none"/>
              </w:rPr>
            </w:pPr>
          </w:p>
        </w:tc>
      </w:tr>
    </w:tbl>
    <w:p>
      <w:pPr>
        <w:spacing w:before="68" w:line="220" w:lineRule="auto"/>
        <w:ind w:left="543"/>
        <w:rPr>
          <w:rFonts w:ascii="宋体" w:hAnsi="宋体" w:eastAsia="宋体" w:cs="宋体"/>
          <w:b/>
          <w:bCs/>
          <w:color w:val="auto"/>
          <w:spacing w:val="-2"/>
          <w:sz w:val="21"/>
          <w:szCs w:val="21"/>
          <w:highlight w:val="none"/>
        </w:rPr>
      </w:pPr>
    </w:p>
    <w:p>
      <w:pPr>
        <w:spacing w:before="68" w:line="220" w:lineRule="auto"/>
        <w:ind w:left="543"/>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注：1.在填写时，如本表格不适合</w:t>
      </w:r>
      <w:r>
        <w:rPr>
          <w:rFonts w:hint="eastAsia" w:ascii="宋体" w:hAnsi="宋体" w:eastAsia="宋体" w:cs="宋体"/>
          <w:b/>
          <w:bCs/>
          <w:color w:val="auto"/>
          <w:spacing w:val="-2"/>
          <w:sz w:val="21"/>
          <w:szCs w:val="21"/>
          <w:highlight w:val="none"/>
        </w:rPr>
        <w:t>供应商</w:t>
      </w:r>
      <w:r>
        <w:rPr>
          <w:rFonts w:ascii="宋体" w:hAnsi="宋体" w:eastAsia="宋体" w:cs="宋体"/>
          <w:b/>
          <w:bCs/>
          <w:color w:val="auto"/>
          <w:spacing w:val="-2"/>
          <w:sz w:val="21"/>
          <w:szCs w:val="21"/>
          <w:highlight w:val="none"/>
        </w:rPr>
        <w:t>单位的实际情况，可根据本表</w:t>
      </w:r>
      <w:r>
        <w:rPr>
          <w:rFonts w:ascii="宋体" w:hAnsi="宋体" w:eastAsia="宋体" w:cs="宋体"/>
          <w:b/>
          <w:bCs/>
          <w:color w:val="auto"/>
          <w:spacing w:val="-3"/>
          <w:sz w:val="21"/>
          <w:szCs w:val="21"/>
          <w:highlight w:val="none"/>
        </w:rPr>
        <w:t>格式自行制表填写。</w:t>
      </w:r>
    </w:p>
    <w:p>
      <w:pPr>
        <w:pageBreakBefore w:val="0"/>
        <w:kinsoku/>
        <w:wordWrap w:val="0"/>
        <w:topLinePunct w:val="0"/>
        <w:bidi w:val="0"/>
        <w:snapToGrid w:val="0"/>
        <w:spacing w:line="400" w:lineRule="exact"/>
        <w:rPr>
          <w:rFonts w:ascii="宋体" w:hAnsi="宋体" w:cs="宋体"/>
          <w:color w:val="auto"/>
          <w:szCs w:val="21"/>
          <w:highlight w:val="none"/>
        </w:rPr>
      </w:pPr>
    </w:p>
    <w:p>
      <w:pPr>
        <w:pageBreakBefore w:val="0"/>
        <w:kinsoku/>
        <w:wordWrap w:val="0"/>
        <w:topLinePunct w:val="0"/>
        <w:bidi w:val="0"/>
        <w:snapToGrid w:val="0"/>
        <w:spacing w:line="400" w:lineRule="exact"/>
        <w:ind w:firstLine="1890" w:firstLineChars="900"/>
        <w:rPr>
          <w:rFonts w:hint="eastAsia" w:ascii="宋体" w:hAnsi="宋体" w:cs="宋体"/>
          <w:color w:val="auto"/>
          <w:szCs w:val="21"/>
          <w:highlight w:val="none"/>
        </w:rPr>
      </w:pPr>
    </w:p>
    <w:p>
      <w:pPr>
        <w:pageBreakBefore w:val="0"/>
        <w:kinsoku/>
        <w:wordWrap w:val="0"/>
        <w:topLinePunct w:val="0"/>
        <w:bidi w:val="0"/>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供应商[公章(CA签章)，自然人签字或个人CA签章]：</w:t>
      </w:r>
    </w:p>
    <w:p>
      <w:pPr>
        <w:pageBreakBefore w:val="0"/>
        <w:kinsoku/>
        <w:wordWrap w:val="0"/>
        <w:topLinePunct w:val="0"/>
        <w:bidi w:val="0"/>
        <w:snapToGrid w:val="0"/>
        <w:spacing w:line="400" w:lineRule="exact"/>
        <w:ind w:firstLine="1680" w:firstLineChars="800"/>
        <w:rPr>
          <w:rFonts w:ascii="宋体" w:hAnsi="宋体"/>
          <w:b/>
          <w:color w:val="auto"/>
          <w:kern w:val="0"/>
          <w:sz w:val="32"/>
          <w:szCs w:val="32"/>
          <w:highlight w:val="none"/>
        </w:rPr>
      </w:pPr>
      <w:r>
        <w:rPr>
          <w:rFonts w:hint="eastAsia" w:ascii="宋体" w:hAnsi="宋体" w:cs="宋体"/>
          <w:color w:val="auto"/>
          <w:highlight w:val="none"/>
        </w:rPr>
        <w:t xml:space="preserve">  日          期：</w:t>
      </w:r>
    </w:p>
    <w:p>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pPr>
        <w:pageBreakBefore w:val="0"/>
        <w:kinsoku/>
        <w:wordWrap w:val="0"/>
        <w:topLinePunct w:val="0"/>
        <w:bidi w:val="0"/>
        <w:spacing w:line="400" w:lineRule="exact"/>
        <w:ind w:firstLine="643"/>
        <w:jc w:val="center"/>
        <w:rPr>
          <w:rFonts w:ascii="宋体" w:hAnsi="宋体"/>
          <w:b/>
          <w:color w:val="auto"/>
          <w:kern w:val="0"/>
          <w:sz w:val="32"/>
          <w:szCs w:val="32"/>
          <w:highlight w:val="none"/>
        </w:rPr>
      </w:pPr>
      <w:r>
        <w:rPr>
          <w:rFonts w:hint="eastAsia" w:ascii="宋体" w:hAnsi="宋体"/>
          <w:b/>
          <w:color w:val="auto"/>
          <w:kern w:val="0"/>
          <w:sz w:val="32"/>
          <w:szCs w:val="32"/>
          <w:highlight w:val="none"/>
        </w:rPr>
        <w:t>（三）其它有效证明材料目录</w:t>
      </w:r>
    </w:p>
    <w:p>
      <w:pPr>
        <w:pageBreakBefore w:val="0"/>
        <w:kinsoku/>
        <w:wordWrap w:val="0"/>
        <w:topLinePunct w:val="0"/>
        <w:bidi w:val="0"/>
        <w:spacing w:line="400" w:lineRule="exact"/>
        <w:ind w:firstLine="480" w:firstLineChars="200"/>
        <w:rPr>
          <w:rFonts w:ascii="宋体" w:hAnsi="宋体"/>
          <w:color w:val="auto"/>
          <w:sz w:val="24"/>
          <w:highlight w:val="none"/>
        </w:rPr>
      </w:pPr>
    </w:p>
    <w:p>
      <w:pPr>
        <w:pageBreakBefore w:val="0"/>
        <w:kinsoku/>
        <w:wordWrap w:val="0"/>
        <w:topLinePunct w:val="0"/>
        <w:bidi w:val="0"/>
        <w:spacing w:line="520" w:lineRule="exact"/>
        <w:ind w:firstLine="480" w:firstLineChars="200"/>
        <w:rPr>
          <w:rFonts w:ascii="宋体" w:hAnsi="宋体" w:cs="宋体"/>
          <w:color w:val="auto"/>
          <w:sz w:val="24"/>
          <w:szCs w:val="32"/>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监理服务需求</w:t>
      </w:r>
      <w:r>
        <w:rPr>
          <w:rFonts w:hint="eastAsia" w:ascii="宋体" w:hAnsi="宋体" w:cs="宋体"/>
          <w:color w:val="auto"/>
          <w:sz w:val="24"/>
          <w:highlight w:val="none"/>
        </w:rPr>
        <w:t>”需提供的有效证明文件</w:t>
      </w:r>
      <w:r>
        <w:rPr>
          <w:rFonts w:hint="eastAsia" w:ascii="宋体" w:hAnsi="宋体" w:cs="宋体"/>
          <w:b/>
          <w:bCs/>
          <w:color w:val="auto"/>
          <w:sz w:val="24"/>
          <w:highlight w:val="none"/>
        </w:rPr>
        <w:t>（如有，请提供）；</w:t>
      </w:r>
    </w:p>
    <w:p>
      <w:pPr>
        <w:pageBreakBefore w:val="0"/>
        <w:kinsoku/>
        <w:wordWrap w:val="0"/>
        <w:topLinePunct w:val="0"/>
        <w:bidi w:val="0"/>
        <w:spacing w:line="52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供应商2021年1月1日以来具有同类项目的业绩相关证明材料（无不良记录，以中标、成交通知书或签订的合同为准，并能清晰反映项目的名称、采购内容、采购时间）（如有，请提供）；</w:t>
      </w:r>
    </w:p>
    <w:p>
      <w:pPr>
        <w:pageBreakBefore w:val="0"/>
        <w:kinsoku/>
        <w:wordWrap w:val="0"/>
        <w:topLinePunct w:val="0"/>
        <w:bidi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供应商的《中小企业声明函》(供应商须承接本项目全部服务且为符合政策要求的中小企业)（</w:t>
      </w:r>
      <w:r>
        <w:rPr>
          <w:rFonts w:hint="eastAsia" w:ascii="宋体" w:hAnsi="宋体" w:eastAsia="宋体" w:cs="宋体"/>
          <w:b/>
          <w:bCs/>
          <w:color w:val="auto"/>
          <w:sz w:val="24"/>
          <w:highlight w:val="none"/>
        </w:rPr>
        <w:t>除监狱企业及残疾人福利性单位外，</w:t>
      </w:r>
      <w:r>
        <w:rPr>
          <w:rFonts w:hint="eastAsia" w:ascii="宋体" w:hAnsi="宋体" w:cs="宋体"/>
          <w:b/>
          <w:bCs/>
          <w:color w:val="auto"/>
          <w:sz w:val="24"/>
          <w:highlight w:val="none"/>
        </w:rPr>
        <w:t>如有，请提供</w:t>
      </w:r>
      <w:r>
        <w:rPr>
          <w:rFonts w:hint="eastAsia" w:ascii="宋体" w:hAnsi="宋体" w:eastAsia="宋体" w:cs="宋体"/>
          <w:b/>
          <w:bCs/>
          <w:color w:val="auto"/>
          <w:sz w:val="24"/>
          <w:highlight w:val="none"/>
        </w:rPr>
        <w:t>）；</w:t>
      </w:r>
    </w:p>
    <w:p>
      <w:pPr>
        <w:pageBreakBefore w:val="0"/>
        <w:kinsoku/>
        <w:wordWrap w:val="0"/>
        <w:topLinePunct w:val="0"/>
        <w:bidi w:val="0"/>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.如提供服务的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属于监狱企业的，应当提供由省级以上监狱管理局、戒毒管理局等（含新疆生产建设兵团）出具的属于监狱企业的证明文件</w:t>
      </w:r>
      <w:r>
        <w:rPr>
          <w:rFonts w:hint="eastAsia" w:ascii="宋体" w:hAnsi="宋体" w:eastAsia="宋体" w:cs="宋体"/>
          <w:b/>
          <w:bCs/>
          <w:color w:val="auto"/>
          <w:sz w:val="24"/>
          <w:highlight w:val="none"/>
          <w:lang w:eastAsia="zh-CN"/>
        </w:rPr>
        <w:t>（如</w:t>
      </w:r>
      <w:r>
        <w:rPr>
          <w:rFonts w:hint="eastAsia" w:ascii="宋体" w:hAnsi="宋体" w:cs="宋体"/>
          <w:b/>
          <w:bCs/>
          <w:color w:val="auto"/>
          <w:sz w:val="24"/>
          <w:highlight w:val="none"/>
          <w:lang w:eastAsia="zh-CN"/>
        </w:rPr>
        <w:t>供应商</w:t>
      </w:r>
      <w:r>
        <w:rPr>
          <w:rFonts w:hint="eastAsia" w:ascii="宋体" w:hAnsi="宋体" w:eastAsia="宋体" w:cs="宋体"/>
          <w:b/>
          <w:bCs/>
          <w:color w:val="auto"/>
          <w:sz w:val="24"/>
          <w:highlight w:val="none"/>
          <w:lang w:eastAsia="zh-CN"/>
        </w:rPr>
        <w:t>属于监狱企业的，如有，请提供）</w:t>
      </w:r>
      <w:r>
        <w:rPr>
          <w:rFonts w:hint="eastAsia" w:ascii="宋体" w:hAnsi="宋体" w:eastAsia="宋体" w:cs="宋体"/>
          <w:b/>
          <w:bCs/>
          <w:color w:val="auto"/>
          <w:sz w:val="24"/>
          <w:highlight w:val="none"/>
        </w:rPr>
        <w:t>；</w:t>
      </w:r>
    </w:p>
    <w:p>
      <w:pPr>
        <w:pageBreakBefore w:val="0"/>
        <w:kinsoku/>
        <w:wordWrap w:val="0"/>
        <w:topLinePunct w:val="0"/>
        <w:bidi w:val="0"/>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符合条件的残疾人福利性单位在参加政府采购活动时，应当提供《残疾人福利性单位声明函》（见附件），并对声明的真实性负责</w:t>
      </w:r>
      <w:r>
        <w:rPr>
          <w:rFonts w:hint="eastAsia" w:ascii="宋体" w:hAnsi="宋体" w:eastAsia="宋体" w:cs="宋体"/>
          <w:b/>
          <w:bCs/>
          <w:color w:val="auto"/>
          <w:sz w:val="24"/>
          <w:highlight w:val="none"/>
        </w:rPr>
        <w:t>（如</w:t>
      </w:r>
      <w:r>
        <w:rPr>
          <w:rFonts w:hint="eastAsia" w:ascii="宋体" w:hAnsi="宋体" w:cs="宋体"/>
          <w:b/>
          <w:bCs/>
          <w:color w:val="auto"/>
          <w:sz w:val="24"/>
          <w:highlight w:val="none"/>
          <w:lang w:eastAsia="zh-CN"/>
        </w:rPr>
        <w:t>供应商</w:t>
      </w:r>
      <w:r>
        <w:rPr>
          <w:rFonts w:hint="eastAsia" w:ascii="宋体" w:hAnsi="宋体" w:eastAsia="宋体" w:cs="宋体"/>
          <w:b/>
          <w:bCs/>
          <w:color w:val="auto"/>
          <w:sz w:val="24"/>
          <w:highlight w:val="none"/>
        </w:rPr>
        <w:t>属于残疾人福利性单位的，如有，请提供）</w:t>
      </w:r>
      <w:r>
        <w:rPr>
          <w:rFonts w:hint="eastAsia" w:ascii="宋体" w:hAnsi="宋体" w:eastAsia="宋体" w:cs="宋体"/>
          <w:color w:val="auto"/>
          <w:sz w:val="24"/>
          <w:highlight w:val="none"/>
          <w:lang w:eastAsia="zh-CN"/>
        </w:rPr>
        <w:t>；</w:t>
      </w:r>
    </w:p>
    <w:p>
      <w:pPr>
        <w:pageBreakBefore w:val="0"/>
        <w:kinsoku/>
        <w:wordWrap w:val="0"/>
        <w:topLinePunct w:val="0"/>
        <w:bidi w:val="0"/>
        <w:spacing w:line="5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相关获奖证书、认证证书等复印件（如有，请提供）；</w:t>
      </w:r>
    </w:p>
    <w:p>
      <w:pPr>
        <w:pageBreakBefore w:val="0"/>
        <w:kinsoku/>
        <w:wordWrap w:val="0"/>
        <w:topLinePunct w:val="0"/>
        <w:bidi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供应商可结合本项目的评审办法视自身情况自行提交其它相关证明材料。</w:t>
      </w:r>
    </w:p>
    <w:p>
      <w:pPr>
        <w:pageBreakBefore w:val="0"/>
        <w:kinsoku/>
        <w:wordWrap w:val="0"/>
        <w:topLinePunct w:val="0"/>
        <w:bidi w:val="0"/>
        <w:ind w:firstLine="602"/>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pPr>
        <w:pStyle w:val="19"/>
        <w:pageBreakBefore w:val="0"/>
        <w:kinsoku/>
        <w:wordWrap w:val="0"/>
        <w:topLinePunct w:val="0"/>
        <w:bidi w:val="0"/>
        <w:spacing w:line="340" w:lineRule="exact"/>
        <w:ind w:firstLine="602"/>
        <w:rPr>
          <w:rFonts w:ascii="宋体" w:hAnsi="宋体" w:cs="宋体"/>
          <w:b/>
          <w:bCs/>
          <w:color w:val="auto"/>
          <w:sz w:val="30"/>
          <w:szCs w:val="30"/>
          <w:highlight w:val="none"/>
        </w:rPr>
      </w:pPr>
      <w:r>
        <w:rPr>
          <w:rFonts w:hint="eastAsia" w:hAnsi="宋体" w:cs="宋体"/>
          <w:b/>
          <w:bCs/>
          <w:color w:val="auto"/>
          <w:sz w:val="30"/>
          <w:szCs w:val="30"/>
          <w:highlight w:val="none"/>
        </w:rPr>
        <w:t>1.“</w:t>
      </w:r>
      <w:r>
        <w:rPr>
          <w:rFonts w:hint="eastAsia" w:hAnsi="宋体" w:cs="宋体"/>
          <w:b/>
          <w:bCs/>
          <w:color w:val="auto"/>
          <w:sz w:val="30"/>
          <w:szCs w:val="30"/>
          <w:highlight w:val="none"/>
          <w:lang w:eastAsia="zh-CN"/>
        </w:rPr>
        <w:t>监理服务需求</w:t>
      </w:r>
      <w:r>
        <w:rPr>
          <w:rFonts w:hint="eastAsia" w:hAnsi="宋体" w:cs="宋体"/>
          <w:b/>
          <w:bCs/>
          <w:color w:val="auto"/>
          <w:sz w:val="30"/>
          <w:szCs w:val="30"/>
          <w:highlight w:val="none"/>
        </w:rPr>
        <w:t>”需提供的有效证明文件（如有，请提供）</w:t>
      </w:r>
    </w:p>
    <w:p>
      <w:pPr>
        <w:pStyle w:val="19"/>
        <w:pageBreakBefore w:val="0"/>
        <w:kinsoku/>
        <w:wordWrap w:val="0"/>
        <w:topLinePunct w:val="0"/>
        <w:bidi w:val="0"/>
        <w:spacing w:line="360" w:lineRule="exact"/>
        <w:ind w:firstLine="602"/>
        <w:rPr>
          <w:rFonts w:hAnsi="宋体" w:cs="宋体"/>
          <w:b/>
          <w:bCs/>
          <w:color w:val="auto"/>
          <w:sz w:val="30"/>
          <w:szCs w:val="30"/>
          <w:highlight w:val="none"/>
        </w:rPr>
      </w:pPr>
      <w:bookmarkStart w:id="58" w:name="_Toc3052"/>
      <w:bookmarkStart w:id="59" w:name="_Toc497927090"/>
      <w:bookmarkStart w:id="60" w:name="_Toc10161"/>
    </w:p>
    <w:p>
      <w:pPr>
        <w:rPr>
          <w:color w:val="auto"/>
          <w:highlight w:val="none"/>
        </w:rPr>
      </w:pPr>
    </w:p>
    <w:p>
      <w:pPr>
        <w:pStyle w:val="19"/>
        <w:pageBreakBefore w:val="0"/>
        <w:kinsoku/>
        <w:wordWrap w:val="0"/>
        <w:topLinePunct w:val="0"/>
        <w:bidi w:val="0"/>
        <w:spacing w:line="360" w:lineRule="exact"/>
        <w:ind w:firstLine="602"/>
        <w:rPr>
          <w:rFonts w:hAnsi="宋体" w:cs="宋体"/>
          <w:b/>
          <w:bCs/>
          <w:color w:val="auto"/>
          <w:sz w:val="30"/>
          <w:szCs w:val="30"/>
          <w:highlight w:val="none"/>
        </w:rPr>
      </w:pPr>
    </w:p>
    <w:p>
      <w:pPr>
        <w:pStyle w:val="19"/>
        <w:pageBreakBefore w:val="0"/>
        <w:kinsoku/>
        <w:wordWrap w:val="0"/>
        <w:topLinePunct w:val="0"/>
        <w:bidi w:val="0"/>
        <w:spacing w:line="360" w:lineRule="exact"/>
        <w:ind w:firstLine="602"/>
        <w:rPr>
          <w:rFonts w:hAnsi="宋体" w:cs="宋体"/>
          <w:b/>
          <w:bCs/>
          <w:color w:val="auto"/>
          <w:sz w:val="30"/>
          <w:szCs w:val="30"/>
          <w:highlight w:val="none"/>
        </w:rPr>
      </w:pPr>
      <w:r>
        <w:rPr>
          <w:rFonts w:hint="eastAsia" w:hAnsi="宋体" w:cs="宋体"/>
          <w:b/>
          <w:bCs/>
          <w:color w:val="auto"/>
          <w:sz w:val="30"/>
          <w:szCs w:val="30"/>
          <w:highlight w:val="none"/>
        </w:rPr>
        <w:t>2.</w:t>
      </w:r>
      <w:r>
        <w:rPr>
          <w:rFonts w:hint="eastAsia" w:hAnsi="宋体" w:cs="宋体"/>
          <w:b/>
          <w:bCs/>
          <w:color w:val="auto"/>
          <w:sz w:val="30"/>
          <w:szCs w:val="30"/>
          <w:highlight w:val="none"/>
          <w:lang w:eastAsia="zh-CN"/>
        </w:rPr>
        <w:t>供应商2021年1月1日以来具有同类项目的业绩相关证明材料（无不良记录，以中标、成交通知书或签订的合同为准，并能清晰反映项目的名称、采购内容、采购时间）</w:t>
      </w:r>
      <w:r>
        <w:rPr>
          <w:rFonts w:hint="eastAsia" w:hAnsi="宋体" w:cs="宋体"/>
          <w:b/>
          <w:bCs/>
          <w:color w:val="auto"/>
          <w:sz w:val="30"/>
          <w:szCs w:val="30"/>
          <w:highlight w:val="none"/>
        </w:rPr>
        <w:t>（如有，请提供）；</w:t>
      </w:r>
      <w:bookmarkEnd w:id="58"/>
      <w:bookmarkEnd w:id="59"/>
      <w:bookmarkEnd w:id="60"/>
    </w:p>
    <w:p>
      <w:pPr>
        <w:pStyle w:val="19"/>
        <w:pageBreakBefore w:val="0"/>
        <w:kinsoku/>
        <w:wordWrap w:val="0"/>
        <w:topLinePunct w:val="0"/>
        <w:bidi w:val="0"/>
        <w:spacing w:line="340" w:lineRule="exact"/>
        <w:ind w:firstLine="602"/>
        <w:rPr>
          <w:rFonts w:hAnsi="宋体" w:cs="宋体"/>
          <w:b/>
          <w:bCs/>
          <w:color w:val="auto"/>
          <w:sz w:val="30"/>
          <w:szCs w:val="30"/>
          <w:highlight w:val="none"/>
        </w:rPr>
      </w:pPr>
    </w:p>
    <w:p>
      <w:pPr>
        <w:pStyle w:val="41"/>
        <w:ind w:left="0" w:leftChars="0" w:firstLine="0" w:firstLineChars="0"/>
        <w:rPr>
          <w:color w:val="auto"/>
          <w:highlight w:val="none"/>
        </w:rPr>
      </w:pPr>
    </w:p>
    <w:p>
      <w:pPr>
        <w:pStyle w:val="19"/>
        <w:pageBreakBefore w:val="0"/>
        <w:kinsoku/>
        <w:wordWrap w:val="0"/>
        <w:topLinePunct w:val="0"/>
        <w:bidi w:val="0"/>
        <w:spacing w:line="340" w:lineRule="exact"/>
        <w:ind w:firstLine="643"/>
        <w:rPr>
          <w:rFonts w:hAnsi="宋体" w:cs="宋体"/>
          <w:b/>
          <w:bCs/>
          <w:color w:val="auto"/>
          <w:sz w:val="32"/>
          <w:szCs w:val="32"/>
          <w:highlight w:val="none"/>
        </w:rPr>
      </w:pPr>
    </w:p>
    <w:p>
      <w:pPr>
        <w:pageBreakBefore w:val="0"/>
        <w:kinsoku/>
        <w:wordWrap w:val="0"/>
        <w:topLinePunct w:val="0"/>
        <w:bidi w:val="0"/>
        <w:spacing w:line="400" w:lineRule="exact"/>
        <w:ind w:firstLine="602"/>
        <w:rPr>
          <w:rFonts w:ascii="宋体" w:hAnsi="宋体" w:cs="宋体"/>
          <w:b/>
          <w:color w:val="auto"/>
          <w:sz w:val="32"/>
          <w:szCs w:val="32"/>
          <w:highlight w:val="none"/>
        </w:rPr>
      </w:pPr>
      <w:r>
        <w:rPr>
          <w:rFonts w:hint="eastAsia" w:ascii="宋体" w:hAnsi="宋体"/>
          <w:b/>
          <w:bCs/>
          <w:color w:val="auto"/>
          <w:kern w:val="0"/>
          <w:sz w:val="30"/>
          <w:szCs w:val="30"/>
          <w:highlight w:val="none"/>
          <w:lang w:val="en-US" w:eastAsia="zh-CN"/>
        </w:rPr>
        <w:t>3</w:t>
      </w:r>
      <w:r>
        <w:rPr>
          <w:rFonts w:hint="eastAsia" w:ascii="宋体" w:hAnsi="宋体"/>
          <w:b/>
          <w:bCs/>
          <w:color w:val="auto"/>
          <w:kern w:val="0"/>
          <w:sz w:val="30"/>
          <w:szCs w:val="30"/>
          <w:highlight w:val="none"/>
        </w:rPr>
        <w:t>.供应商的《中小企业声明函》(供应商须承接本项目全部服务且为</w:t>
      </w:r>
      <w:r>
        <w:rPr>
          <w:rFonts w:hint="eastAsia" w:ascii="宋体" w:hAnsi="宋体" w:cs="宋体"/>
          <w:b/>
          <w:color w:val="auto"/>
          <w:sz w:val="32"/>
          <w:szCs w:val="32"/>
          <w:highlight w:val="none"/>
        </w:rPr>
        <w:t>符合政策要求的中小企业)（除监狱企业及残疾人福利性单位外，如有，请提供）；</w:t>
      </w:r>
    </w:p>
    <w:p>
      <w:pPr>
        <w:pStyle w:val="19"/>
        <w:pageBreakBefore w:val="0"/>
        <w:kinsoku/>
        <w:wordWrap w:val="0"/>
        <w:topLinePunct w:val="0"/>
        <w:bidi w:val="0"/>
        <w:spacing w:line="340" w:lineRule="exact"/>
        <w:ind w:firstLine="602"/>
        <w:rPr>
          <w:rFonts w:hAnsi="宋体"/>
          <w:b/>
          <w:bCs/>
          <w:color w:val="auto"/>
          <w:kern w:val="0"/>
          <w:sz w:val="30"/>
          <w:szCs w:val="30"/>
          <w:highlight w:val="none"/>
        </w:rPr>
      </w:pPr>
    </w:p>
    <w:p>
      <w:pPr>
        <w:pStyle w:val="19"/>
        <w:pageBreakBefore w:val="0"/>
        <w:kinsoku/>
        <w:wordWrap w:val="0"/>
        <w:topLinePunct w:val="0"/>
        <w:bidi w:val="0"/>
        <w:spacing w:line="340" w:lineRule="exact"/>
        <w:ind w:firstLine="602"/>
        <w:rPr>
          <w:rFonts w:hAnsi="宋体"/>
          <w:b/>
          <w:bCs/>
          <w:color w:val="auto"/>
          <w:kern w:val="0"/>
          <w:sz w:val="30"/>
          <w:szCs w:val="30"/>
          <w:highlight w:val="none"/>
        </w:rPr>
      </w:pPr>
      <w:r>
        <w:rPr>
          <w:rFonts w:hint="eastAsia" w:hAnsi="宋体"/>
          <w:b/>
          <w:bCs/>
          <w:color w:val="auto"/>
          <w:kern w:val="0"/>
          <w:sz w:val="30"/>
          <w:szCs w:val="30"/>
          <w:highlight w:val="none"/>
        </w:rPr>
        <w:t>附件：</w:t>
      </w:r>
    </w:p>
    <w:p>
      <w:pPr>
        <w:pageBreakBefore w:val="0"/>
        <w:kinsoku/>
        <w:wordWrap w:val="0"/>
        <w:topLinePunct w:val="0"/>
        <w:bidi w:val="0"/>
        <w:spacing w:before="146" w:line="500" w:lineRule="exact"/>
        <w:ind w:right="142" w:firstLine="602"/>
        <w:jc w:val="center"/>
        <w:outlineLvl w:val="0"/>
        <w:rPr>
          <w:rFonts w:ascii="宋体" w:hAnsi="宋体"/>
          <w:color w:val="auto"/>
          <w:kern w:val="0"/>
          <w:sz w:val="30"/>
          <w:szCs w:val="30"/>
          <w:highlight w:val="none"/>
        </w:rPr>
      </w:pPr>
      <w:bookmarkStart w:id="61" w:name="_Toc22968"/>
      <w:r>
        <w:rPr>
          <w:rFonts w:ascii="宋体" w:hAnsi="宋体"/>
          <w:b/>
          <w:bCs/>
          <w:color w:val="auto"/>
          <w:kern w:val="0"/>
          <w:sz w:val="30"/>
          <w:szCs w:val="30"/>
          <w:highlight w:val="none"/>
        </w:rPr>
        <w:t>中小企业声明函（</w:t>
      </w:r>
      <w:r>
        <w:rPr>
          <w:rFonts w:hint="eastAsia" w:ascii="宋体" w:hAnsi="宋体" w:cs="宋体"/>
          <w:b/>
          <w:bCs/>
          <w:color w:val="auto"/>
          <w:kern w:val="0"/>
          <w:sz w:val="30"/>
          <w:szCs w:val="30"/>
          <w:highlight w:val="none"/>
        </w:rPr>
        <w:t>格式</w:t>
      </w:r>
      <w:r>
        <w:rPr>
          <w:rFonts w:ascii="宋体" w:hAnsi="宋体"/>
          <w:b/>
          <w:bCs/>
          <w:color w:val="auto"/>
          <w:kern w:val="0"/>
          <w:sz w:val="30"/>
          <w:szCs w:val="30"/>
          <w:highlight w:val="none"/>
        </w:rPr>
        <w:t>）</w:t>
      </w:r>
      <w:bookmarkEnd w:id="61"/>
    </w:p>
    <w:p>
      <w:pPr>
        <w:pageBreakBefore w:val="0"/>
        <w:kinsoku/>
        <w:wordWrap w:val="0"/>
        <w:topLinePunct w:val="0"/>
        <w:bidi w:val="0"/>
        <w:spacing w:before="31" w:line="500" w:lineRule="exact"/>
        <w:ind w:left="120" w:right="142" w:firstLine="440"/>
        <w:jc w:val="left"/>
        <w:rPr>
          <w:rFonts w:ascii="宋体" w:hAnsi="宋体"/>
          <w:color w:val="auto"/>
          <w:spacing w:val="-10"/>
          <w:kern w:val="0"/>
          <w:sz w:val="24"/>
          <w:highlight w:val="none"/>
        </w:rPr>
      </w:pPr>
      <w:r>
        <w:rPr>
          <w:rFonts w:ascii="宋体" w:hAnsi="宋体"/>
          <w:color w:val="auto"/>
          <w:spacing w:val="-10"/>
          <w:kern w:val="0"/>
          <w:sz w:val="24"/>
          <w:highlight w:val="none"/>
        </w:rPr>
        <w:t>本公司郑重声明，根据《政府采购促进中小企业发展管理办法》（财库﹝2020﹞46号）的规定，本公司参加</w:t>
      </w:r>
      <w:r>
        <w:rPr>
          <w:rFonts w:ascii="宋体" w:hAnsi="宋体"/>
          <w:color w:val="auto"/>
          <w:spacing w:val="-10"/>
          <w:kern w:val="0"/>
          <w:sz w:val="24"/>
          <w:highlight w:val="none"/>
          <w:u w:val="single"/>
        </w:rPr>
        <w:t>（单位名称）</w:t>
      </w:r>
      <w:r>
        <w:rPr>
          <w:rFonts w:ascii="宋体" w:hAnsi="宋体"/>
          <w:color w:val="auto"/>
          <w:spacing w:val="-10"/>
          <w:kern w:val="0"/>
          <w:sz w:val="24"/>
          <w:highlight w:val="none"/>
        </w:rPr>
        <w:t>的</w:t>
      </w:r>
      <w:r>
        <w:rPr>
          <w:rFonts w:ascii="宋体" w:hAnsi="宋体"/>
          <w:color w:val="auto"/>
          <w:spacing w:val="-10"/>
          <w:kern w:val="0"/>
          <w:sz w:val="24"/>
          <w:highlight w:val="none"/>
          <w:u w:val="single"/>
        </w:rPr>
        <w:t>（项目名称）</w:t>
      </w:r>
      <w:r>
        <w:rPr>
          <w:rFonts w:ascii="宋体" w:hAnsi="宋体"/>
          <w:color w:val="auto"/>
          <w:spacing w:val="-10"/>
          <w:kern w:val="0"/>
          <w:sz w:val="24"/>
          <w:highlight w:val="none"/>
        </w:rPr>
        <w:t>采购活动，</w:t>
      </w:r>
      <w:r>
        <w:rPr>
          <w:rFonts w:hint="eastAsia" w:ascii="宋体" w:hAnsi="宋体"/>
          <w:color w:val="auto"/>
          <w:spacing w:val="-10"/>
          <w:kern w:val="0"/>
          <w:sz w:val="24"/>
          <w:highlight w:val="none"/>
        </w:rPr>
        <w:t>服务全部由符合政策要求的中小企业承接。相关企业（含联合体中的中小企业、签订分包意向协议的中小企业）的具体情况如下：</w:t>
      </w:r>
    </w:p>
    <w:p>
      <w:pPr>
        <w:pageBreakBefore w:val="0"/>
        <w:tabs>
          <w:tab w:val="left" w:pos="1384"/>
          <w:tab w:val="left" w:pos="4562"/>
          <w:tab w:val="left" w:pos="6803"/>
        </w:tabs>
        <w:kinsoku/>
        <w:wordWrap w:val="0"/>
        <w:topLinePunct w:val="0"/>
        <w:bidi w:val="0"/>
        <w:spacing w:before="13" w:line="500" w:lineRule="exact"/>
        <w:ind w:right="142" w:firstLine="440"/>
        <w:jc w:val="left"/>
        <w:rPr>
          <w:rFonts w:ascii="宋体" w:hAnsi="宋体"/>
          <w:color w:val="auto"/>
          <w:spacing w:val="-10"/>
          <w:kern w:val="0"/>
          <w:sz w:val="24"/>
          <w:highlight w:val="none"/>
        </w:rPr>
      </w:pPr>
      <w:r>
        <w:rPr>
          <w:rFonts w:ascii="宋体" w:hAnsi="宋体"/>
          <w:color w:val="auto"/>
          <w:spacing w:val="-10"/>
          <w:kern w:val="0"/>
          <w:sz w:val="24"/>
          <w:highlight w:val="none"/>
        </w:rPr>
        <w:t>1.</w:t>
      </w:r>
      <w:r>
        <w:rPr>
          <w:rFonts w:ascii="宋体" w:hAnsi="宋体"/>
          <w:color w:val="auto"/>
          <w:spacing w:val="-10"/>
          <w:kern w:val="0"/>
          <w:sz w:val="24"/>
          <w:highlight w:val="none"/>
          <w:u w:val="single"/>
        </w:rPr>
        <w:t>（标的名称）</w:t>
      </w:r>
      <w:r>
        <w:rPr>
          <w:rFonts w:ascii="宋体" w:hAnsi="宋体"/>
          <w:color w:val="auto"/>
          <w:spacing w:val="-10"/>
          <w:kern w:val="0"/>
          <w:sz w:val="24"/>
          <w:highlight w:val="none"/>
        </w:rPr>
        <w:t>，属于</w:t>
      </w:r>
      <w:r>
        <w:rPr>
          <w:rFonts w:ascii="宋体" w:hAnsi="宋体"/>
          <w:color w:val="auto"/>
          <w:spacing w:val="-10"/>
          <w:kern w:val="0"/>
          <w:sz w:val="24"/>
          <w:highlight w:val="none"/>
          <w:u w:val="single"/>
        </w:rPr>
        <w:t>（采购文件中明确的所属</w:t>
      </w:r>
      <w:r>
        <w:rPr>
          <w:rFonts w:hint="eastAsia" w:ascii="宋体" w:hAnsi="宋体"/>
          <w:color w:val="auto"/>
          <w:spacing w:val="-10"/>
          <w:kern w:val="0"/>
          <w:sz w:val="24"/>
          <w:highlight w:val="none"/>
          <w:u w:val="single"/>
        </w:rPr>
        <w:t>行</w:t>
      </w:r>
      <w:r>
        <w:rPr>
          <w:rFonts w:ascii="宋体" w:hAnsi="宋体"/>
          <w:color w:val="auto"/>
          <w:spacing w:val="-10"/>
          <w:kern w:val="0"/>
          <w:sz w:val="24"/>
          <w:highlight w:val="none"/>
          <w:u w:val="single"/>
        </w:rPr>
        <w:t>业）</w:t>
      </w:r>
      <w:r>
        <w:rPr>
          <w:rFonts w:ascii="宋体" w:hAnsi="宋体"/>
          <w:color w:val="auto"/>
          <w:spacing w:val="-10"/>
          <w:kern w:val="0"/>
          <w:sz w:val="24"/>
          <w:highlight w:val="none"/>
        </w:rPr>
        <w:t>；</w:t>
      </w:r>
      <w:r>
        <w:rPr>
          <w:rFonts w:hint="eastAsia" w:ascii="宋体" w:hAnsi="宋体"/>
          <w:color w:val="auto"/>
          <w:spacing w:val="-10"/>
          <w:kern w:val="0"/>
          <w:sz w:val="24"/>
          <w:highlight w:val="none"/>
        </w:rPr>
        <w:t>承接企业为</w:t>
      </w:r>
      <w:r>
        <w:rPr>
          <w:rFonts w:hint="eastAsia" w:ascii="宋体" w:hAnsi="宋体"/>
          <w:color w:val="auto"/>
          <w:spacing w:val="-10"/>
          <w:kern w:val="0"/>
          <w:sz w:val="24"/>
          <w:highlight w:val="none"/>
          <w:u w:val="single"/>
        </w:rPr>
        <w:t>（企业名称）</w:t>
      </w:r>
      <w:r>
        <w:rPr>
          <w:rFonts w:hint="eastAsia" w:ascii="宋体" w:hAnsi="宋体"/>
          <w:color w:val="auto"/>
          <w:spacing w:val="-10"/>
          <w:kern w:val="0"/>
          <w:sz w:val="24"/>
          <w:highlight w:val="none"/>
        </w:rPr>
        <w:t>，从业人员人，营业收入为万元，资产总额为万元</w:t>
      </w:r>
      <w:r>
        <w:rPr>
          <w:rFonts w:ascii="宋体" w:hAnsi="宋体"/>
          <w:color w:val="auto"/>
          <w:spacing w:val="-10"/>
          <w:kern w:val="0"/>
          <w:sz w:val="24"/>
          <w:highlight w:val="none"/>
        </w:rPr>
        <w:t>，属于</w:t>
      </w:r>
      <w:r>
        <w:rPr>
          <w:rFonts w:ascii="宋体" w:hAnsi="宋体"/>
          <w:color w:val="auto"/>
          <w:spacing w:val="-10"/>
          <w:kern w:val="0"/>
          <w:sz w:val="24"/>
          <w:highlight w:val="none"/>
          <w:u w:val="single"/>
        </w:rPr>
        <w:t>（中型企业、</w:t>
      </w:r>
      <w:r>
        <w:rPr>
          <w:rFonts w:hint="eastAsia" w:ascii="宋体" w:hAnsi="宋体"/>
          <w:color w:val="auto"/>
          <w:spacing w:val="-10"/>
          <w:kern w:val="0"/>
          <w:sz w:val="24"/>
          <w:highlight w:val="none"/>
          <w:u w:val="single"/>
        </w:rPr>
        <w:t>小型企业、微型企业）</w:t>
      </w:r>
      <w:r>
        <w:rPr>
          <w:rFonts w:hint="eastAsia" w:ascii="宋体" w:hAnsi="宋体"/>
          <w:color w:val="auto"/>
          <w:spacing w:val="-10"/>
          <w:kern w:val="0"/>
          <w:sz w:val="24"/>
          <w:highlight w:val="none"/>
        </w:rPr>
        <w:t>；</w:t>
      </w:r>
    </w:p>
    <w:p>
      <w:pPr>
        <w:pageBreakBefore w:val="0"/>
        <w:tabs>
          <w:tab w:val="left" w:pos="1065"/>
          <w:tab w:val="left" w:pos="4262"/>
          <w:tab w:val="left" w:pos="6477"/>
        </w:tabs>
        <w:kinsoku/>
        <w:wordWrap w:val="0"/>
        <w:topLinePunct w:val="0"/>
        <w:bidi w:val="0"/>
        <w:spacing w:before="20" w:line="500" w:lineRule="exact"/>
        <w:ind w:right="84" w:firstLine="440" w:firstLineChars="200"/>
        <w:jc w:val="left"/>
        <w:rPr>
          <w:rFonts w:ascii="宋体" w:hAnsi="宋体"/>
          <w:color w:val="auto"/>
          <w:spacing w:val="-10"/>
          <w:kern w:val="0"/>
          <w:sz w:val="24"/>
          <w:highlight w:val="none"/>
          <w:u w:val="single"/>
        </w:rPr>
      </w:pPr>
      <w:r>
        <w:rPr>
          <w:rFonts w:ascii="宋体" w:hAnsi="宋体"/>
          <w:color w:val="auto"/>
          <w:spacing w:val="-10"/>
          <w:kern w:val="0"/>
          <w:sz w:val="24"/>
          <w:highlight w:val="none"/>
        </w:rPr>
        <w:t>2.</w:t>
      </w:r>
      <w:r>
        <w:rPr>
          <w:rFonts w:ascii="宋体" w:hAnsi="宋体"/>
          <w:color w:val="auto"/>
          <w:spacing w:val="-10"/>
          <w:kern w:val="0"/>
          <w:sz w:val="24"/>
          <w:highlight w:val="none"/>
          <w:u w:val="single"/>
        </w:rPr>
        <w:t>（标的名称）</w:t>
      </w:r>
      <w:r>
        <w:rPr>
          <w:rFonts w:ascii="宋体" w:hAnsi="宋体"/>
          <w:color w:val="auto"/>
          <w:spacing w:val="-10"/>
          <w:kern w:val="0"/>
          <w:sz w:val="24"/>
          <w:highlight w:val="none"/>
        </w:rPr>
        <w:t>，属于</w:t>
      </w:r>
      <w:r>
        <w:rPr>
          <w:rFonts w:ascii="宋体" w:hAnsi="宋体"/>
          <w:color w:val="auto"/>
          <w:spacing w:val="-10"/>
          <w:kern w:val="0"/>
          <w:sz w:val="24"/>
          <w:highlight w:val="none"/>
          <w:u w:val="single"/>
        </w:rPr>
        <w:t>（采购文件中明确的所属</w:t>
      </w:r>
      <w:r>
        <w:rPr>
          <w:rFonts w:hint="eastAsia" w:ascii="宋体" w:hAnsi="宋体"/>
          <w:color w:val="auto"/>
          <w:spacing w:val="-10"/>
          <w:kern w:val="0"/>
          <w:sz w:val="24"/>
          <w:highlight w:val="none"/>
          <w:u w:val="single"/>
        </w:rPr>
        <w:t>行业</w:t>
      </w:r>
      <w:r>
        <w:rPr>
          <w:rFonts w:ascii="宋体" w:hAnsi="宋体"/>
          <w:color w:val="auto"/>
          <w:spacing w:val="-10"/>
          <w:kern w:val="0"/>
          <w:sz w:val="24"/>
          <w:highlight w:val="none"/>
          <w:u w:val="single"/>
        </w:rPr>
        <w:t>）</w:t>
      </w:r>
      <w:r>
        <w:rPr>
          <w:rFonts w:ascii="宋体" w:hAnsi="宋体"/>
          <w:color w:val="auto"/>
          <w:spacing w:val="-10"/>
          <w:kern w:val="0"/>
          <w:sz w:val="24"/>
          <w:highlight w:val="none"/>
        </w:rPr>
        <w:t>；</w:t>
      </w:r>
      <w:r>
        <w:rPr>
          <w:rFonts w:hint="eastAsia" w:ascii="宋体" w:hAnsi="宋体"/>
          <w:color w:val="auto"/>
          <w:spacing w:val="-10"/>
          <w:kern w:val="0"/>
          <w:sz w:val="24"/>
          <w:highlight w:val="none"/>
        </w:rPr>
        <w:t>承接企业为</w:t>
      </w:r>
      <w:r>
        <w:rPr>
          <w:rFonts w:hint="eastAsia" w:ascii="宋体" w:hAnsi="宋体"/>
          <w:color w:val="auto"/>
          <w:spacing w:val="-10"/>
          <w:kern w:val="0"/>
          <w:sz w:val="24"/>
          <w:highlight w:val="none"/>
          <w:u w:val="single"/>
        </w:rPr>
        <w:t>（企业名称）</w:t>
      </w:r>
      <w:r>
        <w:rPr>
          <w:rFonts w:hint="eastAsia" w:ascii="宋体" w:hAnsi="宋体"/>
          <w:color w:val="auto"/>
          <w:spacing w:val="-10"/>
          <w:kern w:val="0"/>
          <w:sz w:val="24"/>
          <w:highlight w:val="none"/>
        </w:rPr>
        <w:t>，从业人员人，营业收入为万元，资产总额为万元</w:t>
      </w:r>
      <w:r>
        <w:rPr>
          <w:rFonts w:ascii="宋体" w:hAnsi="宋体"/>
          <w:color w:val="auto"/>
          <w:spacing w:val="-10"/>
          <w:kern w:val="0"/>
          <w:sz w:val="24"/>
          <w:highlight w:val="none"/>
        </w:rPr>
        <w:t>，属于</w:t>
      </w:r>
      <w:r>
        <w:rPr>
          <w:rFonts w:ascii="宋体" w:hAnsi="宋体"/>
          <w:color w:val="auto"/>
          <w:spacing w:val="-10"/>
          <w:kern w:val="0"/>
          <w:sz w:val="24"/>
          <w:highlight w:val="none"/>
          <w:u w:val="single"/>
        </w:rPr>
        <w:t>（中型企业、</w:t>
      </w:r>
      <w:r>
        <w:rPr>
          <w:rFonts w:hint="eastAsia" w:ascii="宋体" w:hAnsi="宋体"/>
          <w:color w:val="auto"/>
          <w:spacing w:val="-10"/>
          <w:kern w:val="0"/>
          <w:sz w:val="24"/>
          <w:highlight w:val="none"/>
          <w:u w:val="single"/>
        </w:rPr>
        <w:t>小型企业、微型企业）</w:t>
      </w:r>
      <w:r>
        <w:rPr>
          <w:rFonts w:hint="eastAsia" w:ascii="宋体" w:hAnsi="宋体"/>
          <w:color w:val="auto"/>
          <w:spacing w:val="-10"/>
          <w:kern w:val="0"/>
          <w:sz w:val="24"/>
          <w:highlight w:val="none"/>
        </w:rPr>
        <w:t>；</w:t>
      </w:r>
    </w:p>
    <w:p>
      <w:pPr>
        <w:pageBreakBefore w:val="0"/>
        <w:kinsoku/>
        <w:wordWrap w:val="0"/>
        <w:topLinePunct w:val="0"/>
        <w:bidi w:val="0"/>
        <w:spacing w:before="34" w:line="500" w:lineRule="exact"/>
        <w:ind w:left="765" w:right="142" w:firstLine="440"/>
        <w:jc w:val="left"/>
        <w:rPr>
          <w:rFonts w:ascii="宋体" w:hAnsi="宋体"/>
          <w:color w:val="auto"/>
          <w:spacing w:val="-10"/>
          <w:kern w:val="0"/>
          <w:sz w:val="24"/>
          <w:highlight w:val="none"/>
        </w:rPr>
      </w:pPr>
      <w:r>
        <w:rPr>
          <w:rFonts w:ascii="宋体" w:hAnsi="宋体"/>
          <w:color w:val="auto"/>
          <w:spacing w:val="-10"/>
          <w:kern w:val="0"/>
          <w:sz w:val="24"/>
          <w:highlight w:val="none"/>
        </w:rPr>
        <w:t xml:space="preserve">…… </w:t>
      </w:r>
    </w:p>
    <w:p>
      <w:pPr>
        <w:pageBreakBefore w:val="0"/>
        <w:kinsoku/>
        <w:wordWrap w:val="0"/>
        <w:topLinePunct w:val="0"/>
        <w:bidi w:val="0"/>
        <w:spacing w:before="34" w:line="500" w:lineRule="exact"/>
        <w:ind w:right="142" w:firstLine="440" w:firstLineChars="200"/>
        <w:jc w:val="left"/>
        <w:rPr>
          <w:rFonts w:ascii="宋体" w:hAnsi="宋体"/>
          <w:color w:val="auto"/>
          <w:spacing w:val="-10"/>
          <w:kern w:val="0"/>
          <w:sz w:val="24"/>
          <w:highlight w:val="none"/>
        </w:rPr>
      </w:pPr>
      <w:r>
        <w:rPr>
          <w:rFonts w:ascii="宋体" w:hAnsi="宋体"/>
          <w:color w:val="auto"/>
          <w:spacing w:val="-10"/>
          <w:kern w:val="0"/>
          <w:sz w:val="24"/>
          <w:highlight w:val="none"/>
        </w:rPr>
        <w:t>以上企业，不属于大企业的分支机构，不存在控股股东为大企业的情形，也不存在与大企业的负责人为同一人的情形。</w:t>
      </w:r>
    </w:p>
    <w:p>
      <w:pPr>
        <w:pageBreakBefore w:val="0"/>
        <w:kinsoku/>
        <w:wordWrap w:val="0"/>
        <w:topLinePunct w:val="0"/>
        <w:bidi w:val="0"/>
        <w:spacing w:before="25" w:line="500" w:lineRule="exact"/>
        <w:ind w:right="142" w:firstLine="440"/>
        <w:jc w:val="left"/>
        <w:rPr>
          <w:rFonts w:ascii="宋体" w:hAnsi="宋体"/>
          <w:color w:val="auto"/>
          <w:spacing w:val="-10"/>
          <w:kern w:val="0"/>
          <w:sz w:val="24"/>
          <w:highlight w:val="none"/>
        </w:rPr>
      </w:pPr>
      <w:r>
        <w:rPr>
          <w:rFonts w:ascii="宋体" w:hAnsi="宋体"/>
          <w:color w:val="auto"/>
          <w:spacing w:val="-10"/>
          <w:kern w:val="0"/>
          <w:sz w:val="24"/>
          <w:highlight w:val="none"/>
        </w:rPr>
        <w:t>本企业对上述声明内容的真实性负责。如有虚假，将依法承担相应责任。</w:t>
      </w:r>
    </w:p>
    <w:p>
      <w:pPr>
        <w:pageBreakBefore w:val="0"/>
        <w:kinsoku/>
        <w:wordWrap w:val="0"/>
        <w:topLinePunct w:val="0"/>
        <w:bidi w:val="0"/>
        <w:spacing w:before="56" w:line="500" w:lineRule="exact"/>
        <w:ind w:left="3960" w:right="1808" w:firstLine="440"/>
        <w:jc w:val="left"/>
        <w:rPr>
          <w:rFonts w:ascii="宋体" w:hAnsi="宋体"/>
          <w:color w:val="auto"/>
          <w:spacing w:val="-10"/>
          <w:kern w:val="0"/>
          <w:sz w:val="24"/>
          <w:highlight w:val="none"/>
        </w:rPr>
      </w:pPr>
    </w:p>
    <w:p>
      <w:pPr>
        <w:pageBreakBefore w:val="0"/>
        <w:kinsoku/>
        <w:wordWrap w:val="0"/>
        <w:topLinePunct w:val="0"/>
        <w:bidi w:val="0"/>
        <w:spacing w:line="400" w:lineRule="exact"/>
        <w:ind w:firstLine="3600" w:firstLineChars="1500"/>
        <w:rPr>
          <w:rFonts w:ascii="宋体" w:hAnsi="宋体"/>
          <w:color w:val="auto"/>
          <w:sz w:val="24"/>
          <w:szCs w:val="22"/>
          <w:highlight w:val="none"/>
        </w:rPr>
      </w:pPr>
      <w:r>
        <w:rPr>
          <w:rFonts w:hint="eastAsia" w:ascii="宋体" w:hAnsi="宋体"/>
          <w:color w:val="auto"/>
          <w:sz w:val="24"/>
          <w:szCs w:val="22"/>
          <w:highlight w:val="none"/>
        </w:rPr>
        <w:t xml:space="preserve">单位名称（CA证书签章）：          </w:t>
      </w:r>
    </w:p>
    <w:p>
      <w:pPr>
        <w:pageBreakBefore w:val="0"/>
        <w:kinsoku/>
        <w:wordWrap w:val="0"/>
        <w:topLinePunct w:val="0"/>
        <w:bidi w:val="0"/>
        <w:spacing w:line="500" w:lineRule="exact"/>
        <w:ind w:firstLine="480"/>
        <w:jc w:val="left"/>
        <w:rPr>
          <w:rFonts w:ascii="等线" w:hAnsi="等线" w:eastAsia="等线"/>
          <w:color w:val="auto"/>
          <w:kern w:val="0"/>
          <w:sz w:val="22"/>
          <w:szCs w:val="22"/>
          <w:highlight w:val="none"/>
        </w:rPr>
      </w:pPr>
      <w:r>
        <w:rPr>
          <w:rFonts w:hint="eastAsia" w:ascii="宋体" w:hAnsi="宋体"/>
          <w:color w:val="auto"/>
          <w:sz w:val="24"/>
          <w:szCs w:val="22"/>
          <w:highlight w:val="none"/>
        </w:rPr>
        <w:t xml:space="preserve">                              日期：  </w:t>
      </w:r>
    </w:p>
    <w:p>
      <w:pPr>
        <w:pageBreakBefore w:val="0"/>
        <w:kinsoku/>
        <w:wordWrap w:val="0"/>
        <w:topLinePunct w:val="0"/>
        <w:bidi w:val="0"/>
        <w:spacing w:line="400" w:lineRule="exact"/>
        <w:ind w:firstLine="643"/>
        <w:jc w:val="center"/>
        <w:rPr>
          <w:b/>
          <w:color w:val="auto"/>
          <w:sz w:val="32"/>
          <w:szCs w:val="32"/>
          <w:highlight w:val="none"/>
        </w:rPr>
      </w:pPr>
    </w:p>
    <w:p>
      <w:pPr>
        <w:pageBreakBefore w:val="0"/>
        <w:kinsoku/>
        <w:wordWrap w:val="0"/>
        <w:topLinePunct w:val="0"/>
        <w:bidi w:val="0"/>
        <w:spacing w:line="400" w:lineRule="exact"/>
        <w:ind w:firstLine="422"/>
        <w:rPr>
          <w:rFonts w:ascii="宋体" w:hAnsi="宋体" w:cs="宋体"/>
          <w:b/>
          <w:color w:val="auto"/>
          <w:kern w:val="0"/>
          <w:szCs w:val="21"/>
          <w:highlight w:val="none"/>
        </w:rPr>
      </w:pPr>
      <w:r>
        <w:rPr>
          <w:rFonts w:hint="eastAsia" w:ascii="宋体" w:hAnsi="宋体" w:cs="宋体"/>
          <w:b/>
          <w:color w:val="auto"/>
          <w:kern w:val="0"/>
          <w:szCs w:val="21"/>
          <w:highlight w:val="none"/>
        </w:rPr>
        <w:t>注：1.从业人员、营业收入、资产总额填报上一年度数据，无上一年度数据的新成立企业可不填报。</w:t>
      </w:r>
    </w:p>
    <w:p>
      <w:pPr>
        <w:pageBreakBefore w:val="0"/>
        <w:numPr>
          <w:ilvl w:val="0"/>
          <w:numId w:val="4"/>
        </w:numPr>
        <w:kinsoku/>
        <w:wordWrap w:val="0"/>
        <w:topLinePunct w:val="0"/>
        <w:bidi w:val="0"/>
        <w:spacing w:line="400" w:lineRule="exact"/>
        <w:ind w:left="525" w:leftChars="0" w:firstLine="0" w:firstLineChars="0"/>
        <w:rPr>
          <w:rFonts w:hint="eastAsia" w:ascii="宋体" w:hAnsi="宋体" w:cs="宋体"/>
          <w:b/>
          <w:color w:val="auto"/>
          <w:kern w:val="0"/>
          <w:szCs w:val="21"/>
          <w:highlight w:val="none"/>
        </w:rPr>
      </w:pPr>
      <w:r>
        <w:rPr>
          <w:rFonts w:hint="eastAsia" w:ascii="宋体" w:hAnsi="宋体" w:cs="宋体"/>
          <w:b/>
          <w:color w:val="auto"/>
          <w:kern w:val="0"/>
          <w:szCs w:val="21"/>
          <w:highlight w:val="none"/>
        </w:rPr>
        <w:t>中小企业在政府采购活动过程中，请根据自己的真实情况出具本声明函。依法享受中小企业优惠政策的，采购人或采购代理机构在公告成交结果时，同时公告其《中小企业声明函》，接受社会监督。</w:t>
      </w:r>
    </w:p>
    <w:p>
      <w:pPr>
        <w:pStyle w:val="41"/>
        <w:ind w:left="0" w:leftChars="0" w:firstLine="0" w:firstLineChars="0"/>
        <w:rPr>
          <w:rFonts w:hint="eastAsia" w:ascii="宋体" w:hAnsi="宋体" w:cs="宋体"/>
          <w:b/>
          <w:color w:val="auto"/>
          <w:sz w:val="32"/>
          <w:szCs w:val="32"/>
          <w:highlight w:val="none"/>
          <w:lang w:val="en-US" w:eastAsia="zh-CN"/>
        </w:rPr>
      </w:pPr>
    </w:p>
    <w:p>
      <w:pPr>
        <w:rPr>
          <w:rFonts w:hint="eastAsia"/>
          <w:color w:val="auto"/>
          <w:highlight w:val="none"/>
          <w:lang w:val="en-US" w:eastAsia="zh-CN"/>
        </w:rPr>
      </w:pPr>
    </w:p>
    <w:p>
      <w:pPr>
        <w:pageBreakBefore w:val="0"/>
        <w:numPr>
          <w:ilvl w:val="0"/>
          <w:numId w:val="0"/>
        </w:numPr>
        <w:kinsoku/>
        <w:wordWrap w:val="0"/>
        <w:topLinePunct w:val="0"/>
        <w:bidi w:val="0"/>
        <w:spacing w:line="400" w:lineRule="exact"/>
        <w:ind w:left="525" w:leftChars="0"/>
        <w:rPr>
          <w:rFonts w:hint="eastAsia" w:ascii="宋体" w:hAnsi="宋体" w:cs="宋体"/>
          <w:b/>
          <w:color w:val="auto"/>
          <w:sz w:val="32"/>
          <w:szCs w:val="32"/>
          <w:highlight w:val="none"/>
          <w:lang w:val="en-US" w:eastAsia="zh-CN"/>
        </w:rPr>
      </w:pPr>
    </w:p>
    <w:p>
      <w:pPr>
        <w:pageBreakBefore w:val="0"/>
        <w:numPr>
          <w:ilvl w:val="0"/>
          <w:numId w:val="0"/>
        </w:numPr>
        <w:kinsoku/>
        <w:wordWrap w:val="0"/>
        <w:topLinePunct w:val="0"/>
        <w:bidi w:val="0"/>
        <w:spacing w:line="400" w:lineRule="exact"/>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4.</w:t>
      </w:r>
      <w:r>
        <w:rPr>
          <w:rFonts w:hint="eastAsia" w:ascii="宋体" w:hAnsi="宋体" w:cs="宋体"/>
          <w:b/>
          <w:color w:val="auto"/>
          <w:sz w:val="32"/>
          <w:szCs w:val="32"/>
          <w:highlight w:val="none"/>
        </w:rPr>
        <w:t>如提供服务的</w:t>
      </w:r>
      <w:r>
        <w:rPr>
          <w:rFonts w:hint="eastAsia" w:ascii="宋体" w:hAnsi="宋体" w:cs="宋体"/>
          <w:b/>
          <w:color w:val="auto"/>
          <w:sz w:val="32"/>
          <w:szCs w:val="32"/>
          <w:highlight w:val="none"/>
          <w:lang w:eastAsia="zh-CN"/>
        </w:rPr>
        <w:t>供应商</w:t>
      </w:r>
      <w:r>
        <w:rPr>
          <w:rFonts w:hint="eastAsia" w:ascii="宋体" w:hAnsi="宋体" w:cs="宋体"/>
          <w:b/>
          <w:color w:val="auto"/>
          <w:sz w:val="32"/>
          <w:szCs w:val="32"/>
          <w:highlight w:val="none"/>
        </w:rPr>
        <w:t>属于监狱企业的，应当提供由省级以上监狱管理局、戒毒管理局等（含新疆生产建设兵团）出具的属于监狱企业的证明文件</w:t>
      </w:r>
      <w:r>
        <w:rPr>
          <w:rFonts w:hint="eastAsia" w:ascii="宋体" w:hAnsi="宋体" w:cs="宋体"/>
          <w:b/>
          <w:color w:val="auto"/>
          <w:sz w:val="32"/>
          <w:szCs w:val="32"/>
          <w:highlight w:val="none"/>
          <w:lang w:eastAsia="zh-CN"/>
        </w:rPr>
        <w:t>（如供应商属于监狱企业的，如有，请提供）</w:t>
      </w:r>
      <w:r>
        <w:rPr>
          <w:rFonts w:hint="eastAsia" w:ascii="宋体" w:hAnsi="宋体" w:cs="宋体"/>
          <w:b/>
          <w:color w:val="auto"/>
          <w:sz w:val="32"/>
          <w:szCs w:val="32"/>
          <w:highlight w:val="none"/>
        </w:rPr>
        <w:t>；</w:t>
      </w:r>
    </w:p>
    <w:p>
      <w:pPr>
        <w:pStyle w:val="42"/>
        <w:pageBreakBefore w:val="0"/>
        <w:kinsoku/>
        <w:wordWrap w:val="0"/>
        <w:topLinePunct w:val="0"/>
        <w:bidi w:val="0"/>
        <w:ind w:firstLine="640"/>
        <w:rPr>
          <w:rFonts w:ascii="宋体" w:hAnsi="宋体" w:cs="宋体"/>
          <w:color w:val="auto"/>
          <w:highlight w:val="none"/>
        </w:rPr>
      </w:pPr>
    </w:p>
    <w:p>
      <w:pPr>
        <w:pageBreakBefore w:val="0"/>
        <w:kinsoku/>
        <w:wordWrap w:val="0"/>
        <w:topLinePunct w:val="0"/>
        <w:bidi w:val="0"/>
        <w:spacing w:line="400" w:lineRule="exact"/>
        <w:ind w:firstLine="643"/>
        <w:jc w:val="left"/>
        <w:rPr>
          <w:rFonts w:ascii="宋体" w:hAnsi="宋体" w:cs="宋体"/>
          <w:b/>
          <w:color w:val="auto"/>
          <w:sz w:val="32"/>
          <w:szCs w:val="32"/>
          <w:highlight w:val="none"/>
        </w:rPr>
      </w:pPr>
    </w:p>
    <w:p>
      <w:pPr>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符合条件的残疾人福利性单位在参加政府采购活动时，应当提供《残疾人福利性单位声明函》（见附件），并对声明的真实性负责（如</w:t>
      </w:r>
      <w:r>
        <w:rPr>
          <w:rFonts w:hint="eastAsia" w:ascii="宋体" w:hAnsi="宋体" w:cs="宋体"/>
          <w:b/>
          <w:color w:val="auto"/>
          <w:sz w:val="32"/>
          <w:szCs w:val="32"/>
          <w:highlight w:val="none"/>
          <w:lang w:eastAsia="zh-CN"/>
        </w:rPr>
        <w:t>供应商</w:t>
      </w:r>
      <w:r>
        <w:rPr>
          <w:rFonts w:hint="eastAsia" w:ascii="宋体" w:hAnsi="宋体" w:cs="宋体"/>
          <w:b/>
          <w:color w:val="auto"/>
          <w:sz w:val="32"/>
          <w:szCs w:val="32"/>
          <w:highlight w:val="none"/>
        </w:rPr>
        <w:t>属于残疾人福利性单位的，如有，请提供）。</w:t>
      </w:r>
    </w:p>
    <w:p>
      <w:pPr>
        <w:pageBreakBefore w:val="0"/>
        <w:kinsoku/>
        <w:wordWrap w:val="0"/>
        <w:topLinePunct w:val="0"/>
        <w:bidi w:val="0"/>
        <w:spacing w:line="588" w:lineRule="exact"/>
        <w:ind w:firstLine="562"/>
        <w:jc w:val="center"/>
        <w:rPr>
          <w:rFonts w:ascii="宋体" w:hAnsi="Courier New"/>
          <w:b/>
          <w:color w:val="auto"/>
          <w:sz w:val="28"/>
          <w:szCs w:val="28"/>
          <w:highlight w:val="none"/>
        </w:rPr>
      </w:pPr>
    </w:p>
    <w:p>
      <w:pPr>
        <w:pageBreakBefore w:val="0"/>
        <w:kinsoku/>
        <w:wordWrap w:val="0"/>
        <w:topLinePunct w:val="0"/>
        <w:bidi w:val="0"/>
        <w:spacing w:line="588" w:lineRule="exact"/>
        <w:ind w:firstLine="562"/>
        <w:jc w:val="center"/>
        <w:rPr>
          <w:rFonts w:ascii="宋体" w:hAnsi="Courier New"/>
          <w:b/>
          <w:color w:val="auto"/>
          <w:sz w:val="28"/>
          <w:szCs w:val="28"/>
          <w:highlight w:val="none"/>
        </w:rPr>
      </w:pPr>
      <w:r>
        <w:rPr>
          <w:rFonts w:hint="eastAsia" w:ascii="宋体" w:hAnsi="Courier New"/>
          <w:b/>
          <w:color w:val="auto"/>
          <w:sz w:val="28"/>
          <w:szCs w:val="28"/>
          <w:highlight w:val="none"/>
        </w:rPr>
        <w:t>残疾人福利性单位声明函</w:t>
      </w:r>
    </w:p>
    <w:p>
      <w:pPr>
        <w:pageBreakBefore w:val="0"/>
        <w:kinsoku/>
        <w:wordWrap w:val="0"/>
        <w:topLinePunct w:val="0"/>
        <w:bidi w:val="0"/>
        <w:spacing w:line="588" w:lineRule="exact"/>
        <w:ind w:firstLine="504" w:firstLineChars="200"/>
        <w:rPr>
          <w:rFonts w:ascii="宋体" w:cs="宋体"/>
          <w:color w:val="auto"/>
          <w:spacing w:val="6"/>
          <w:sz w:val="24"/>
          <w:highlight w:val="none"/>
        </w:rPr>
      </w:pPr>
      <w:r>
        <w:rPr>
          <w:rFonts w:hint="eastAsia" w:ascii="宋体" w:hAnsi="宋体" w:cs="宋体"/>
          <w:color w:val="auto"/>
          <w:spacing w:val="6"/>
          <w:sz w:val="24"/>
          <w:highlight w:val="none"/>
        </w:rPr>
        <w:t>本单位郑重声明，根据《财政部民政部中国残疾人联合会关于促进残疾人就业政府采购政策的通知》（财库</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141</w:t>
      </w:r>
      <w:r>
        <w:rPr>
          <w:rFonts w:hint="eastAsia" w:ascii="宋体" w:hAnsi="宋体" w:cs="宋体"/>
          <w:color w:val="auto"/>
          <w:spacing w:val="6"/>
          <w:sz w:val="24"/>
          <w:highlight w:val="none"/>
        </w:rPr>
        <w:t>号）的规定，本单位为符合条件的残疾人福利性单位，且本单位参加</w:t>
      </w:r>
      <w:r>
        <w:rPr>
          <w:rFonts w:ascii="宋体" w:hAnsi="宋体" w:cs="宋体"/>
          <w:color w:val="auto"/>
          <w:spacing w:val="6"/>
          <w:sz w:val="24"/>
          <w:highlight w:val="none"/>
        </w:rPr>
        <w:t>______</w:t>
      </w:r>
      <w:r>
        <w:rPr>
          <w:rFonts w:hint="eastAsia" w:ascii="宋体" w:hAnsi="宋体" w:cs="宋体"/>
          <w:color w:val="auto"/>
          <w:spacing w:val="6"/>
          <w:sz w:val="24"/>
          <w:highlight w:val="none"/>
        </w:rPr>
        <w:t>单位的</w:t>
      </w:r>
      <w:r>
        <w:rPr>
          <w:rFonts w:ascii="宋体" w:hAnsi="宋体" w:cs="宋体"/>
          <w:color w:val="auto"/>
          <w:spacing w:val="6"/>
          <w:sz w:val="24"/>
          <w:highlight w:val="none"/>
        </w:rPr>
        <w:t>______</w:t>
      </w:r>
      <w:r>
        <w:rPr>
          <w:rFonts w:hint="eastAsia" w:ascii="宋体" w:hAnsi="宋体" w:cs="宋体"/>
          <w:color w:val="auto"/>
          <w:spacing w:val="6"/>
          <w:sz w:val="24"/>
          <w:highlight w:val="none"/>
        </w:rPr>
        <w:t>项目采购活动提供本单位制造的货物（由本单位承担工程</w:t>
      </w:r>
      <w:r>
        <w:rPr>
          <w:rFonts w:ascii="宋体" w:hAnsi="宋体" w:cs="宋体"/>
          <w:color w:val="auto"/>
          <w:spacing w:val="6"/>
          <w:sz w:val="24"/>
          <w:highlight w:val="none"/>
        </w:rPr>
        <w:t>/</w:t>
      </w:r>
      <w:r>
        <w:rPr>
          <w:rFonts w:hint="eastAsia" w:ascii="宋体" w:hAnsi="宋体" w:cs="宋体"/>
          <w:color w:val="auto"/>
          <w:spacing w:val="6"/>
          <w:sz w:val="24"/>
          <w:highlight w:val="none"/>
        </w:rPr>
        <w:t>提供服务），或者提供其他残疾人福利性单位制造的货物（不包括使用非残疾人福利性单位注册商标的货物）。</w:t>
      </w:r>
    </w:p>
    <w:p>
      <w:pPr>
        <w:pageBreakBefore w:val="0"/>
        <w:kinsoku/>
        <w:wordWrap w:val="0"/>
        <w:topLinePunct w:val="0"/>
        <w:bidi w:val="0"/>
        <w:spacing w:line="588" w:lineRule="exact"/>
        <w:ind w:firstLine="504" w:firstLineChars="200"/>
        <w:rPr>
          <w:rFonts w:asci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pPr>
        <w:pageBreakBefore w:val="0"/>
        <w:kinsoku/>
        <w:wordWrap w:val="0"/>
        <w:topLinePunct w:val="0"/>
        <w:bidi w:val="0"/>
        <w:rPr>
          <w:rFonts w:ascii="宋体" w:cs="宋体"/>
          <w:color w:val="auto"/>
          <w:highlight w:val="none"/>
        </w:rPr>
      </w:pPr>
    </w:p>
    <w:p>
      <w:pPr>
        <w:pageBreakBefore w:val="0"/>
        <w:kinsoku/>
        <w:wordWrap w:val="0"/>
        <w:topLinePunct w:val="0"/>
        <w:bidi w:val="0"/>
        <w:spacing w:line="400" w:lineRule="exact"/>
        <w:ind w:firstLine="480"/>
        <w:jc w:val="center"/>
        <w:rPr>
          <w:rFonts w:ascii="宋体" w:hAnsi="宋体"/>
          <w:color w:val="auto"/>
          <w:sz w:val="24"/>
          <w:szCs w:val="22"/>
          <w:highlight w:val="none"/>
        </w:rPr>
      </w:pPr>
      <w:r>
        <w:rPr>
          <w:rFonts w:hint="eastAsia" w:ascii="宋体" w:hAnsi="宋体"/>
          <w:color w:val="auto"/>
          <w:sz w:val="24"/>
          <w:szCs w:val="22"/>
          <w:highlight w:val="none"/>
        </w:rPr>
        <w:t xml:space="preserve">单位名称（CA证书签章）：          </w:t>
      </w:r>
    </w:p>
    <w:p>
      <w:pPr>
        <w:pageBreakBefore w:val="0"/>
        <w:tabs>
          <w:tab w:val="left" w:pos="4860"/>
        </w:tabs>
        <w:kinsoku/>
        <w:wordWrap w:val="0"/>
        <w:topLinePunct w:val="0"/>
        <w:bidi w:val="0"/>
        <w:spacing w:line="588" w:lineRule="exact"/>
        <w:ind w:right="1560" w:firstLine="480" w:firstLineChars="200"/>
        <w:jc w:val="center"/>
        <w:rPr>
          <w:rFonts w:ascii="宋体" w:hAnsi="宋体"/>
          <w:b/>
          <w:bCs/>
          <w:color w:val="auto"/>
          <w:kern w:val="0"/>
          <w:sz w:val="30"/>
          <w:szCs w:val="30"/>
          <w:highlight w:val="none"/>
        </w:rPr>
      </w:pPr>
      <w:r>
        <w:rPr>
          <w:rFonts w:hint="eastAsia" w:ascii="宋体" w:hAnsi="宋体"/>
          <w:color w:val="auto"/>
          <w:sz w:val="24"/>
          <w:szCs w:val="22"/>
          <w:highlight w:val="none"/>
        </w:rPr>
        <w:t xml:space="preserve">         日期：  </w:t>
      </w:r>
    </w:p>
    <w:p>
      <w:pPr>
        <w:rPr>
          <w:rFonts w:hint="eastAsia" w:hAnsi="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6.供应商相关获奖证书、认证证书等复印件（如有，请提供）；</w:t>
      </w:r>
    </w:p>
    <w:p>
      <w:pPr>
        <w:pageBreakBefore w:val="0"/>
        <w:widowControl w:val="0"/>
        <w:numPr>
          <w:ilvl w:val="0"/>
          <w:numId w:val="0"/>
        </w:numPr>
        <w:kinsoku/>
        <w:wordWrap w:val="0"/>
        <w:topLinePunct w:val="0"/>
        <w:bidi w:val="0"/>
        <w:spacing w:line="520" w:lineRule="exact"/>
        <w:jc w:val="both"/>
        <w:rPr>
          <w:rFonts w:hint="eastAsia" w:ascii="宋体" w:hAnsi="宋体" w:eastAsia="宋体" w:cs="宋体"/>
          <w:color w:val="auto"/>
          <w:sz w:val="24"/>
          <w:highlight w:val="none"/>
          <w:lang w:val="en-US" w:eastAsia="zh-CN"/>
        </w:rPr>
      </w:pPr>
    </w:p>
    <w:p>
      <w:pPr>
        <w:pageBreakBefore w:val="0"/>
        <w:widowControl w:val="0"/>
        <w:numPr>
          <w:ilvl w:val="0"/>
          <w:numId w:val="0"/>
        </w:numPr>
        <w:kinsoku/>
        <w:wordWrap w:val="0"/>
        <w:topLinePunct w:val="0"/>
        <w:bidi w:val="0"/>
        <w:spacing w:line="520" w:lineRule="exact"/>
        <w:jc w:val="both"/>
        <w:rPr>
          <w:rFonts w:hint="default" w:ascii="宋体" w:hAnsi="宋体" w:eastAsia="宋体" w:cs="宋体"/>
          <w:color w:val="auto"/>
          <w:sz w:val="24"/>
          <w:highlight w:val="none"/>
          <w:lang w:val="en-US" w:eastAsia="zh-CN"/>
        </w:rPr>
      </w:pPr>
    </w:p>
    <w:p>
      <w:pPr>
        <w:pageBreakBefore w:val="0"/>
        <w:widowControl w:val="0"/>
        <w:numPr>
          <w:ilvl w:val="0"/>
          <w:numId w:val="0"/>
        </w:numPr>
        <w:kinsoku/>
        <w:wordWrap w:val="0"/>
        <w:topLinePunct w:val="0"/>
        <w:bidi w:val="0"/>
        <w:spacing w:line="520" w:lineRule="exact"/>
        <w:jc w:val="both"/>
        <w:rPr>
          <w:rFonts w:hint="eastAsia" w:ascii="宋体" w:hAnsi="宋体" w:eastAsia="宋体" w:cs="宋体"/>
          <w:color w:val="auto"/>
          <w:sz w:val="24"/>
          <w:highlight w:val="none"/>
          <w:lang w:val="en-US" w:eastAsia="zh-CN"/>
        </w:rPr>
      </w:pPr>
    </w:p>
    <w:p>
      <w:pPr>
        <w:rPr>
          <w:rFonts w:ascii="宋体" w:hAnsi="宋体" w:cs="宋体"/>
          <w:color w:val="auto"/>
          <w:kern w:val="0"/>
          <w:sz w:val="30"/>
          <w:szCs w:val="30"/>
          <w:highlight w:val="none"/>
        </w:rPr>
      </w:pPr>
      <w:r>
        <w:rPr>
          <w:rFonts w:hint="eastAsia" w:ascii="宋体" w:hAnsi="宋体" w:cs="宋体"/>
          <w:b/>
          <w:bCs/>
          <w:color w:val="auto"/>
          <w:sz w:val="30"/>
          <w:szCs w:val="30"/>
          <w:highlight w:val="none"/>
          <w:lang w:val="en-US" w:eastAsia="zh-CN"/>
        </w:rPr>
        <w:t>7.</w:t>
      </w:r>
      <w:r>
        <w:rPr>
          <w:rFonts w:hint="eastAsia" w:ascii="宋体" w:hAnsi="宋体" w:cs="宋体"/>
          <w:b/>
          <w:bCs/>
          <w:color w:val="auto"/>
          <w:sz w:val="30"/>
          <w:szCs w:val="30"/>
          <w:highlight w:val="none"/>
        </w:rPr>
        <w:t>供</w:t>
      </w:r>
      <w:r>
        <w:rPr>
          <w:rFonts w:hint="eastAsia" w:hAnsi="宋体" w:cs="宋体"/>
          <w:b/>
          <w:bCs/>
          <w:color w:val="auto"/>
          <w:sz w:val="30"/>
          <w:szCs w:val="30"/>
          <w:highlight w:val="none"/>
        </w:rPr>
        <w:t>应商可结合本项目的评审办法视自身情况自行提交其它相关证明材料。</w:t>
      </w:r>
    </w:p>
    <w:sectPr>
      <w:footerReference r:id="rId18" w:type="default"/>
      <w:pgSz w:w="11906" w:h="16838"/>
      <w:pgMar w:top="1440" w:right="1080" w:bottom="1440" w:left="1080" w:header="851" w:footer="992"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41</w:t>
                    </w:r>
                    <w:r>
                      <w:fldChar w:fldCharType="end"/>
                    </w:r>
                  </w:p>
                </w:txbxContent>
              </v:textbox>
            </v:shape>
          </w:pict>
        </mc:Fallback>
      </mc:AlternateContent>
    </w:r>
    <w:r>
      <w:rPr>
        <w:rFonts w:ascii="Times New Roman" w:hAnsi="Times New Roman" w:eastAsia="Times New Roman" w:cs="Times New Roman"/>
        <w:spacing w:val="-2"/>
        <w:sz w:val="18"/>
        <w:szCs w:val="18"/>
      </w:rPr>
      <w:t>33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6"/>
      </w:rPr>
    </w:pPr>
    <w:r>
      <w:fldChar w:fldCharType="begin"/>
    </w:r>
    <w:r>
      <w:rPr>
        <w:rStyle w:val="36"/>
      </w:rPr>
      <w:instrText xml:space="preserve">PAGE  </w:instrText>
    </w:r>
    <w:r>
      <w:fldChar w:fldCharType="separate"/>
    </w:r>
    <w:r>
      <w:rPr>
        <w:rStyle w:val="36"/>
      </w:rPr>
      <w:t>1</w: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XuztABAACqAwAADgAAAGRycy9lMm9Eb2MueG1srVPNjtMwEL4j8Q6W&#10;7zRph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v+bMCUsPfvnx/fLz9+XXN7Ys&#10;VzdJod5jRYX3nkrj8BYG2ps5jhRMxIc22PQlSozypO/5qq8aIpPp0nq1XpeUkpSbHcIvHq77gPGd&#10;AsuSUfNAD5h1FacPGMfSuSR1c3CnjcmPaNxfAcIcIypvwXQ7MRknTlYc9sNEbw/Nmdj1tAk1d7T4&#10;nJn3joROSzMbYTb2s3H0QR86GnSZp0T/5hhppDxp6jDCEsPk0BNmrtO6pR157Oeqh19s+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omXuztABAACqAwAADgAAAAAAAAABACAAAAAeAQAAZHJz&#10;L2Uyb0RvYy54bWxQSwUGAAAAAAYABgBZAQAAYAUAAAAA&#10;">
              <v:fill on="f" focussize="0,0"/>
              <v:stroke on="f"/>
              <v:imagedata o:title=""/>
              <o:lock v:ext="edit" aspectratio="f"/>
              <v:textbox inset="0mm,0mm,0mm,0mm" style="mso-fit-shape-to-text:t;">
                <w:txbxContent>
                  <w:p>
                    <w:pPr>
                      <w:pStyle w:val="2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1"/>
        <w:sz w:val="18"/>
        <w:szCs w:val="18"/>
      </w:rPr>
      <w:t>29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2"/>
        <w:sz w:val="18"/>
        <w:szCs w:val="18"/>
      </w:rPr>
      <w:t>30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39</w:t>
                    </w:r>
                    <w:r>
                      <w:fldChar w:fldCharType="end"/>
                    </w:r>
                  </w:p>
                </w:txbxContent>
              </v:textbox>
            </v:shape>
          </w:pict>
        </mc:Fallback>
      </mc:AlternateContent>
    </w:r>
    <w:r>
      <w:rPr>
        <w:rFonts w:ascii="Times New Roman" w:hAnsi="Times New Roman" w:eastAsia="Times New Roman" w:cs="Times New Roman"/>
        <w:spacing w:val="-2"/>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40</w:t>
                    </w:r>
                    <w:r>
                      <w:fldChar w:fldCharType="end"/>
                    </w:r>
                  </w:p>
                </w:txbxContent>
              </v:textbox>
            </v:shape>
          </w:pict>
        </mc:Fallback>
      </mc:AlternateContent>
    </w:r>
    <w:r>
      <w:rPr>
        <w:rFonts w:ascii="Times New Roman" w:hAnsi="Times New Roman" w:eastAsia="Times New Roman" w:cs="Times New Roman"/>
        <w:spacing w:val="-2"/>
        <w:sz w:val="18"/>
        <w:szCs w:val="18"/>
      </w:rPr>
      <w:t>32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B7C647"/>
    <w:multiLevelType w:val="singleLevel"/>
    <w:tmpl w:val="6BB7C647"/>
    <w:lvl w:ilvl="0" w:tentative="0">
      <w:start w:val="2"/>
      <w:numFmt w:val="decimal"/>
      <w:lvlText w:val="%1."/>
      <w:lvlJc w:val="left"/>
      <w:pPr>
        <w:tabs>
          <w:tab w:val="left" w:pos="312"/>
        </w:tabs>
        <w:ind w:left="525" w:leftChars="0" w:firstLine="0" w:firstLineChars="0"/>
      </w:pPr>
    </w:lvl>
  </w:abstractNum>
  <w:abstractNum w:abstractNumId="3">
    <w:nsid w:val="78E2D185"/>
    <w:multiLevelType w:val="singleLevel"/>
    <w:tmpl w:val="78E2D185"/>
    <w:lvl w:ilvl="0" w:tentative="0">
      <w:start w:val="7"/>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0"/>
  <w:bordersDoNotSurroundFooter w:val="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NjgxZmFhMTc2ZmVmMGQ0ODgyMjZkZTU4NWE5NTgifQ=="/>
  </w:docVars>
  <w:rsids>
    <w:rsidRoot w:val="00172A27"/>
    <w:rsid w:val="00000170"/>
    <w:rsid w:val="000001B5"/>
    <w:rsid w:val="0000029B"/>
    <w:rsid w:val="00000C05"/>
    <w:rsid w:val="000011ED"/>
    <w:rsid w:val="00001908"/>
    <w:rsid w:val="00001ADB"/>
    <w:rsid w:val="00001B69"/>
    <w:rsid w:val="00002E5D"/>
    <w:rsid w:val="000033A8"/>
    <w:rsid w:val="000034A6"/>
    <w:rsid w:val="00003B4B"/>
    <w:rsid w:val="00003B4C"/>
    <w:rsid w:val="00003B7C"/>
    <w:rsid w:val="00003D90"/>
    <w:rsid w:val="00003F55"/>
    <w:rsid w:val="00004077"/>
    <w:rsid w:val="000040FD"/>
    <w:rsid w:val="000044E5"/>
    <w:rsid w:val="0000477B"/>
    <w:rsid w:val="0000497A"/>
    <w:rsid w:val="00004CC8"/>
    <w:rsid w:val="00004F67"/>
    <w:rsid w:val="00004F9B"/>
    <w:rsid w:val="00004FF4"/>
    <w:rsid w:val="00005143"/>
    <w:rsid w:val="000057EC"/>
    <w:rsid w:val="00005950"/>
    <w:rsid w:val="00006352"/>
    <w:rsid w:val="00006440"/>
    <w:rsid w:val="0000667B"/>
    <w:rsid w:val="00006D8B"/>
    <w:rsid w:val="0000722A"/>
    <w:rsid w:val="00007562"/>
    <w:rsid w:val="0000757F"/>
    <w:rsid w:val="0000775B"/>
    <w:rsid w:val="00007A06"/>
    <w:rsid w:val="00007F96"/>
    <w:rsid w:val="0001073E"/>
    <w:rsid w:val="000108BB"/>
    <w:rsid w:val="00010FC4"/>
    <w:rsid w:val="00010FCB"/>
    <w:rsid w:val="00011006"/>
    <w:rsid w:val="0001157E"/>
    <w:rsid w:val="0001185B"/>
    <w:rsid w:val="00011968"/>
    <w:rsid w:val="00011E9C"/>
    <w:rsid w:val="00011F22"/>
    <w:rsid w:val="00012352"/>
    <w:rsid w:val="00012511"/>
    <w:rsid w:val="000125A9"/>
    <w:rsid w:val="000127AC"/>
    <w:rsid w:val="0001284A"/>
    <w:rsid w:val="00012C2B"/>
    <w:rsid w:val="000134A1"/>
    <w:rsid w:val="0001373E"/>
    <w:rsid w:val="000139A0"/>
    <w:rsid w:val="000139C8"/>
    <w:rsid w:val="000139E0"/>
    <w:rsid w:val="00013C2B"/>
    <w:rsid w:val="00013F2B"/>
    <w:rsid w:val="00014797"/>
    <w:rsid w:val="000149AC"/>
    <w:rsid w:val="000149ED"/>
    <w:rsid w:val="00014B3F"/>
    <w:rsid w:val="0001519D"/>
    <w:rsid w:val="000158F6"/>
    <w:rsid w:val="00015DB6"/>
    <w:rsid w:val="00015F3A"/>
    <w:rsid w:val="0001605E"/>
    <w:rsid w:val="000162C9"/>
    <w:rsid w:val="00016611"/>
    <w:rsid w:val="00016778"/>
    <w:rsid w:val="00016AB2"/>
    <w:rsid w:val="000173A6"/>
    <w:rsid w:val="0001748C"/>
    <w:rsid w:val="00017B25"/>
    <w:rsid w:val="00017BC7"/>
    <w:rsid w:val="00017DA1"/>
    <w:rsid w:val="0002021E"/>
    <w:rsid w:val="000207AB"/>
    <w:rsid w:val="00020B0D"/>
    <w:rsid w:val="00021050"/>
    <w:rsid w:val="00021536"/>
    <w:rsid w:val="00021928"/>
    <w:rsid w:val="00021B15"/>
    <w:rsid w:val="00021F89"/>
    <w:rsid w:val="00022A04"/>
    <w:rsid w:val="00022F6B"/>
    <w:rsid w:val="00023404"/>
    <w:rsid w:val="00023930"/>
    <w:rsid w:val="00023CCC"/>
    <w:rsid w:val="0002440E"/>
    <w:rsid w:val="000246AD"/>
    <w:rsid w:val="000247AF"/>
    <w:rsid w:val="00024C2B"/>
    <w:rsid w:val="00024F8B"/>
    <w:rsid w:val="000253B5"/>
    <w:rsid w:val="0002561B"/>
    <w:rsid w:val="000257E8"/>
    <w:rsid w:val="00025822"/>
    <w:rsid w:val="00025E89"/>
    <w:rsid w:val="00025EE8"/>
    <w:rsid w:val="00026056"/>
    <w:rsid w:val="0002648C"/>
    <w:rsid w:val="0002714F"/>
    <w:rsid w:val="0002726C"/>
    <w:rsid w:val="00027537"/>
    <w:rsid w:val="000276A8"/>
    <w:rsid w:val="00030603"/>
    <w:rsid w:val="00030708"/>
    <w:rsid w:val="00030828"/>
    <w:rsid w:val="00030C53"/>
    <w:rsid w:val="00030CE0"/>
    <w:rsid w:val="0003101F"/>
    <w:rsid w:val="00031027"/>
    <w:rsid w:val="000313EB"/>
    <w:rsid w:val="00031EB5"/>
    <w:rsid w:val="000320EE"/>
    <w:rsid w:val="000322ED"/>
    <w:rsid w:val="000324A8"/>
    <w:rsid w:val="000325F4"/>
    <w:rsid w:val="00032678"/>
    <w:rsid w:val="00032913"/>
    <w:rsid w:val="0003298B"/>
    <w:rsid w:val="00032BBE"/>
    <w:rsid w:val="00033479"/>
    <w:rsid w:val="000338CC"/>
    <w:rsid w:val="00033C76"/>
    <w:rsid w:val="00033DAF"/>
    <w:rsid w:val="000342C4"/>
    <w:rsid w:val="0003439C"/>
    <w:rsid w:val="000343BC"/>
    <w:rsid w:val="0003474E"/>
    <w:rsid w:val="000351B3"/>
    <w:rsid w:val="000356A1"/>
    <w:rsid w:val="00035820"/>
    <w:rsid w:val="000358E3"/>
    <w:rsid w:val="00035910"/>
    <w:rsid w:val="00035DF7"/>
    <w:rsid w:val="000361B9"/>
    <w:rsid w:val="0003676C"/>
    <w:rsid w:val="0003692E"/>
    <w:rsid w:val="00036C90"/>
    <w:rsid w:val="00036CA9"/>
    <w:rsid w:val="00036E81"/>
    <w:rsid w:val="000372D8"/>
    <w:rsid w:val="0003758D"/>
    <w:rsid w:val="000407F1"/>
    <w:rsid w:val="00040940"/>
    <w:rsid w:val="00040B23"/>
    <w:rsid w:val="00041076"/>
    <w:rsid w:val="000414C6"/>
    <w:rsid w:val="0004167F"/>
    <w:rsid w:val="00041BEF"/>
    <w:rsid w:val="00041D93"/>
    <w:rsid w:val="0004215F"/>
    <w:rsid w:val="00042370"/>
    <w:rsid w:val="000426E2"/>
    <w:rsid w:val="000427AB"/>
    <w:rsid w:val="00042988"/>
    <w:rsid w:val="00043099"/>
    <w:rsid w:val="0004314D"/>
    <w:rsid w:val="00043242"/>
    <w:rsid w:val="00043500"/>
    <w:rsid w:val="000438AE"/>
    <w:rsid w:val="00043AAC"/>
    <w:rsid w:val="00043ABC"/>
    <w:rsid w:val="00043BC9"/>
    <w:rsid w:val="00043D74"/>
    <w:rsid w:val="00043D80"/>
    <w:rsid w:val="0004430D"/>
    <w:rsid w:val="00044414"/>
    <w:rsid w:val="00044449"/>
    <w:rsid w:val="00044975"/>
    <w:rsid w:val="00044A89"/>
    <w:rsid w:val="00044E5F"/>
    <w:rsid w:val="0004528E"/>
    <w:rsid w:val="00045375"/>
    <w:rsid w:val="000453AA"/>
    <w:rsid w:val="000455C0"/>
    <w:rsid w:val="0004582F"/>
    <w:rsid w:val="00045A41"/>
    <w:rsid w:val="00045B84"/>
    <w:rsid w:val="00046AD4"/>
    <w:rsid w:val="00047432"/>
    <w:rsid w:val="000474D9"/>
    <w:rsid w:val="00047B81"/>
    <w:rsid w:val="00047EB0"/>
    <w:rsid w:val="00047F2B"/>
    <w:rsid w:val="00050027"/>
    <w:rsid w:val="000506B3"/>
    <w:rsid w:val="000507A6"/>
    <w:rsid w:val="00050D3D"/>
    <w:rsid w:val="00050E1C"/>
    <w:rsid w:val="00050EC4"/>
    <w:rsid w:val="000512BE"/>
    <w:rsid w:val="000513EF"/>
    <w:rsid w:val="00052011"/>
    <w:rsid w:val="00052495"/>
    <w:rsid w:val="00052A33"/>
    <w:rsid w:val="00052C1A"/>
    <w:rsid w:val="00052D91"/>
    <w:rsid w:val="00052DAE"/>
    <w:rsid w:val="00052DC5"/>
    <w:rsid w:val="00053080"/>
    <w:rsid w:val="00053C74"/>
    <w:rsid w:val="00053FD6"/>
    <w:rsid w:val="0005440E"/>
    <w:rsid w:val="000548A3"/>
    <w:rsid w:val="00054966"/>
    <w:rsid w:val="00054AB0"/>
    <w:rsid w:val="000551B6"/>
    <w:rsid w:val="00055378"/>
    <w:rsid w:val="000553CA"/>
    <w:rsid w:val="00055684"/>
    <w:rsid w:val="00055BF1"/>
    <w:rsid w:val="00055E73"/>
    <w:rsid w:val="00056190"/>
    <w:rsid w:val="0005652A"/>
    <w:rsid w:val="00056AB7"/>
    <w:rsid w:val="0005731B"/>
    <w:rsid w:val="000576DC"/>
    <w:rsid w:val="0005788B"/>
    <w:rsid w:val="00057B1A"/>
    <w:rsid w:val="000605B7"/>
    <w:rsid w:val="000606D6"/>
    <w:rsid w:val="00060B78"/>
    <w:rsid w:val="00061151"/>
    <w:rsid w:val="0006142B"/>
    <w:rsid w:val="0006188A"/>
    <w:rsid w:val="000618E6"/>
    <w:rsid w:val="000618EE"/>
    <w:rsid w:val="00061B31"/>
    <w:rsid w:val="000624CB"/>
    <w:rsid w:val="0006269C"/>
    <w:rsid w:val="00062869"/>
    <w:rsid w:val="00062F7C"/>
    <w:rsid w:val="00062F9E"/>
    <w:rsid w:val="0006300B"/>
    <w:rsid w:val="00063389"/>
    <w:rsid w:val="00063399"/>
    <w:rsid w:val="00063ACF"/>
    <w:rsid w:val="00063D8A"/>
    <w:rsid w:val="00064C7E"/>
    <w:rsid w:val="00065258"/>
    <w:rsid w:val="000652A9"/>
    <w:rsid w:val="00065639"/>
    <w:rsid w:val="00065A4D"/>
    <w:rsid w:val="000665E4"/>
    <w:rsid w:val="00066A4C"/>
    <w:rsid w:val="00066F5D"/>
    <w:rsid w:val="00066F9A"/>
    <w:rsid w:val="00067082"/>
    <w:rsid w:val="00067292"/>
    <w:rsid w:val="000672B1"/>
    <w:rsid w:val="000675B5"/>
    <w:rsid w:val="00067B60"/>
    <w:rsid w:val="00070101"/>
    <w:rsid w:val="00070507"/>
    <w:rsid w:val="00070666"/>
    <w:rsid w:val="00070A9F"/>
    <w:rsid w:val="00070C8C"/>
    <w:rsid w:val="00070CA1"/>
    <w:rsid w:val="00071B5D"/>
    <w:rsid w:val="00071DAC"/>
    <w:rsid w:val="00071E72"/>
    <w:rsid w:val="000723E2"/>
    <w:rsid w:val="0007276E"/>
    <w:rsid w:val="00072820"/>
    <w:rsid w:val="00072883"/>
    <w:rsid w:val="00072F52"/>
    <w:rsid w:val="0007316E"/>
    <w:rsid w:val="00073241"/>
    <w:rsid w:val="0007352C"/>
    <w:rsid w:val="000736D9"/>
    <w:rsid w:val="000738B6"/>
    <w:rsid w:val="00073A28"/>
    <w:rsid w:val="00073AAB"/>
    <w:rsid w:val="00073BC5"/>
    <w:rsid w:val="00074161"/>
    <w:rsid w:val="000747E1"/>
    <w:rsid w:val="000748A6"/>
    <w:rsid w:val="00074AB7"/>
    <w:rsid w:val="00074C4F"/>
    <w:rsid w:val="00074D5D"/>
    <w:rsid w:val="00074DD4"/>
    <w:rsid w:val="00075138"/>
    <w:rsid w:val="0007565A"/>
    <w:rsid w:val="000757CB"/>
    <w:rsid w:val="000763A1"/>
    <w:rsid w:val="00076BE0"/>
    <w:rsid w:val="00076CD3"/>
    <w:rsid w:val="000775E8"/>
    <w:rsid w:val="0007788B"/>
    <w:rsid w:val="00080183"/>
    <w:rsid w:val="00080266"/>
    <w:rsid w:val="0008063A"/>
    <w:rsid w:val="00080A3D"/>
    <w:rsid w:val="0008112A"/>
    <w:rsid w:val="00081346"/>
    <w:rsid w:val="000815D9"/>
    <w:rsid w:val="00081BC9"/>
    <w:rsid w:val="000820F8"/>
    <w:rsid w:val="00082451"/>
    <w:rsid w:val="000834F3"/>
    <w:rsid w:val="000838BD"/>
    <w:rsid w:val="000839BF"/>
    <w:rsid w:val="00083A32"/>
    <w:rsid w:val="00083A69"/>
    <w:rsid w:val="00083B78"/>
    <w:rsid w:val="00084205"/>
    <w:rsid w:val="00085C7F"/>
    <w:rsid w:val="00085F15"/>
    <w:rsid w:val="00086226"/>
    <w:rsid w:val="00086257"/>
    <w:rsid w:val="0008634A"/>
    <w:rsid w:val="00086D6A"/>
    <w:rsid w:val="00087017"/>
    <w:rsid w:val="00087255"/>
    <w:rsid w:val="000872C9"/>
    <w:rsid w:val="000875CD"/>
    <w:rsid w:val="00087A27"/>
    <w:rsid w:val="00090212"/>
    <w:rsid w:val="000903F4"/>
    <w:rsid w:val="000905FB"/>
    <w:rsid w:val="0009068E"/>
    <w:rsid w:val="00090A14"/>
    <w:rsid w:val="00090E62"/>
    <w:rsid w:val="00091181"/>
    <w:rsid w:val="00091791"/>
    <w:rsid w:val="0009280B"/>
    <w:rsid w:val="0009290A"/>
    <w:rsid w:val="00093102"/>
    <w:rsid w:val="00093943"/>
    <w:rsid w:val="00093CFF"/>
    <w:rsid w:val="000945EF"/>
    <w:rsid w:val="000946E7"/>
    <w:rsid w:val="00094D4B"/>
    <w:rsid w:val="00094F84"/>
    <w:rsid w:val="00094FA0"/>
    <w:rsid w:val="00095B9B"/>
    <w:rsid w:val="000965CD"/>
    <w:rsid w:val="00096861"/>
    <w:rsid w:val="00096AD2"/>
    <w:rsid w:val="00096B27"/>
    <w:rsid w:val="00096CEF"/>
    <w:rsid w:val="00097F93"/>
    <w:rsid w:val="000A0092"/>
    <w:rsid w:val="000A00EB"/>
    <w:rsid w:val="000A05F2"/>
    <w:rsid w:val="000A0861"/>
    <w:rsid w:val="000A0967"/>
    <w:rsid w:val="000A0FD6"/>
    <w:rsid w:val="000A1C45"/>
    <w:rsid w:val="000A20EF"/>
    <w:rsid w:val="000A23D9"/>
    <w:rsid w:val="000A2975"/>
    <w:rsid w:val="000A29B8"/>
    <w:rsid w:val="000A2DCD"/>
    <w:rsid w:val="000A32B2"/>
    <w:rsid w:val="000A36CA"/>
    <w:rsid w:val="000A36CD"/>
    <w:rsid w:val="000A3917"/>
    <w:rsid w:val="000A3CF6"/>
    <w:rsid w:val="000A3D8D"/>
    <w:rsid w:val="000A40B8"/>
    <w:rsid w:val="000A4439"/>
    <w:rsid w:val="000A45F1"/>
    <w:rsid w:val="000A4606"/>
    <w:rsid w:val="000A47D7"/>
    <w:rsid w:val="000A4BE3"/>
    <w:rsid w:val="000A4F3B"/>
    <w:rsid w:val="000A5169"/>
    <w:rsid w:val="000A5421"/>
    <w:rsid w:val="000A57D4"/>
    <w:rsid w:val="000A5901"/>
    <w:rsid w:val="000A5C45"/>
    <w:rsid w:val="000A5C66"/>
    <w:rsid w:val="000A5CFA"/>
    <w:rsid w:val="000A5D8A"/>
    <w:rsid w:val="000A5E5D"/>
    <w:rsid w:val="000A60A3"/>
    <w:rsid w:val="000A6CD2"/>
    <w:rsid w:val="000A7436"/>
    <w:rsid w:val="000A7625"/>
    <w:rsid w:val="000B010C"/>
    <w:rsid w:val="000B08BC"/>
    <w:rsid w:val="000B0B71"/>
    <w:rsid w:val="000B0C4F"/>
    <w:rsid w:val="000B0C77"/>
    <w:rsid w:val="000B12A5"/>
    <w:rsid w:val="000B1865"/>
    <w:rsid w:val="000B237E"/>
    <w:rsid w:val="000B2456"/>
    <w:rsid w:val="000B2BB2"/>
    <w:rsid w:val="000B3103"/>
    <w:rsid w:val="000B34D4"/>
    <w:rsid w:val="000B36E7"/>
    <w:rsid w:val="000B3CFF"/>
    <w:rsid w:val="000B3F36"/>
    <w:rsid w:val="000B414E"/>
    <w:rsid w:val="000B4180"/>
    <w:rsid w:val="000B446F"/>
    <w:rsid w:val="000B4942"/>
    <w:rsid w:val="000B4969"/>
    <w:rsid w:val="000B5ACB"/>
    <w:rsid w:val="000B5ACF"/>
    <w:rsid w:val="000B62C2"/>
    <w:rsid w:val="000B647B"/>
    <w:rsid w:val="000B6631"/>
    <w:rsid w:val="000B6CA8"/>
    <w:rsid w:val="000B7473"/>
    <w:rsid w:val="000B7939"/>
    <w:rsid w:val="000B7B41"/>
    <w:rsid w:val="000B7D9B"/>
    <w:rsid w:val="000C00C5"/>
    <w:rsid w:val="000C018F"/>
    <w:rsid w:val="000C02ED"/>
    <w:rsid w:val="000C0373"/>
    <w:rsid w:val="000C0406"/>
    <w:rsid w:val="000C099D"/>
    <w:rsid w:val="000C0DD9"/>
    <w:rsid w:val="000C0E93"/>
    <w:rsid w:val="000C1278"/>
    <w:rsid w:val="000C1576"/>
    <w:rsid w:val="000C16C7"/>
    <w:rsid w:val="000C1743"/>
    <w:rsid w:val="000C18B9"/>
    <w:rsid w:val="000C1C13"/>
    <w:rsid w:val="000C20A8"/>
    <w:rsid w:val="000C224C"/>
    <w:rsid w:val="000C2478"/>
    <w:rsid w:val="000C28FC"/>
    <w:rsid w:val="000C2A34"/>
    <w:rsid w:val="000C2C4E"/>
    <w:rsid w:val="000C2D63"/>
    <w:rsid w:val="000C31E4"/>
    <w:rsid w:val="000C3664"/>
    <w:rsid w:val="000C3789"/>
    <w:rsid w:val="000C3CBE"/>
    <w:rsid w:val="000C3F19"/>
    <w:rsid w:val="000C4055"/>
    <w:rsid w:val="000C46ED"/>
    <w:rsid w:val="000C4959"/>
    <w:rsid w:val="000C496A"/>
    <w:rsid w:val="000C4A11"/>
    <w:rsid w:val="000C4B5A"/>
    <w:rsid w:val="000C566C"/>
    <w:rsid w:val="000C59FD"/>
    <w:rsid w:val="000C6144"/>
    <w:rsid w:val="000C64F3"/>
    <w:rsid w:val="000C684D"/>
    <w:rsid w:val="000C6905"/>
    <w:rsid w:val="000C6981"/>
    <w:rsid w:val="000C699F"/>
    <w:rsid w:val="000C7204"/>
    <w:rsid w:val="000C76E2"/>
    <w:rsid w:val="000C796F"/>
    <w:rsid w:val="000C7DC0"/>
    <w:rsid w:val="000D0374"/>
    <w:rsid w:val="000D049C"/>
    <w:rsid w:val="000D06C8"/>
    <w:rsid w:val="000D0844"/>
    <w:rsid w:val="000D093D"/>
    <w:rsid w:val="000D0B80"/>
    <w:rsid w:val="000D11A7"/>
    <w:rsid w:val="000D14EB"/>
    <w:rsid w:val="000D180B"/>
    <w:rsid w:val="000D1A16"/>
    <w:rsid w:val="000D1B37"/>
    <w:rsid w:val="000D2551"/>
    <w:rsid w:val="000D2B49"/>
    <w:rsid w:val="000D2FFF"/>
    <w:rsid w:val="000D302C"/>
    <w:rsid w:val="000D3997"/>
    <w:rsid w:val="000D3A93"/>
    <w:rsid w:val="000D44D2"/>
    <w:rsid w:val="000D45DA"/>
    <w:rsid w:val="000D4C47"/>
    <w:rsid w:val="000D519C"/>
    <w:rsid w:val="000D55B6"/>
    <w:rsid w:val="000D561B"/>
    <w:rsid w:val="000D5703"/>
    <w:rsid w:val="000D5AE0"/>
    <w:rsid w:val="000D5BC2"/>
    <w:rsid w:val="000D6062"/>
    <w:rsid w:val="000D62E4"/>
    <w:rsid w:val="000D6D5C"/>
    <w:rsid w:val="000D6F1A"/>
    <w:rsid w:val="000D7090"/>
    <w:rsid w:val="000D7B25"/>
    <w:rsid w:val="000E00A8"/>
    <w:rsid w:val="000E00BE"/>
    <w:rsid w:val="000E08D0"/>
    <w:rsid w:val="000E0A07"/>
    <w:rsid w:val="000E0AE7"/>
    <w:rsid w:val="000E1051"/>
    <w:rsid w:val="000E12EE"/>
    <w:rsid w:val="000E1661"/>
    <w:rsid w:val="000E1B98"/>
    <w:rsid w:val="000E1EA9"/>
    <w:rsid w:val="000E1ECA"/>
    <w:rsid w:val="000E1ECD"/>
    <w:rsid w:val="000E21B8"/>
    <w:rsid w:val="000E2A5C"/>
    <w:rsid w:val="000E2FEB"/>
    <w:rsid w:val="000E3012"/>
    <w:rsid w:val="000E3274"/>
    <w:rsid w:val="000E3298"/>
    <w:rsid w:val="000E3594"/>
    <w:rsid w:val="000E3A19"/>
    <w:rsid w:val="000E3DA4"/>
    <w:rsid w:val="000E3FAF"/>
    <w:rsid w:val="000E4732"/>
    <w:rsid w:val="000E49A1"/>
    <w:rsid w:val="000E4BFB"/>
    <w:rsid w:val="000E4DDC"/>
    <w:rsid w:val="000E4EE2"/>
    <w:rsid w:val="000E4F78"/>
    <w:rsid w:val="000E5029"/>
    <w:rsid w:val="000E5069"/>
    <w:rsid w:val="000E5BEB"/>
    <w:rsid w:val="000E5C9D"/>
    <w:rsid w:val="000E5E0F"/>
    <w:rsid w:val="000E5F2A"/>
    <w:rsid w:val="000E66A0"/>
    <w:rsid w:val="000E66CC"/>
    <w:rsid w:val="000E6A4D"/>
    <w:rsid w:val="000E7700"/>
    <w:rsid w:val="000E7D40"/>
    <w:rsid w:val="000F0191"/>
    <w:rsid w:val="000F093B"/>
    <w:rsid w:val="000F0BDA"/>
    <w:rsid w:val="000F10E1"/>
    <w:rsid w:val="000F1327"/>
    <w:rsid w:val="000F1971"/>
    <w:rsid w:val="000F1BC9"/>
    <w:rsid w:val="000F1CDA"/>
    <w:rsid w:val="000F24F6"/>
    <w:rsid w:val="000F2686"/>
    <w:rsid w:val="000F27B6"/>
    <w:rsid w:val="000F3CFD"/>
    <w:rsid w:val="000F3D0D"/>
    <w:rsid w:val="000F4311"/>
    <w:rsid w:val="000F4ACA"/>
    <w:rsid w:val="000F54B2"/>
    <w:rsid w:val="000F61C1"/>
    <w:rsid w:val="000F6817"/>
    <w:rsid w:val="000F7F8A"/>
    <w:rsid w:val="0010011B"/>
    <w:rsid w:val="00100532"/>
    <w:rsid w:val="00100D7E"/>
    <w:rsid w:val="00101851"/>
    <w:rsid w:val="0010195A"/>
    <w:rsid w:val="00101C88"/>
    <w:rsid w:val="00101D57"/>
    <w:rsid w:val="001023EA"/>
    <w:rsid w:val="001026A6"/>
    <w:rsid w:val="00102826"/>
    <w:rsid w:val="00102A52"/>
    <w:rsid w:val="0010326D"/>
    <w:rsid w:val="0010335F"/>
    <w:rsid w:val="00103848"/>
    <w:rsid w:val="0010384F"/>
    <w:rsid w:val="00103CC9"/>
    <w:rsid w:val="00104408"/>
    <w:rsid w:val="00104668"/>
    <w:rsid w:val="001047E7"/>
    <w:rsid w:val="00104F1E"/>
    <w:rsid w:val="00105409"/>
    <w:rsid w:val="001058BC"/>
    <w:rsid w:val="001058F4"/>
    <w:rsid w:val="00105C30"/>
    <w:rsid w:val="00105F33"/>
    <w:rsid w:val="001060B5"/>
    <w:rsid w:val="001073F4"/>
    <w:rsid w:val="001077ED"/>
    <w:rsid w:val="00107A41"/>
    <w:rsid w:val="00107B4A"/>
    <w:rsid w:val="00107CBD"/>
    <w:rsid w:val="00107DBE"/>
    <w:rsid w:val="00110280"/>
    <w:rsid w:val="001111EA"/>
    <w:rsid w:val="0011141A"/>
    <w:rsid w:val="001114AD"/>
    <w:rsid w:val="00111546"/>
    <w:rsid w:val="00111A2D"/>
    <w:rsid w:val="00111B42"/>
    <w:rsid w:val="00112099"/>
    <w:rsid w:val="0011230C"/>
    <w:rsid w:val="00112316"/>
    <w:rsid w:val="00112451"/>
    <w:rsid w:val="0011265E"/>
    <w:rsid w:val="00112CC7"/>
    <w:rsid w:val="00112F5B"/>
    <w:rsid w:val="00113733"/>
    <w:rsid w:val="00113956"/>
    <w:rsid w:val="001142B3"/>
    <w:rsid w:val="0011489D"/>
    <w:rsid w:val="001148BA"/>
    <w:rsid w:val="00114B3E"/>
    <w:rsid w:val="00114B86"/>
    <w:rsid w:val="00114BAC"/>
    <w:rsid w:val="0011520D"/>
    <w:rsid w:val="00115365"/>
    <w:rsid w:val="0011594D"/>
    <w:rsid w:val="00116607"/>
    <w:rsid w:val="001170EA"/>
    <w:rsid w:val="0011710E"/>
    <w:rsid w:val="00117824"/>
    <w:rsid w:val="0012019E"/>
    <w:rsid w:val="00120802"/>
    <w:rsid w:val="00122665"/>
    <w:rsid w:val="001226D5"/>
    <w:rsid w:val="001237F5"/>
    <w:rsid w:val="0012387D"/>
    <w:rsid w:val="00123CBA"/>
    <w:rsid w:val="00123DB4"/>
    <w:rsid w:val="00124431"/>
    <w:rsid w:val="00124457"/>
    <w:rsid w:val="00124548"/>
    <w:rsid w:val="0012459B"/>
    <w:rsid w:val="0012578E"/>
    <w:rsid w:val="00125B41"/>
    <w:rsid w:val="0012647A"/>
    <w:rsid w:val="001266C7"/>
    <w:rsid w:val="00126CCF"/>
    <w:rsid w:val="00127290"/>
    <w:rsid w:val="00127500"/>
    <w:rsid w:val="00127CB8"/>
    <w:rsid w:val="00127EF1"/>
    <w:rsid w:val="00130436"/>
    <w:rsid w:val="0013069A"/>
    <w:rsid w:val="001307E0"/>
    <w:rsid w:val="00130AD4"/>
    <w:rsid w:val="00130C8C"/>
    <w:rsid w:val="00130D21"/>
    <w:rsid w:val="00130EFA"/>
    <w:rsid w:val="00130FE3"/>
    <w:rsid w:val="00131596"/>
    <w:rsid w:val="001315EF"/>
    <w:rsid w:val="001315FD"/>
    <w:rsid w:val="00131B68"/>
    <w:rsid w:val="0013205C"/>
    <w:rsid w:val="001322EB"/>
    <w:rsid w:val="001325C2"/>
    <w:rsid w:val="001328C0"/>
    <w:rsid w:val="00132DFC"/>
    <w:rsid w:val="00133247"/>
    <w:rsid w:val="00133C9D"/>
    <w:rsid w:val="001346C2"/>
    <w:rsid w:val="001347AD"/>
    <w:rsid w:val="00134B45"/>
    <w:rsid w:val="00136334"/>
    <w:rsid w:val="0013633F"/>
    <w:rsid w:val="001367DA"/>
    <w:rsid w:val="00136C95"/>
    <w:rsid w:val="0013713E"/>
    <w:rsid w:val="00137254"/>
    <w:rsid w:val="001373DE"/>
    <w:rsid w:val="00137BD4"/>
    <w:rsid w:val="00137BF8"/>
    <w:rsid w:val="001400B6"/>
    <w:rsid w:val="0014062A"/>
    <w:rsid w:val="0014066B"/>
    <w:rsid w:val="00140A37"/>
    <w:rsid w:val="00140E37"/>
    <w:rsid w:val="00140E6D"/>
    <w:rsid w:val="00140FCC"/>
    <w:rsid w:val="0014131B"/>
    <w:rsid w:val="00141646"/>
    <w:rsid w:val="0014191A"/>
    <w:rsid w:val="00141B28"/>
    <w:rsid w:val="00141DFB"/>
    <w:rsid w:val="00141F78"/>
    <w:rsid w:val="00141F7E"/>
    <w:rsid w:val="001421F7"/>
    <w:rsid w:val="001433F0"/>
    <w:rsid w:val="00143473"/>
    <w:rsid w:val="001435BC"/>
    <w:rsid w:val="00143961"/>
    <w:rsid w:val="00143B2B"/>
    <w:rsid w:val="00143EDE"/>
    <w:rsid w:val="00144551"/>
    <w:rsid w:val="0014460C"/>
    <w:rsid w:val="001449D8"/>
    <w:rsid w:val="00144E85"/>
    <w:rsid w:val="00145C6E"/>
    <w:rsid w:val="00145DD7"/>
    <w:rsid w:val="0014603B"/>
    <w:rsid w:val="00146DB8"/>
    <w:rsid w:val="00147259"/>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A01"/>
    <w:rsid w:val="001534B3"/>
    <w:rsid w:val="00153690"/>
    <w:rsid w:val="001537B5"/>
    <w:rsid w:val="00153B71"/>
    <w:rsid w:val="001540D2"/>
    <w:rsid w:val="001541BB"/>
    <w:rsid w:val="001544CE"/>
    <w:rsid w:val="00154679"/>
    <w:rsid w:val="001552FB"/>
    <w:rsid w:val="00155441"/>
    <w:rsid w:val="001554F0"/>
    <w:rsid w:val="00155668"/>
    <w:rsid w:val="0015587D"/>
    <w:rsid w:val="00155E4D"/>
    <w:rsid w:val="00156208"/>
    <w:rsid w:val="001563CA"/>
    <w:rsid w:val="0015650E"/>
    <w:rsid w:val="00156819"/>
    <w:rsid w:val="00156AAF"/>
    <w:rsid w:val="00156D1E"/>
    <w:rsid w:val="00157B2C"/>
    <w:rsid w:val="00157CF4"/>
    <w:rsid w:val="00157F03"/>
    <w:rsid w:val="00160861"/>
    <w:rsid w:val="001608B9"/>
    <w:rsid w:val="00160A01"/>
    <w:rsid w:val="00160B58"/>
    <w:rsid w:val="001615FE"/>
    <w:rsid w:val="001617EC"/>
    <w:rsid w:val="00161B31"/>
    <w:rsid w:val="001620C7"/>
    <w:rsid w:val="001621AA"/>
    <w:rsid w:val="001621B2"/>
    <w:rsid w:val="00162359"/>
    <w:rsid w:val="00162859"/>
    <w:rsid w:val="00162E9A"/>
    <w:rsid w:val="001635EC"/>
    <w:rsid w:val="00163A34"/>
    <w:rsid w:val="00163AF5"/>
    <w:rsid w:val="00163C4C"/>
    <w:rsid w:val="00164A32"/>
    <w:rsid w:val="00165832"/>
    <w:rsid w:val="00166155"/>
    <w:rsid w:val="001662B6"/>
    <w:rsid w:val="001663B5"/>
    <w:rsid w:val="00166459"/>
    <w:rsid w:val="001666A4"/>
    <w:rsid w:val="00167839"/>
    <w:rsid w:val="0017007D"/>
    <w:rsid w:val="00170181"/>
    <w:rsid w:val="001705E5"/>
    <w:rsid w:val="0017063F"/>
    <w:rsid w:val="001707FA"/>
    <w:rsid w:val="0017098F"/>
    <w:rsid w:val="00170B3B"/>
    <w:rsid w:val="00170CA0"/>
    <w:rsid w:val="00170E6F"/>
    <w:rsid w:val="0017117A"/>
    <w:rsid w:val="00171E9E"/>
    <w:rsid w:val="001721E7"/>
    <w:rsid w:val="0017230F"/>
    <w:rsid w:val="00172742"/>
    <w:rsid w:val="00172959"/>
    <w:rsid w:val="00172A27"/>
    <w:rsid w:val="0017330B"/>
    <w:rsid w:val="001736FA"/>
    <w:rsid w:val="00173739"/>
    <w:rsid w:val="001737D9"/>
    <w:rsid w:val="00173EA0"/>
    <w:rsid w:val="0017446B"/>
    <w:rsid w:val="001747F3"/>
    <w:rsid w:val="00174921"/>
    <w:rsid w:val="00174971"/>
    <w:rsid w:val="00174FF0"/>
    <w:rsid w:val="00175FAB"/>
    <w:rsid w:val="00176D7D"/>
    <w:rsid w:val="00176EAE"/>
    <w:rsid w:val="00177137"/>
    <w:rsid w:val="001771D9"/>
    <w:rsid w:val="00177C81"/>
    <w:rsid w:val="00177F39"/>
    <w:rsid w:val="001808F5"/>
    <w:rsid w:val="0018097B"/>
    <w:rsid w:val="00180BEC"/>
    <w:rsid w:val="00181492"/>
    <w:rsid w:val="00181686"/>
    <w:rsid w:val="001817C6"/>
    <w:rsid w:val="00181CCB"/>
    <w:rsid w:val="00182C8C"/>
    <w:rsid w:val="001833A4"/>
    <w:rsid w:val="00184A2A"/>
    <w:rsid w:val="00184BEB"/>
    <w:rsid w:val="00185032"/>
    <w:rsid w:val="00185033"/>
    <w:rsid w:val="00185386"/>
    <w:rsid w:val="00186411"/>
    <w:rsid w:val="001866AD"/>
    <w:rsid w:val="00186811"/>
    <w:rsid w:val="001868B5"/>
    <w:rsid w:val="00186E74"/>
    <w:rsid w:val="0018702C"/>
    <w:rsid w:val="00187480"/>
    <w:rsid w:val="001875C3"/>
    <w:rsid w:val="001902E5"/>
    <w:rsid w:val="00190512"/>
    <w:rsid w:val="0019071A"/>
    <w:rsid w:val="00190CE4"/>
    <w:rsid w:val="001910FC"/>
    <w:rsid w:val="0019110D"/>
    <w:rsid w:val="00191864"/>
    <w:rsid w:val="001919DB"/>
    <w:rsid w:val="00191F00"/>
    <w:rsid w:val="00192ADD"/>
    <w:rsid w:val="00192B48"/>
    <w:rsid w:val="00192B99"/>
    <w:rsid w:val="00193132"/>
    <w:rsid w:val="00193515"/>
    <w:rsid w:val="00193724"/>
    <w:rsid w:val="0019382E"/>
    <w:rsid w:val="00193CFA"/>
    <w:rsid w:val="00194E64"/>
    <w:rsid w:val="00194E66"/>
    <w:rsid w:val="00195BEF"/>
    <w:rsid w:val="00195C72"/>
    <w:rsid w:val="0019621C"/>
    <w:rsid w:val="00196285"/>
    <w:rsid w:val="001963CF"/>
    <w:rsid w:val="00196416"/>
    <w:rsid w:val="00196CD1"/>
    <w:rsid w:val="00197043"/>
    <w:rsid w:val="001974B2"/>
    <w:rsid w:val="00197505"/>
    <w:rsid w:val="00197E77"/>
    <w:rsid w:val="001A0A68"/>
    <w:rsid w:val="001A0E4C"/>
    <w:rsid w:val="001A1013"/>
    <w:rsid w:val="001A119D"/>
    <w:rsid w:val="001A162C"/>
    <w:rsid w:val="001A1766"/>
    <w:rsid w:val="001A1F39"/>
    <w:rsid w:val="001A2098"/>
    <w:rsid w:val="001A23E1"/>
    <w:rsid w:val="001A26C8"/>
    <w:rsid w:val="001A2962"/>
    <w:rsid w:val="001A2CC7"/>
    <w:rsid w:val="001A3A53"/>
    <w:rsid w:val="001A3A93"/>
    <w:rsid w:val="001A3AEF"/>
    <w:rsid w:val="001A3FAA"/>
    <w:rsid w:val="001A493C"/>
    <w:rsid w:val="001A50C7"/>
    <w:rsid w:val="001A55F6"/>
    <w:rsid w:val="001A5CE4"/>
    <w:rsid w:val="001A61BB"/>
    <w:rsid w:val="001A6604"/>
    <w:rsid w:val="001A69BB"/>
    <w:rsid w:val="001A6B69"/>
    <w:rsid w:val="001A6C13"/>
    <w:rsid w:val="001A72AD"/>
    <w:rsid w:val="001A750D"/>
    <w:rsid w:val="001A7E59"/>
    <w:rsid w:val="001B02A1"/>
    <w:rsid w:val="001B036E"/>
    <w:rsid w:val="001B046F"/>
    <w:rsid w:val="001B0531"/>
    <w:rsid w:val="001B073E"/>
    <w:rsid w:val="001B0764"/>
    <w:rsid w:val="001B07BA"/>
    <w:rsid w:val="001B0E49"/>
    <w:rsid w:val="001B0E82"/>
    <w:rsid w:val="001B1199"/>
    <w:rsid w:val="001B134E"/>
    <w:rsid w:val="001B1AA9"/>
    <w:rsid w:val="001B2010"/>
    <w:rsid w:val="001B2025"/>
    <w:rsid w:val="001B204A"/>
    <w:rsid w:val="001B2132"/>
    <w:rsid w:val="001B22C7"/>
    <w:rsid w:val="001B2424"/>
    <w:rsid w:val="001B2986"/>
    <w:rsid w:val="001B29D5"/>
    <w:rsid w:val="001B2B27"/>
    <w:rsid w:val="001B2F2C"/>
    <w:rsid w:val="001B321D"/>
    <w:rsid w:val="001B32C6"/>
    <w:rsid w:val="001B34EE"/>
    <w:rsid w:val="001B3510"/>
    <w:rsid w:val="001B37F5"/>
    <w:rsid w:val="001B4326"/>
    <w:rsid w:val="001B49CB"/>
    <w:rsid w:val="001B4D10"/>
    <w:rsid w:val="001B5194"/>
    <w:rsid w:val="001B52E2"/>
    <w:rsid w:val="001B53A9"/>
    <w:rsid w:val="001B5745"/>
    <w:rsid w:val="001B57AC"/>
    <w:rsid w:val="001B674A"/>
    <w:rsid w:val="001B6E39"/>
    <w:rsid w:val="001B6E60"/>
    <w:rsid w:val="001B6E90"/>
    <w:rsid w:val="001B71D5"/>
    <w:rsid w:val="001B7FBB"/>
    <w:rsid w:val="001C00B8"/>
    <w:rsid w:val="001C0F8C"/>
    <w:rsid w:val="001C12D0"/>
    <w:rsid w:val="001C150B"/>
    <w:rsid w:val="001C1756"/>
    <w:rsid w:val="001C19DB"/>
    <w:rsid w:val="001C1D64"/>
    <w:rsid w:val="001C1DD5"/>
    <w:rsid w:val="001C2B4A"/>
    <w:rsid w:val="001C2BB8"/>
    <w:rsid w:val="001C2D59"/>
    <w:rsid w:val="001C34F1"/>
    <w:rsid w:val="001C36F0"/>
    <w:rsid w:val="001C3892"/>
    <w:rsid w:val="001C3D12"/>
    <w:rsid w:val="001C3E62"/>
    <w:rsid w:val="001C40ED"/>
    <w:rsid w:val="001C447E"/>
    <w:rsid w:val="001C4D56"/>
    <w:rsid w:val="001C50D7"/>
    <w:rsid w:val="001C5554"/>
    <w:rsid w:val="001C5609"/>
    <w:rsid w:val="001C572D"/>
    <w:rsid w:val="001C5851"/>
    <w:rsid w:val="001C5A35"/>
    <w:rsid w:val="001C5B1E"/>
    <w:rsid w:val="001C5CB6"/>
    <w:rsid w:val="001C620F"/>
    <w:rsid w:val="001C62B2"/>
    <w:rsid w:val="001C6FEE"/>
    <w:rsid w:val="001C701F"/>
    <w:rsid w:val="001C7150"/>
    <w:rsid w:val="001C72B6"/>
    <w:rsid w:val="001C72C5"/>
    <w:rsid w:val="001C745C"/>
    <w:rsid w:val="001C750F"/>
    <w:rsid w:val="001C77CF"/>
    <w:rsid w:val="001C77E0"/>
    <w:rsid w:val="001C7893"/>
    <w:rsid w:val="001C78AD"/>
    <w:rsid w:val="001C79B7"/>
    <w:rsid w:val="001C7D11"/>
    <w:rsid w:val="001D027B"/>
    <w:rsid w:val="001D0660"/>
    <w:rsid w:val="001D0774"/>
    <w:rsid w:val="001D0FDA"/>
    <w:rsid w:val="001D1074"/>
    <w:rsid w:val="001D1442"/>
    <w:rsid w:val="001D17FB"/>
    <w:rsid w:val="001D1A40"/>
    <w:rsid w:val="001D1BD9"/>
    <w:rsid w:val="001D1D24"/>
    <w:rsid w:val="001D28E2"/>
    <w:rsid w:val="001D3407"/>
    <w:rsid w:val="001D3E53"/>
    <w:rsid w:val="001D4CDA"/>
    <w:rsid w:val="001D5BCB"/>
    <w:rsid w:val="001D5EEB"/>
    <w:rsid w:val="001D6933"/>
    <w:rsid w:val="001D6B58"/>
    <w:rsid w:val="001D6F26"/>
    <w:rsid w:val="001D6FBD"/>
    <w:rsid w:val="001D7302"/>
    <w:rsid w:val="001D74BE"/>
    <w:rsid w:val="001D7AFD"/>
    <w:rsid w:val="001D7C35"/>
    <w:rsid w:val="001D7D22"/>
    <w:rsid w:val="001E0862"/>
    <w:rsid w:val="001E0CAB"/>
    <w:rsid w:val="001E0E2E"/>
    <w:rsid w:val="001E148F"/>
    <w:rsid w:val="001E17F6"/>
    <w:rsid w:val="001E1905"/>
    <w:rsid w:val="001E1A98"/>
    <w:rsid w:val="001E1AC8"/>
    <w:rsid w:val="001E1B96"/>
    <w:rsid w:val="001E23BF"/>
    <w:rsid w:val="001E275B"/>
    <w:rsid w:val="001E2DE6"/>
    <w:rsid w:val="001E3609"/>
    <w:rsid w:val="001E3693"/>
    <w:rsid w:val="001E3A6C"/>
    <w:rsid w:val="001E43AB"/>
    <w:rsid w:val="001E5AC5"/>
    <w:rsid w:val="001E61B6"/>
    <w:rsid w:val="001E6542"/>
    <w:rsid w:val="001E696A"/>
    <w:rsid w:val="001E6BF5"/>
    <w:rsid w:val="001E6C0B"/>
    <w:rsid w:val="001E6CD7"/>
    <w:rsid w:val="001E6D2F"/>
    <w:rsid w:val="001E7074"/>
    <w:rsid w:val="001E781B"/>
    <w:rsid w:val="001E7AD7"/>
    <w:rsid w:val="001E7E7A"/>
    <w:rsid w:val="001F07EB"/>
    <w:rsid w:val="001F0889"/>
    <w:rsid w:val="001F1412"/>
    <w:rsid w:val="001F1440"/>
    <w:rsid w:val="001F1572"/>
    <w:rsid w:val="001F15E1"/>
    <w:rsid w:val="001F1853"/>
    <w:rsid w:val="001F1C8F"/>
    <w:rsid w:val="001F206D"/>
    <w:rsid w:val="001F23D2"/>
    <w:rsid w:val="001F268D"/>
    <w:rsid w:val="001F2DD3"/>
    <w:rsid w:val="001F3A64"/>
    <w:rsid w:val="001F3AAC"/>
    <w:rsid w:val="001F3AD9"/>
    <w:rsid w:val="001F3B7F"/>
    <w:rsid w:val="001F42FF"/>
    <w:rsid w:val="001F46E0"/>
    <w:rsid w:val="001F4851"/>
    <w:rsid w:val="001F487D"/>
    <w:rsid w:val="001F5603"/>
    <w:rsid w:val="001F5898"/>
    <w:rsid w:val="001F5AA1"/>
    <w:rsid w:val="001F5C11"/>
    <w:rsid w:val="001F632C"/>
    <w:rsid w:val="001F662E"/>
    <w:rsid w:val="001F688B"/>
    <w:rsid w:val="001F6895"/>
    <w:rsid w:val="001F70CB"/>
    <w:rsid w:val="001F732F"/>
    <w:rsid w:val="001F7340"/>
    <w:rsid w:val="001F7A4D"/>
    <w:rsid w:val="001F7B42"/>
    <w:rsid w:val="001F7F8D"/>
    <w:rsid w:val="002000E2"/>
    <w:rsid w:val="00200316"/>
    <w:rsid w:val="0020050E"/>
    <w:rsid w:val="002007BA"/>
    <w:rsid w:val="00200FD9"/>
    <w:rsid w:val="0020106B"/>
    <w:rsid w:val="0020161D"/>
    <w:rsid w:val="0020195A"/>
    <w:rsid w:val="00201CBD"/>
    <w:rsid w:val="00202229"/>
    <w:rsid w:val="002023AB"/>
    <w:rsid w:val="00202413"/>
    <w:rsid w:val="00202834"/>
    <w:rsid w:val="00202B3D"/>
    <w:rsid w:val="0020321A"/>
    <w:rsid w:val="00203436"/>
    <w:rsid w:val="002034CB"/>
    <w:rsid w:val="00203DD7"/>
    <w:rsid w:val="00204A14"/>
    <w:rsid w:val="00204C89"/>
    <w:rsid w:val="002052B7"/>
    <w:rsid w:val="002058D2"/>
    <w:rsid w:val="00206225"/>
    <w:rsid w:val="00206AFB"/>
    <w:rsid w:val="00206FE8"/>
    <w:rsid w:val="00207194"/>
    <w:rsid w:val="002071B0"/>
    <w:rsid w:val="002071C3"/>
    <w:rsid w:val="00207579"/>
    <w:rsid w:val="00207630"/>
    <w:rsid w:val="00207A1E"/>
    <w:rsid w:val="00207A7B"/>
    <w:rsid w:val="00207C8F"/>
    <w:rsid w:val="0021125C"/>
    <w:rsid w:val="002114BA"/>
    <w:rsid w:val="002119D2"/>
    <w:rsid w:val="00211C13"/>
    <w:rsid w:val="00211E61"/>
    <w:rsid w:val="00212068"/>
    <w:rsid w:val="00212274"/>
    <w:rsid w:val="00212626"/>
    <w:rsid w:val="00212BB8"/>
    <w:rsid w:val="00212C91"/>
    <w:rsid w:val="00212D38"/>
    <w:rsid w:val="002134BE"/>
    <w:rsid w:val="002138FE"/>
    <w:rsid w:val="00214147"/>
    <w:rsid w:val="00214560"/>
    <w:rsid w:val="002146EB"/>
    <w:rsid w:val="00214721"/>
    <w:rsid w:val="00214CC2"/>
    <w:rsid w:val="00214CEE"/>
    <w:rsid w:val="00214EDE"/>
    <w:rsid w:val="002151A5"/>
    <w:rsid w:val="00215408"/>
    <w:rsid w:val="0021623D"/>
    <w:rsid w:val="002162EB"/>
    <w:rsid w:val="0021654C"/>
    <w:rsid w:val="00216AEA"/>
    <w:rsid w:val="00216DFB"/>
    <w:rsid w:val="002175D2"/>
    <w:rsid w:val="00217AE5"/>
    <w:rsid w:val="00217CA7"/>
    <w:rsid w:val="00217EAE"/>
    <w:rsid w:val="00220C40"/>
    <w:rsid w:val="00220E32"/>
    <w:rsid w:val="00221495"/>
    <w:rsid w:val="00221888"/>
    <w:rsid w:val="00221C7B"/>
    <w:rsid w:val="00221D34"/>
    <w:rsid w:val="002222A5"/>
    <w:rsid w:val="002226B7"/>
    <w:rsid w:val="00222708"/>
    <w:rsid w:val="0022271B"/>
    <w:rsid w:val="00222ACA"/>
    <w:rsid w:val="00224120"/>
    <w:rsid w:val="00224EA0"/>
    <w:rsid w:val="0022544C"/>
    <w:rsid w:val="00225967"/>
    <w:rsid w:val="00225B4E"/>
    <w:rsid w:val="00225F7A"/>
    <w:rsid w:val="00226017"/>
    <w:rsid w:val="002261F8"/>
    <w:rsid w:val="0022637B"/>
    <w:rsid w:val="00226478"/>
    <w:rsid w:val="00226740"/>
    <w:rsid w:val="00226C2F"/>
    <w:rsid w:val="002278CE"/>
    <w:rsid w:val="00227D59"/>
    <w:rsid w:val="00227D80"/>
    <w:rsid w:val="00230663"/>
    <w:rsid w:val="002310A1"/>
    <w:rsid w:val="002314C2"/>
    <w:rsid w:val="0023172F"/>
    <w:rsid w:val="002319D5"/>
    <w:rsid w:val="00231A56"/>
    <w:rsid w:val="002323E8"/>
    <w:rsid w:val="00232531"/>
    <w:rsid w:val="002325AE"/>
    <w:rsid w:val="002326BF"/>
    <w:rsid w:val="002326F2"/>
    <w:rsid w:val="00232E5D"/>
    <w:rsid w:val="00232EBF"/>
    <w:rsid w:val="0023402E"/>
    <w:rsid w:val="00234641"/>
    <w:rsid w:val="00234B01"/>
    <w:rsid w:val="00235471"/>
    <w:rsid w:val="002359C3"/>
    <w:rsid w:val="00235F89"/>
    <w:rsid w:val="00236F91"/>
    <w:rsid w:val="002370A9"/>
    <w:rsid w:val="002370CB"/>
    <w:rsid w:val="0023757B"/>
    <w:rsid w:val="002378E0"/>
    <w:rsid w:val="00237E72"/>
    <w:rsid w:val="00237EDA"/>
    <w:rsid w:val="0024074A"/>
    <w:rsid w:val="0024096E"/>
    <w:rsid w:val="00240C16"/>
    <w:rsid w:val="00240C2D"/>
    <w:rsid w:val="00241233"/>
    <w:rsid w:val="00241A5C"/>
    <w:rsid w:val="0024232F"/>
    <w:rsid w:val="00242CF6"/>
    <w:rsid w:val="00242D39"/>
    <w:rsid w:val="002438D4"/>
    <w:rsid w:val="00243931"/>
    <w:rsid w:val="002439A1"/>
    <w:rsid w:val="00243A78"/>
    <w:rsid w:val="00243BBE"/>
    <w:rsid w:val="00243F0E"/>
    <w:rsid w:val="00244156"/>
    <w:rsid w:val="002441BE"/>
    <w:rsid w:val="0024486A"/>
    <w:rsid w:val="00244919"/>
    <w:rsid w:val="00244FF6"/>
    <w:rsid w:val="00246B1C"/>
    <w:rsid w:val="00246DD9"/>
    <w:rsid w:val="002473EC"/>
    <w:rsid w:val="00247D80"/>
    <w:rsid w:val="002505D8"/>
    <w:rsid w:val="002507F2"/>
    <w:rsid w:val="00250C5F"/>
    <w:rsid w:val="00250C9E"/>
    <w:rsid w:val="002516AD"/>
    <w:rsid w:val="00251784"/>
    <w:rsid w:val="002517A2"/>
    <w:rsid w:val="00251BA7"/>
    <w:rsid w:val="00251E7B"/>
    <w:rsid w:val="00252844"/>
    <w:rsid w:val="00252860"/>
    <w:rsid w:val="002528CC"/>
    <w:rsid w:val="00252B9F"/>
    <w:rsid w:val="00252F05"/>
    <w:rsid w:val="00253CD8"/>
    <w:rsid w:val="0025401D"/>
    <w:rsid w:val="00254046"/>
    <w:rsid w:val="002540FA"/>
    <w:rsid w:val="002544BE"/>
    <w:rsid w:val="0025461F"/>
    <w:rsid w:val="002549A9"/>
    <w:rsid w:val="00255C8E"/>
    <w:rsid w:val="002567EF"/>
    <w:rsid w:val="0025697C"/>
    <w:rsid w:val="00260586"/>
    <w:rsid w:val="0026067E"/>
    <w:rsid w:val="00260905"/>
    <w:rsid w:val="00260CB0"/>
    <w:rsid w:val="00260F57"/>
    <w:rsid w:val="00261358"/>
    <w:rsid w:val="00261387"/>
    <w:rsid w:val="002613B3"/>
    <w:rsid w:val="00261729"/>
    <w:rsid w:val="00261D25"/>
    <w:rsid w:val="0026253E"/>
    <w:rsid w:val="002628DB"/>
    <w:rsid w:val="00262942"/>
    <w:rsid w:val="002630EF"/>
    <w:rsid w:val="0026326B"/>
    <w:rsid w:val="002634AF"/>
    <w:rsid w:val="00263FD7"/>
    <w:rsid w:val="002644C8"/>
    <w:rsid w:val="00264C23"/>
    <w:rsid w:val="00264D09"/>
    <w:rsid w:val="00264E80"/>
    <w:rsid w:val="00264EBD"/>
    <w:rsid w:val="0026510C"/>
    <w:rsid w:val="002652D5"/>
    <w:rsid w:val="00265323"/>
    <w:rsid w:val="00265494"/>
    <w:rsid w:val="00265884"/>
    <w:rsid w:val="002664C0"/>
    <w:rsid w:val="00266A44"/>
    <w:rsid w:val="00266B2C"/>
    <w:rsid w:val="00267180"/>
    <w:rsid w:val="0027183F"/>
    <w:rsid w:val="002719D6"/>
    <w:rsid w:val="00273044"/>
    <w:rsid w:val="0027333E"/>
    <w:rsid w:val="0027351A"/>
    <w:rsid w:val="002735AA"/>
    <w:rsid w:val="0027381A"/>
    <w:rsid w:val="00274402"/>
    <w:rsid w:val="002748B6"/>
    <w:rsid w:val="002752EB"/>
    <w:rsid w:val="002753F4"/>
    <w:rsid w:val="00275602"/>
    <w:rsid w:val="00275CD6"/>
    <w:rsid w:val="00275DBE"/>
    <w:rsid w:val="0027615F"/>
    <w:rsid w:val="00276424"/>
    <w:rsid w:val="0027652D"/>
    <w:rsid w:val="002767D7"/>
    <w:rsid w:val="002768D8"/>
    <w:rsid w:val="00276997"/>
    <w:rsid w:val="00276DA0"/>
    <w:rsid w:val="00277B93"/>
    <w:rsid w:val="00277C7D"/>
    <w:rsid w:val="00277F33"/>
    <w:rsid w:val="0028077D"/>
    <w:rsid w:val="0028097E"/>
    <w:rsid w:val="00280EB0"/>
    <w:rsid w:val="002814A0"/>
    <w:rsid w:val="002816E1"/>
    <w:rsid w:val="00281DD3"/>
    <w:rsid w:val="00281F76"/>
    <w:rsid w:val="00282E30"/>
    <w:rsid w:val="00283710"/>
    <w:rsid w:val="00284215"/>
    <w:rsid w:val="0028443A"/>
    <w:rsid w:val="002846FC"/>
    <w:rsid w:val="0028473D"/>
    <w:rsid w:val="0028488D"/>
    <w:rsid w:val="00284AEE"/>
    <w:rsid w:val="00284C41"/>
    <w:rsid w:val="00285367"/>
    <w:rsid w:val="00285402"/>
    <w:rsid w:val="0028552C"/>
    <w:rsid w:val="002858A4"/>
    <w:rsid w:val="00285C28"/>
    <w:rsid w:val="00285FD5"/>
    <w:rsid w:val="002866FC"/>
    <w:rsid w:val="00286E15"/>
    <w:rsid w:val="002870F8"/>
    <w:rsid w:val="0028781E"/>
    <w:rsid w:val="0028783C"/>
    <w:rsid w:val="00287C4D"/>
    <w:rsid w:val="00287E84"/>
    <w:rsid w:val="00287EAE"/>
    <w:rsid w:val="0029038F"/>
    <w:rsid w:val="002903F9"/>
    <w:rsid w:val="00290E68"/>
    <w:rsid w:val="00290FAB"/>
    <w:rsid w:val="00291373"/>
    <w:rsid w:val="00291377"/>
    <w:rsid w:val="002914F9"/>
    <w:rsid w:val="00291921"/>
    <w:rsid w:val="00291B3C"/>
    <w:rsid w:val="00291DB8"/>
    <w:rsid w:val="00292008"/>
    <w:rsid w:val="002920EB"/>
    <w:rsid w:val="002922EE"/>
    <w:rsid w:val="00292306"/>
    <w:rsid w:val="002925B2"/>
    <w:rsid w:val="00293396"/>
    <w:rsid w:val="0029345E"/>
    <w:rsid w:val="00293BF7"/>
    <w:rsid w:val="00293D04"/>
    <w:rsid w:val="00293F3A"/>
    <w:rsid w:val="002941BC"/>
    <w:rsid w:val="002948FA"/>
    <w:rsid w:val="00294A58"/>
    <w:rsid w:val="00294D40"/>
    <w:rsid w:val="00294D8B"/>
    <w:rsid w:val="00294DA6"/>
    <w:rsid w:val="00295178"/>
    <w:rsid w:val="00295A96"/>
    <w:rsid w:val="00295C59"/>
    <w:rsid w:val="00295DBE"/>
    <w:rsid w:val="0029656E"/>
    <w:rsid w:val="00296C8E"/>
    <w:rsid w:val="00297341"/>
    <w:rsid w:val="002A056E"/>
    <w:rsid w:val="002A0A25"/>
    <w:rsid w:val="002A0B6A"/>
    <w:rsid w:val="002A1103"/>
    <w:rsid w:val="002A1427"/>
    <w:rsid w:val="002A16D5"/>
    <w:rsid w:val="002A196E"/>
    <w:rsid w:val="002A19C5"/>
    <w:rsid w:val="002A1D3B"/>
    <w:rsid w:val="002A2251"/>
    <w:rsid w:val="002A2310"/>
    <w:rsid w:val="002A23C3"/>
    <w:rsid w:val="002A25A4"/>
    <w:rsid w:val="002A2A0E"/>
    <w:rsid w:val="002A3B29"/>
    <w:rsid w:val="002A3BA2"/>
    <w:rsid w:val="002A3C91"/>
    <w:rsid w:val="002A4403"/>
    <w:rsid w:val="002A5524"/>
    <w:rsid w:val="002A610A"/>
    <w:rsid w:val="002A642D"/>
    <w:rsid w:val="002A677F"/>
    <w:rsid w:val="002A685E"/>
    <w:rsid w:val="002A6992"/>
    <w:rsid w:val="002A6A6B"/>
    <w:rsid w:val="002A6AD3"/>
    <w:rsid w:val="002A6B66"/>
    <w:rsid w:val="002A6CE9"/>
    <w:rsid w:val="002A725F"/>
    <w:rsid w:val="002A7DF1"/>
    <w:rsid w:val="002B00FA"/>
    <w:rsid w:val="002B0238"/>
    <w:rsid w:val="002B04A2"/>
    <w:rsid w:val="002B055D"/>
    <w:rsid w:val="002B08D1"/>
    <w:rsid w:val="002B0D00"/>
    <w:rsid w:val="002B10E6"/>
    <w:rsid w:val="002B11EA"/>
    <w:rsid w:val="002B1331"/>
    <w:rsid w:val="002B15CE"/>
    <w:rsid w:val="002B1778"/>
    <w:rsid w:val="002B1797"/>
    <w:rsid w:val="002B1B61"/>
    <w:rsid w:val="002B1BFE"/>
    <w:rsid w:val="002B1C74"/>
    <w:rsid w:val="002B252B"/>
    <w:rsid w:val="002B2551"/>
    <w:rsid w:val="002B2940"/>
    <w:rsid w:val="002B2CAE"/>
    <w:rsid w:val="002B300C"/>
    <w:rsid w:val="002B347B"/>
    <w:rsid w:val="002B36A1"/>
    <w:rsid w:val="002B3DC9"/>
    <w:rsid w:val="002B4429"/>
    <w:rsid w:val="002B4887"/>
    <w:rsid w:val="002B4889"/>
    <w:rsid w:val="002B4E58"/>
    <w:rsid w:val="002B52D5"/>
    <w:rsid w:val="002B5450"/>
    <w:rsid w:val="002B54B1"/>
    <w:rsid w:val="002B587F"/>
    <w:rsid w:val="002B594C"/>
    <w:rsid w:val="002B5A3E"/>
    <w:rsid w:val="002B5D0A"/>
    <w:rsid w:val="002B5EDB"/>
    <w:rsid w:val="002B6695"/>
    <w:rsid w:val="002B689A"/>
    <w:rsid w:val="002B6C1E"/>
    <w:rsid w:val="002B6F57"/>
    <w:rsid w:val="002B711D"/>
    <w:rsid w:val="002B71DB"/>
    <w:rsid w:val="002B7851"/>
    <w:rsid w:val="002B7A9E"/>
    <w:rsid w:val="002C00D6"/>
    <w:rsid w:val="002C050A"/>
    <w:rsid w:val="002C1042"/>
    <w:rsid w:val="002C13B0"/>
    <w:rsid w:val="002C18AF"/>
    <w:rsid w:val="002C279E"/>
    <w:rsid w:val="002C37F6"/>
    <w:rsid w:val="002C432F"/>
    <w:rsid w:val="002C438F"/>
    <w:rsid w:val="002C4581"/>
    <w:rsid w:val="002C464E"/>
    <w:rsid w:val="002C49A1"/>
    <w:rsid w:val="002C4A63"/>
    <w:rsid w:val="002C500B"/>
    <w:rsid w:val="002C520F"/>
    <w:rsid w:val="002C5E6D"/>
    <w:rsid w:val="002C605A"/>
    <w:rsid w:val="002C6330"/>
    <w:rsid w:val="002C657F"/>
    <w:rsid w:val="002C6E6B"/>
    <w:rsid w:val="002C701B"/>
    <w:rsid w:val="002C70DC"/>
    <w:rsid w:val="002C7247"/>
    <w:rsid w:val="002C7464"/>
    <w:rsid w:val="002C7E9F"/>
    <w:rsid w:val="002D012C"/>
    <w:rsid w:val="002D03D5"/>
    <w:rsid w:val="002D0694"/>
    <w:rsid w:val="002D076C"/>
    <w:rsid w:val="002D097F"/>
    <w:rsid w:val="002D0E6F"/>
    <w:rsid w:val="002D126D"/>
    <w:rsid w:val="002D1B49"/>
    <w:rsid w:val="002D21F9"/>
    <w:rsid w:val="002D2CB8"/>
    <w:rsid w:val="002D2E7E"/>
    <w:rsid w:val="002D2EC2"/>
    <w:rsid w:val="002D308D"/>
    <w:rsid w:val="002D33A6"/>
    <w:rsid w:val="002D3472"/>
    <w:rsid w:val="002D349F"/>
    <w:rsid w:val="002D3C82"/>
    <w:rsid w:val="002D408A"/>
    <w:rsid w:val="002D40E3"/>
    <w:rsid w:val="002D467A"/>
    <w:rsid w:val="002D4801"/>
    <w:rsid w:val="002D492C"/>
    <w:rsid w:val="002D4965"/>
    <w:rsid w:val="002D4A59"/>
    <w:rsid w:val="002D4BD0"/>
    <w:rsid w:val="002D4DDC"/>
    <w:rsid w:val="002D4F40"/>
    <w:rsid w:val="002D51D8"/>
    <w:rsid w:val="002D5987"/>
    <w:rsid w:val="002D6847"/>
    <w:rsid w:val="002D6CAE"/>
    <w:rsid w:val="002D752F"/>
    <w:rsid w:val="002D7D7C"/>
    <w:rsid w:val="002E003A"/>
    <w:rsid w:val="002E00C5"/>
    <w:rsid w:val="002E0292"/>
    <w:rsid w:val="002E04C9"/>
    <w:rsid w:val="002E0C86"/>
    <w:rsid w:val="002E0DA4"/>
    <w:rsid w:val="002E120D"/>
    <w:rsid w:val="002E161B"/>
    <w:rsid w:val="002E16F8"/>
    <w:rsid w:val="002E18D9"/>
    <w:rsid w:val="002E1BA9"/>
    <w:rsid w:val="002E1BB9"/>
    <w:rsid w:val="002E1D6A"/>
    <w:rsid w:val="002E30DE"/>
    <w:rsid w:val="002E396E"/>
    <w:rsid w:val="002E4CE4"/>
    <w:rsid w:val="002E54DC"/>
    <w:rsid w:val="002E584D"/>
    <w:rsid w:val="002E5BE6"/>
    <w:rsid w:val="002E5E7C"/>
    <w:rsid w:val="002E5FF5"/>
    <w:rsid w:val="002E626C"/>
    <w:rsid w:val="002E6298"/>
    <w:rsid w:val="002E6519"/>
    <w:rsid w:val="002E6C8D"/>
    <w:rsid w:val="002E73E8"/>
    <w:rsid w:val="002E7BF3"/>
    <w:rsid w:val="002E7CAA"/>
    <w:rsid w:val="002E7D12"/>
    <w:rsid w:val="002F040E"/>
    <w:rsid w:val="002F04FE"/>
    <w:rsid w:val="002F0582"/>
    <w:rsid w:val="002F094F"/>
    <w:rsid w:val="002F0C33"/>
    <w:rsid w:val="002F0D77"/>
    <w:rsid w:val="002F103F"/>
    <w:rsid w:val="002F106F"/>
    <w:rsid w:val="002F10FF"/>
    <w:rsid w:val="002F13FB"/>
    <w:rsid w:val="002F148C"/>
    <w:rsid w:val="002F1583"/>
    <w:rsid w:val="002F17B5"/>
    <w:rsid w:val="002F1B52"/>
    <w:rsid w:val="002F1E33"/>
    <w:rsid w:val="002F2007"/>
    <w:rsid w:val="002F22FC"/>
    <w:rsid w:val="002F2B90"/>
    <w:rsid w:val="002F2C73"/>
    <w:rsid w:val="002F338D"/>
    <w:rsid w:val="002F3892"/>
    <w:rsid w:val="002F3AF4"/>
    <w:rsid w:val="002F4122"/>
    <w:rsid w:val="002F45D3"/>
    <w:rsid w:val="002F49EF"/>
    <w:rsid w:val="002F4B84"/>
    <w:rsid w:val="002F4EF1"/>
    <w:rsid w:val="002F558C"/>
    <w:rsid w:val="002F5A67"/>
    <w:rsid w:val="002F6D01"/>
    <w:rsid w:val="002F6F79"/>
    <w:rsid w:val="002F700F"/>
    <w:rsid w:val="002F7096"/>
    <w:rsid w:val="002F72BD"/>
    <w:rsid w:val="002F7800"/>
    <w:rsid w:val="002F7D3C"/>
    <w:rsid w:val="002F7EAD"/>
    <w:rsid w:val="0030007E"/>
    <w:rsid w:val="0030022E"/>
    <w:rsid w:val="003002E1"/>
    <w:rsid w:val="00300ABB"/>
    <w:rsid w:val="0030121A"/>
    <w:rsid w:val="00301A92"/>
    <w:rsid w:val="00301A96"/>
    <w:rsid w:val="00301B84"/>
    <w:rsid w:val="00301EF9"/>
    <w:rsid w:val="00301F57"/>
    <w:rsid w:val="0030227A"/>
    <w:rsid w:val="00302447"/>
    <w:rsid w:val="00302DA9"/>
    <w:rsid w:val="00302F2F"/>
    <w:rsid w:val="003035B9"/>
    <w:rsid w:val="003037DF"/>
    <w:rsid w:val="003038BA"/>
    <w:rsid w:val="003039E6"/>
    <w:rsid w:val="00303BD8"/>
    <w:rsid w:val="00303DE0"/>
    <w:rsid w:val="003040F9"/>
    <w:rsid w:val="003049A7"/>
    <w:rsid w:val="00304E68"/>
    <w:rsid w:val="00304EDB"/>
    <w:rsid w:val="003056FA"/>
    <w:rsid w:val="0030577F"/>
    <w:rsid w:val="00305A47"/>
    <w:rsid w:val="00305DAC"/>
    <w:rsid w:val="0030601F"/>
    <w:rsid w:val="0030613D"/>
    <w:rsid w:val="00306168"/>
    <w:rsid w:val="003061C1"/>
    <w:rsid w:val="0030621D"/>
    <w:rsid w:val="003067E7"/>
    <w:rsid w:val="00306CC1"/>
    <w:rsid w:val="003071E5"/>
    <w:rsid w:val="003071FC"/>
    <w:rsid w:val="003074E3"/>
    <w:rsid w:val="00307877"/>
    <w:rsid w:val="00307D49"/>
    <w:rsid w:val="00307E0A"/>
    <w:rsid w:val="0031002F"/>
    <w:rsid w:val="003100A4"/>
    <w:rsid w:val="00310284"/>
    <w:rsid w:val="0031062E"/>
    <w:rsid w:val="00310AB1"/>
    <w:rsid w:val="00310C8D"/>
    <w:rsid w:val="00310FB8"/>
    <w:rsid w:val="00310FBC"/>
    <w:rsid w:val="0031189A"/>
    <w:rsid w:val="00311AFB"/>
    <w:rsid w:val="003134C1"/>
    <w:rsid w:val="00313707"/>
    <w:rsid w:val="00313776"/>
    <w:rsid w:val="00313827"/>
    <w:rsid w:val="00313B55"/>
    <w:rsid w:val="0031417D"/>
    <w:rsid w:val="003146F7"/>
    <w:rsid w:val="00314C94"/>
    <w:rsid w:val="00314CCE"/>
    <w:rsid w:val="00314CE8"/>
    <w:rsid w:val="003152C8"/>
    <w:rsid w:val="00315648"/>
    <w:rsid w:val="00315F77"/>
    <w:rsid w:val="003167C7"/>
    <w:rsid w:val="00317092"/>
    <w:rsid w:val="00317590"/>
    <w:rsid w:val="003178B6"/>
    <w:rsid w:val="00317A07"/>
    <w:rsid w:val="00317EDF"/>
    <w:rsid w:val="00317EE0"/>
    <w:rsid w:val="00317FCA"/>
    <w:rsid w:val="0032058C"/>
    <w:rsid w:val="00320851"/>
    <w:rsid w:val="00320AEC"/>
    <w:rsid w:val="00321001"/>
    <w:rsid w:val="003212AD"/>
    <w:rsid w:val="00321555"/>
    <w:rsid w:val="00321FBC"/>
    <w:rsid w:val="003220E3"/>
    <w:rsid w:val="00322283"/>
    <w:rsid w:val="003223DB"/>
    <w:rsid w:val="00322680"/>
    <w:rsid w:val="00322D33"/>
    <w:rsid w:val="003235D1"/>
    <w:rsid w:val="00323622"/>
    <w:rsid w:val="00323F4D"/>
    <w:rsid w:val="003248ED"/>
    <w:rsid w:val="0032515A"/>
    <w:rsid w:val="0032528B"/>
    <w:rsid w:val="003254B9"/>
    <w:rsid w:val="003259DB"/>
    <w:rsid w:val="00326543"/>
    <w:rsid w:val="003276EA"/>
    <w:rsid w:val="00327C3B"/>
    <w:rsid w:val="0033068B"/>
    <w:rsid w:val="0033093E"/>
    <w:rsid w:val="00330A21"/>
    <w:rsid w:val="00330C36"/>
    <w:rsid w:val="00331176"/>
    <w:rsid w:val="0033118F"/>
    <w:rsid w:val="00331B2B"/>
    <w:rsid w:val="00331C13"/>
    <w:rsid w:val="00331FD8"/>
    <w:rsid w:val="0033292A"/>
    <w:rsid w:val="0033297B"/>
    <w:rsid w:val="00332D9F"/>
    <w:rsid w:val="0033332B"/>
    <w:rsid w:val="00333BFB"/>
    <w:rsid w:val="003347F7"/>
    <w:rsid w:val="003348A3"/>
    <w:rsid w:val="003348BA"/>
    <w:rsid w:val="00334902"/>
    <w:rsid w:val="00334C18"/>
    <w:rsid w:val="00334DB9"/>
    <w:rsid w:val="00334DC0"/>
    <w:rsid w:val="0033539C"/>
    <w:rsid w:val="003355C1"/>
    <w:rsid w:val="00335631"/>
    <w:rsid w:val="003360B0"/>
    <w:rsid w:val="0033626D"/>
    <w:rsid w:val="00336938"/>
    <w:rsid w:val="00336F1E"/>
    <w:rsid w:val="00337790"/>
    <w:rsid w:val="003377CD"/>
    <w:rsid w:val="00337D4D"/>
    <w:rsid w:val="00337E31"/>
    <w:rsid w:val="00340506"/>
    <w:rsid w:val="00340543"/>
    <w:rsid w:val="00340622"/>
    <w:rsid w:val="00340659"/>
    <w:rsid w:val="003416C5"/>
    <w:rsid w:val="003419AF"/>
    <w:rsid w:val="00342087"/>
    <w:rsid w:val="00342899"/>
    <w:rsid w:val="0034321E"/>
    <w:rsid w:val="0034382F"/>
    <w:rsid w:val="003438CA"/>
    <w:rsid w:val="00343A60"/>
    <w:rsid w:val="00343F67"/>
    <w:rsid w:val="00344FAF"/>
    <w:rsid w:val="003458D6"/>
    <w:rsid w:val="00345AB4"/>
    <w:rsid w:val="00345B3B"/>
    <w:rsid w:val="00345EBE"/>
    <w:rsid w:val="0034643B"/>
    <w:rsid w:val="00346B13"/>
    <w:rsid w:val="00347266"/>
    <w:rsid w:val="00347614"/>
    <w:rsid w:val="00350C33"/>
    <w:rsid w:val="00351383"/>
    <w:rsid w:val="00352144"/>
    <w:rsid w:val="00352165"/>
    <w:rsid w:val="0035226F"/>
    <w:rsid w:val="0035251A"/>
    <w:rsid w:val="003526FB"/>
    <w:rsid w:val="003529F2"/>
    <w:rsid w:val="00352B55"/>
    <w:rsid w:val="00352F87"/>
    <w:rsid w:val="0035352F"/>
    <w:rsid w:val="00354041"/>
    <w:rsid w:val="00354133"/>
    <w:rsid w:val="003541B7"/>
    <w:rsid w:val="003545AD"/>
    <w:rsid w:val="00354663"/>
    <w:rsid w:val="00354760"/>
    <w:rsid w:val="00354A81"/>
    <w:rsid w:val="00354DE4"/>
    <w:rsid w:val="00354F5A"/>
    <w:rsid w:val="003550B0"/>
    <w:rsid w:val="00355466"/>
    <w:rsid w:val="003556AC"/>
    <w:rsid w:val="00355773"/>
    <w:rsid w:val="00355A76"/>
    <w:rsid w:val="00356082"/>
    <w:rsid w:val="003563B3"/>
    <w:rsid w:val="003564D1"/>
    <w:rsid w:val="00356693"/>
    <w:rsid w:val="00356F60"/>
    <w:rsid w:val="00357AC6"/>
    <w:rsid w:val="00357C89"/>
    <w:rsid w:val="00357E4E"/>
    <w:rsid w:val="00357E73"/>
    <w:rsid w:val="00360282"/>
    <w:rsid w:val="00360508"/>
    <w:rsid w:val="00360766"/>
    <w:rsid w:val="003607AB"/>
    <w:rsid w:val="00360AC2"/>
    <w:rsid w:val="00360E0F"/>
    <w:rsid w:val="00361C8E"/>
    <w:rsid w:val="00362092"/>
    <w:rsid w:val="00362188"/>
    <w:rsid w:val="003621AD"/>
    <w:rsid w:val="00362211"/>
    <w:rsid w:val="0036230D"/>
    <w:rsid w:val="0036262E"/>
    <w:rsid w:val="00362993"/>
    <w:rsid w:val="00362C30"/>
    <w:rsid w:val="00362DE1"/>
    <w:rsid w:val="00362EDB"/>
    <w:rsid w:val="0036300A"/>
    <w:rsid w:val="0036353C"/>
    <w:rsid w:val="00363C13"/>
    <w:rsid w:val="00363DD5"/>
    <w:rsid w:val="0036421E"/>
    <w:rsid w:val="0036434B"/>
    <w:rsid w:val="00364668"/>
    <w:rsid w:val="00364E04"/>
    <w:rsid w:val="00365196"/>
    <w:rsid w:val="003656D1"/>
    <w:rsid w:val="003659E9"/>
    <w:rsid w:val="00365CE6"/>
    <w:rsid w:val="00366433"/>
    <w:rsid w:val="0036670C"/>
    <w:rsid w:val="00366C27"/>
    <w:rsid w:val="00366C3B"/>
    <w:rsid w:val="00367081"/>
    <w:rsid w:val="00367209"/>
    <w:rsid w:val="00367AAE"/>
    <w:rsid w:val="0037016B"/>
    <w:rsid w:val="0037038A"/>
    <w:rsid w:val="00370510"/>
    <w:rsid w:val="00370823"/>
    <w:rsid w:val="00370C6E"/>
    <w:rsid w:val="00370D01"/>
    <w:rsid w:val="00370D0A"/>
    <w:rsid w:val="00370FC8"/>
    <w:rsid w:val="00371063"/>
    <w:rsid w:val="00371BBA"/>
    <w:rsid w:val="003721E4"/>
    <w:rsid w:val="003725C9"/>
    <w:rsid w:val="00372C2C"/>
    <w:rsid w:val="00372E67"/>
    <w:rsid w:val="00373063"/>
    <w:rsid w:val="003730A4"/>
    <w:rsid w:val="00373290"/>
    <w:rsid w:val="003736CA"/>
    <w:rsid w:val="003738CD"/>
    <w:rsid w:val="00373911"/>
    <w:rsid w:val="00373A31"/>
    <w:rsid w:val="00373C38"/>
    <w:rsid w:val="00373FCA"/>
    <w:rsid w:val="00374260"/>
    <w:rsid w:val="0037466D"/>
    <w:rsid w:val="00374ABB"/>
    <w:rsid w:val="00374DEF"/>
    <w:rsid w:val="00374E71"/>
    <w:rsid w:val="003758B4"/>
    <w:rsid w:val="00375C03"/>
    <w:rsid w:val="00375CC6"/>
    <w:rsid w:val="00375D34"/>
    <w:rsid w:val="00376046"/>
    <w:rsid w:val="003764A5"/>
    <w:rsid w:val="00376E69"/>
    <w:rsid w:val="003770B5"/>
    <w:rsid w:val="0037780B"/>
    <w:rsid w:val="0037785F"/>
    <w:rsid w:val="00377B22"/>
    <w:rsid w:val="00377CB4"/>
    <w:rsid w:val="00380052"/>
    <w:rsid w:val="00380537"/>
    <w:rsid w:val="00380A81"/>
    <w:rsid w:val="00380AC4"/>
    <w:rsid w:val="00380B11"/>
    <w:rsid w:val="00380B28"/>
    <w:rsid w:val="00380F81"/>
    <w:rsid w:val="00380FB0"/>
    <w:rsid w:val="003817C0"/>
    <w:rsid w:val="00381A20"/>
    <w:rsid w:val="00381B9B"/>
    <w:rsid w:val="003825B9"/>
    <w:rsid w:val="0038296C"/>
    <w:rsid w:val="00382B5F"/>
    <w:rsid w:val="00382FD3"/>
    <w:rsid w:val="00383485"/>
    <w:rsid w:val="0038350B"/>
    <w:rsid w:val="00383CC3"/>
    <w:rsid w:val="00384272"/>
    <w:rsid w:val="00384A76"/>
    <w:rsid w:val="00384BE9"/>
    <w:rsid w:val="00384C4B"/>
    <w:rsid w:val="00384D75"/>
    <w:rsid w:val="00384D97"/>
    <w:rsid w:val="00385410"/>
    <w:rsid w:val="00385542"/>
    <w:rsid w:val="0038567A"/>
    <w:rsid w:val="00385913"/>
    <w:rsid w:val="003859FB"/>
    <w:rsid w:val="003860B0"/>
    <w:rsid w:val="003862F4"/>
    <w:rsid w:val="0038691F"/>
    <w:rsid w:val="00386C4D"/>
    <w:rsid w:val="00386C79"/>
    <w:rsid w:val="00387503"/>
    <w:rsid w:val="00387520"/>
    <w:rsid w:val="00387719"/>
    <w:rsid w:val="0038793E"/>
    <w:rsid w:val="00390E6C"/>
    <w:rsid w:val="00390F30"/>
    <w:rsid w:val="0039124D"/>
    <w:rsid w:val="0039172E"/>
    <w:rsid w:val="00391DB7"/>
    <w:rsid w:val="00391DF8"/>
    <w:rsid w:val="00392AA1"/>
    <w:rsid w:val="00392E2B"/>
    <w:rsid w:val="0039309E"/>
    <w:rsid w:val="00393C62"/>
    <w:rsid w:val="00393E58"/>
    <w:rsid w:val="00393FFE"/>
    <w:rsid w:val="0039413E"/>
    <w:rsid w:val="003941C9"/>
    <w:rsid w:val="0039427C"/>
    <w:rsid w:val="003944C7"/>
    <w:rsid w:val="00394574"/>
    <w:rsid w:val="003947CF"/>
    <w:rsid w:val="00394B65"/>
    <w:rsid w:val="00395239"/>
    <w:rsid w:val="00395754"/>
    <w:rsid w:val="003957F2"/>
    <w:rsid w:val="00395820"/>
    <w:rsid w:val="00395A7A"/>
    <w:rsid w:val="00395AFE"/>
    <w:rsid w:val="00395EBB"/>
    <w:rsid w:val="00396315"/>
    <w:rsid w:val="003965FE"/>
    <w:rsid w:val="0039683E"/>
    <w:rsid w:val="00396D1A"/>
    <w:rsid w:val="0039712E"/>
    <w:rsid w:val="00397909"/>
    <w:rsid w:val="003979EB"/>
    <w:rsid w:val="003A0B8D"/>
    <w:rsid w:val="003A0C74"/>
    <w:rsid w:val="003A12FD"/>
    <w:rsid w:val="003A13BB"/>
    <w:rsid w:val="003A184C"/>
    <w:rsid w:val="003A24E2"/>
    <w:rsid w:val="003A27B2"/>
    <w:rsid w:val="003A2EF8"/>
    <w:rsid w:val="003A30E9"/>
    <w:rsid w:val="003A31A3"/>
    <w:rsid w:val="003A31C5"/>
    <w:rsid w:val="003A326F"/>
    <w:rsid w:val="003A342A"/>
    <w:rsid w:val="003A3728"/>
    <w:rsid w:val="003A3F6C"/>
    <w:rsid w:val="003A3FB3"/>
    <w:rsid w:val="003A456E"/>
    <w:rsid w:val="003A4B51"/>
    <w:rsid w:val="003A51EC"/>
    <w:rsid w:val="003A5C34"/>
    <w:rsid w:val="003A62DB"/>
    <w:rsid w:val="003A7263"/>
    <w:rsid w:val="003B0075"/>
    <w:rsid w:val="003B0921"/>
    <w:rsid w:val="003B10E5"/>
    <w:rsid w:val="003B1332"/>
    <w:rsid w:val="003B1A25"/>
    <w:rsid w:val="003B1B8A"/>
    <w:rsid w:val="003B1FA4"/>
    <w:rsid w:val="003B212E"/>
    <w:rsid w:val="003B22E9"/>
    <w:rsid w:val="003B2550"/>
    <w:rsid w:val="003B2BD3"/>
    <w:rsid w:val="003B2F84"/>
    <w:rsid w:val="003B3297"/>
    <w:rsid w:val="003B3482"/>
    <w:rsid w:val="003B3A2A"/>
    <w:rsid w:val="003B3F76"/>
    <w:rsid w:val="003B3FCC"/>
    <w:rsid w:val="003B43E0"/>
    <w:rsid w:val="003B4932"/>
    <w:rsid w:val="003B4F2D"/>
    <w:rsid w:val="003B50AB"/>
    <w:rsid w:val="003B5D16"/>
    <w:rsid w:val="003B6B33"/>
    <w:rsid w:val="003B714B"/>
    <w:rsid w:val="003B73F6"/>
    <w:rsid w:val="003B7429"/>
    <w:rsid w:val="003B7549"/>
    <w:rsid w:val="003B7A10"/>
    <w:rsid w:val="003B7E40"/>
    <w:rsid w:val="003C0947"/>
    <w:rsid w:val="003C1D54"/>
    <w:rsid w:val="003C1E1E"/>
    <w:rsid w:val="003C1FC2"/>
    <w:rsid w:val="003C2144"/>
    <w:rsid w:val="003C23EC"/>
    <w:rsid w:val="003C2538"/>
    <w:rsid w:val="003C25D0"/>
    <w:rsid w:val="003C2C07"/>
    <w:rsid w:val="003C35D2"/>
    <w:rsid w:val="003C3B30"/>
    <w:rsid w:val="003C3E6A"/>
    <w:rsid w:val="003C4444"/>
    <w:rsid w:val="003C45E4"/>
    <w:rsid w:val="003C4C77"/>
    <w:rsid w:val="003C4F4F"/>
    <w:rsid w:val="003C500C"/>
    <w:rsid w:val="003C56F2"/>
    <w:rsid w:val="003C59D7"/>
    <w:rsid w:val="003C6704"/>
    <w:rsid w:val="003C6B44"/>
    <w:rsid w:val="003C6FDC"/>
    <w:rsid w:val="003C7C0F"/>
    <w:rsid w:val="003D0421"/>
    <w:rsid w:val="003D06F5"/>
    <w:rsid w:val="003D07A8"/>
    <w:rsid w:val="003D0B98"/>
    <w:rsid w:val="003D0D3F"/>
    <w:rsid w:val="003D0E59"/>
    <w:rsid w:val="003D10EF"/>
    <w:rsid w:val="003D1188"/>
    <w:rsid w:val="003D1AAE"/>
    <w:rsid w:val="003D1D46"/>
    <w:rsid w:val="003D2239"/>
    <w:rsid w:val="003D29D8"/>
    <w:rsid w:val="003D2AE9"/>
    <w:rsid w:val="003D2CED"/>
    <w:rsid w:val="003D30CE"/>
    <w:rsid w:val="003D3941"/>
    <w:rsid w:val="003D3C2D"/>
    <w:rsid w:val="003D3DAA"/>
    <w:rsid w:val="003D40B1"/>
    <w:rsid w:val="003D40D5"/>
    <w:rsid w:val="003D413E"/>
    <w:rsid w:val="003D469A"/>
    <w:rsid w:val="003D4A62"/>
    <w:rsid w:val="003D4D6B"/>
    <w:rsid w:val="003D4E98"/>
    <w:rsid w:val="003D53F7"/>
    <w:rsid w:val="003D5552"/>
    <w:rsid w:val="003D5638"/>
    <w:rsid w:val="003D5BA4"/>
    <w:rsid w:val="003D5EA6"/>
    <w:rsid w:val="003D5F06"/>
    <w:rsid w:val="003D5F60"/>
    <w:rsid w:val="003D63A3"/>
    <w:rsid w:val="003D65F0"/>
    <w:rsid w:val="003D6CBE"/>
    <w:rsid w:val="003D7129"/>
    <w:rsid w:val="003D7200"/>
    <w:rsid w:val="003D72D7"/>
    <w:rsid w:val="003D737F"/>
    <w:rsid w:val="003D747F"/>
    <w:rsid w:val="003D76C9"/>
    <w:rsid w:val="003D7856"/>
    <w:rsid w:val="003D7E78"/>
    <w:rsid w:val="003E0168"/>
    <w:rsid w:val="003E0336"/>
    <w:rsid w:val="003E11EA"/>
    <w:rsid w:val="003E1425"/>
    <w:rsid w:val="003E1557"/>
    <w:rsid w:val="003E1FF9"/>
    <w:rsid w:val="003E214A"/>
    <w:rsid w:val="003E2231"/>
    <w:rsid w:val="003E2273"/>
    <w:rsid w:val="003E255E"/>
    <w:rsid w:val="003E28DA"/>
    <w:rsid w:val="003E2978"/>
    <w:rsid w:val="003E2DFC"/>
    <w:rsid w:val="003E315A"/>
    <w:rsid w:val="003E4093"/>
    <w:rsid w:val="003E4483"/>
    <w:rsid w:val="003E47C2"/>
    <w:rsid w:val="003E48A3"/>
    <w:rsid w:val="003E4DB8"/>
    <w:rsid w:val="003E4E94"/>
    <w:rsid w:val="003E4FFB"/>
    <w:rsid w:val="003E5000"/>
    <w:rsid w:val="003E55E6"/>
    <w:rsid w:val="003E570D"/>
    <w:rsid w:val="003E5A21"/>
    <w:rsid w:val="003E5E53"/>
    <w:rsid w:val="003E610E"/>
    <w:rsid w:val="003E69FC"/>
    <w:rsid w:val="003E6AD5"/>
    <w:rsid w:val="003E6E0C"/>
    <w:rsid w:val="003E6FA9"/>
    <w:rsid w:val="003E6FE4"/>
    <w:rsid w:val="003E702C"/>
    <w:rsid w:val="003E7FE0"/>
    <w:rsid w:val="003F0205"/>
    <w:rsid w:val="003F0370"/>
    <w:rsid w:val="003F08E7"/>
    <w:rsid w:val="003F09AB"/>
    <w:rsid w:val="003F0FF8"/>
    <w:rsid w:val="003F127C"/>
    <w:rsid w:val="003F1327"/>
    <w:rsid w:val="003F1634"/>
    <w:rsid w:val="003F230A"/>
    <w:rsid w:val="003F2490"/>
    <w:rsid w:val="003F2B42"/>
    <w:rsid w:val="003F2FD6"/>
    <w:rsid w:val="003F32C7"/>
    <w:rsid w:val="003F336C"/>
    <w:rsid w:val="003F3900"/>
    <w:rsid w:val="003F396E"/>
    <w:rsid w:val="003F39AE"/>
    <w:rsid w:val="003F3AB1"/>
    <w:rsid w:val="003F3C44"/>
    <w:rsid w:val="003F42EA"/>
    <w:rsid w:val="003F4532"/>
    <w:rsid w:val="003F45D9"/>
    <w:rsid w:val="003F4873"/>
    <w:rsid w:val="003F4A5C"/>
    <w:rsid w:val="003F4A92"/>
    <w:rsid w:val="003F4DC2"/>
    <w:rsid w:val="003F5F8C"/>
    <w:rsid w:val="003F60F6"/>
    <w:rsid w:val="003F6395"/>
    <w:rsid w:val="003F67C1"/>
    <w:rsid w:val="003F6802"/>
    <w:rsid w:val="003F6ADD"/>
    <w:rsid w:val="003F6D9D"/>
    <w:rsid w:val="003F71C5"/>
    <w:rsid w:val="003F7916"/>
    <w:rsid w:val="003F7A52"/>
    <w:rsid w:val="00400AA9"/>
    <w:rsid w:val="00400EE6"/>
    <w:rsid w:val="0040101F"/>
    <w:rsid w:val="004010C2"/>
    <w:rsid w:val="00401857"/>
    <w:rsid w:val="0040192D"/>
    <w:rsid w:val="004026D7"/>
    <w:rsid w:val="00402AC1"/>
    <w:rsid w:val="00403081"/>
    <w:rsid w:val="0040332A"/>
    <w:rsid w:val="00403474"/>
    <w:rsid w:val="00403F22"/>
    <w:rsid w:val="00404092"/>
    <w:rsid w:val="004043BA"/>
    <w:rsid w:val="0040446F"/>
    <w:rsid w:val="00404623"/>
    <w:rsid w:val="00404959"/>
    <w:rsid w:val="00404969"/>
    <w:rsid w:val="00405292"/>
    <w:rsid w:val="00405339"/>
    <w:rsid w:val="004055B8"/>
    <w:rsid w:val="00405671"/>
    <w:rsid w:val="00405E06"/>
    <w:rsid w:val="00405E62"/>
    <w:rsid w:val="004062E5"/>
    <w:rsid w:val="004063BA"/>
    <w:rsid w:val="00406722"/>
    <w:rsid w:val="004068FF"/>
    <w:rsid w:val="00406EAF"/>
    <w:rsid w:val="004070C1"/>
    <w:rsid w:val="0040785C"/>
    <w:rsid w:val="00410202"/>
    <w:rsid w:val="0041110A"/>
    <w:rsid w:val="0041119C"/>
    <w:rsid w:val="004111C5"/>
    <w:rsid w:val="00411502"/>
    <w:rsid w:val="00411D8E"/>
    <w:rsid w:val="00412E0D"/>
    <w:rsid w:val="004130E1"/>
    <w:rsid w:val="00413655"/>
    <w:rsid w:val="00413B24"/>
    <w:rsid w:val="00413D6D"/>
    <w:rsid w:val="00414446"/>
    <w:rsid w:val="00414566"/>
    <w:rsid w:val="004156F9"/>
    <w:rsid w:val="0041589E"/>
    <w:rsid w:val="00415B54"/>
    <w:rsid w:val="00415CEA"/>
    <w:rsid w:val="00415DA6"/>
    <w:rsid w:val="0041624B"/>
    <w:rsid w:val="004165C0"/>
    <w:rsid w:val="004173DA"/>
    <w:rsid w:val="00417E18"/>
    <w:rsid w:val="00420DCF"/>
    <w:rsid w:val="00420FA3"/>
    <w:rsid w:val="00420FD3"/>
    <w:rsid w:val="004211EF"/>
    <w:rsid w:val="00421243"/>
    <w:rsid w:val="00421DF1"/>
    <w:rsid w:val="00421E43"/>
    <w:rsid w:val="00421E47"/>
    <w:rsid w:val="00422712"/>
    <w:rsid w:val="004228CC"/>
    <w:rsid w:val="004229E7"/>
    <w:rsid w:val="004230DA"/>
    <w:rsid w:val="004231AA"/>
    <w:rsid w:val="004231F1"/>
    <w:rsid w:val="004232C9"/>
    <w:rsid w:val="00423BEE"/>
    <w:rsid w:val="004240AD"/>
    <w:rsid w:val="0042472C"/>
    <w:rsid w:val="00424CB4"/>
    <w:rsid w:val="00424D9D"/>
    <w:rsid w:val="00425895"/>
    <w:rsid w:val="0042599E"/>
    <w:rsid w:val="00425C3E"/>
    <w:rsid w:val="00425D44"/>
    <w:rsid w:val="00425F9E"/>
    <w:rsid w:val="00426968"/>
    <w:rsid w:val="00426C96"/>
    <w:rsid w:val="0042708E"/>
    <w:rsid w:val="004273AE"/>
    <w:rsid w:val="004277D4"/>
    <w:rsid w:val="0043071F"/>
    <w:rsid w:val="00430A3C"/>
    <w:rsid w:val="004310EF"/>
    <w:rsid w:val="00431139"/>
    <w:rsid w:val="00431498"/>
    <w:rsid w:val="00431579"/>
    <w:rsid w:val="00431795"/>
    <w:rsid w:val="00431E9B"/>
    <w:rsid w:val="00431F3B"/>
    <w:rsid w:val="0043215A"/>
    <w:rsid w:val="004324F3"/>
    <w:rsid w:val="004326D6"/>
    <w:rsid w:val="0043288A"/>
    <w:rsid w:val="00432E0C"/>
    <w:rsid w:val="00432E4D"/>
    <w:rsid w:val="00433281"/>
    <w:rsid w:val="0043389B"/>
    <w:rsid w:val="00433A05"/>
    <w:rsid w:val="00433A4E"/>
    <w:rsid w:val="00433D24"/>
    <w:rsid w:val="00433ECD"/>
    <w:rsid w:val="004340BA"/>
    <w:rsid w:val="00434127"/>
    <w:rsid w:val="0043415B"/>
    <w:rsid w:val="00434615"/>
    <w:rsid w:val="00434719"/>
    <w:rsid w:val="00434DA2"/>
    <w:rsid w:val="00434DA8"/>
    <w:rsid w:val="0043563E"/>
    <w:rsid w:val="00435B52"/>
    <w:rsid w:val="00435C20"/>
    <w:rsid w:val="00436F8D"/>
    <w:rsid w:val="00437B33"/>
    <w:rsid w:val="00437DF8"/>
    <w:rsid w:val="00440057"/>
    <w:rsid w:val="00440062"/>
    <w:rsid w:val="004400CF"/>
    <w:rsid w:val="00440220"/>
    <w:rsid w:val="0044053D"/>
    <w:rsid w:val="00441316"/>
    <w:rsid w:val="0044146C"/>
    <w:rsid w:val="004419A6"/>
    <w:rsid w:val="00441B95"/>
    <w:rsid w:val="00441C6F"/>
    <w:rsid w:val="00442192"/>
    <w:rsid w:val="004421BE"/>
    <w:rsid w:val="00442289"/>
    <w:rsid w:val="004427F9"/>
    <w:rsid w:val="00442AC3"/>
    <w:rsid w:val="00442EF9"/>
    <w:rsid w:val="00442FB5"/>
    <w:rsid w:val="00442FC0"/>
    <w:rsid w:val="00443A3F"/>
    <w:rsid w:val="0044479E"/>
    <w:rsid w:val="00444B25"/>
    <w:rsid w:val="00444B3E"/>
    <w:rsid w:val="00444C62"/>
    <w:rsid w:val="00444FD7"/>
    <w:rsid w:val="00444FEB"/>
    <w:rsid w:val="0044515D"/>
    <w:rsid w:val="00445A5D"/>
    <w:rsid w:val="00445B14"/>
    <w:rsid w:val="00446546"/>
    <w:rsid w:val="00446632"/>
    <w:rsid w:val="004466E0"/>
    <w:rsid w:val="0044747B"/>
    <w:rsid w:val="004479A6"/>
    <w:rsid w:val="00447C22"/>
    <w:rsid w:val="00447E5D"/>
    <w:rsid w:val="00447F91"/>
    <w:rsid w:val="004500B2"/>
    <w:rsid w:val="00450111"/>
    <w:rsid w:val="0045021B"/>
    <w:rsid w:val="004504FB"/>
    <w:rsid w:val="00450651"/>
    <w:rsid w:val="00450EC3"/>
    <w:rsid w:val="0045100F"/>
    <w:rsid w:val="00451326"/>
    <w:rsid w:val="00451666"/>
    <w:rsid w:val="00451A21"/>
    <w:rsid w:val="00451D2F"/>
    <w:rsid w:val="00451E9F"/>
    <w:rsid w:val="00452523"/>
    <w:rsid w:val="00452889"/>
    <w:rsid w:val="004528CD"/>
    <w:rsid w:val="00453595"/>
    <w:rsid w:val="00453A6E"/>
    <w:rsid w:val="00453FC9"/>
    <w:rsid w:val="004543CD"/>
    <w:rsid w:val="004543D7"/>
    <w:rsid w:val="00454507"/>
    <w:rsid w:val="00454520"/>
    <w:rsid w:val="00454B5C"/>
    <w:rsid w:val="00455109"/>
    <w:rsid w:val="0045532C"/>
    <w:rsid w:val="00455378"/>
    <w:rsid w:val="004554E5"/>
    <w:rsid w:val="00455545"/>
    <w:rsid w:val="0045554E"/>
    <w:rsid w:val="00455D02"/>
    <w:rsid w:val="0045611F"/>
    <w:rsid w:val="004566E6"/>
    <w:rsid w:val="00456A93"/>
    <w:rsid w:val="00456C90"/>
    <w:rsid w:val="00457095"/>
    <w:rsid w:val="0045742A"/>
    <w:rsid w:val="004574CA"/>
    <w:rsid w:val="004575A1"/>
    <w:rsid w:val="004578AC"/>
    <w:rsid w:val="00460005"/>
    <w:rsid w:val="00460321"/>
    <w:rsid w:val="004604A0"/>
    <w:rsid w:val="0046058B"/>
    <w:rsid w:val="00460F88"/>
    <w:rsid w:val="00461197"/>
    <w:rsid w:val="004611C2"/>
    <w:rsid w:val="0046122A"/>
    <w:rsid w:val="00461305"/>
    <w:rsid w:val="004614B7"/>
    <w:rsid w:val="00462924"/>
    <w:rsid w:val="0046298E"/>
    <w:rsid w:val="0046301F"/>
    <w:rsid w:val="004636DA"/>
    <w:rsid w:val="0046379A"/>
    <w:rsid w:val="00463DD3"/>
    <w:rsid w:val="00463F67"/>
    <w:rsid w:val="0046402B"/>
    <w:rsid w:val="004641A2"/>
    <w:rsid w:val="004644C3"/>
    <w:rsid w:val="00464531"/>
    <w:rsid w:val="00464764"/>
    <w:rsid w:val="0046486B"/>
    <w:rsid w:val="00464BC4"/>
    <w:rsid w:val="00464D1A"/>
    <w:rsid w:val="004650F9"/>
    <w:rsid w:val="00465194"/>
    <w:rsid w:val="004653AF"/>
    <w:rsid w:val="0046577A"/>
    <w:rsid w:val="004659A0"/>
    <w:rsid w:val="004659BB"/>
    <w:rsid w:val="00465DFC"/>
    <w:rsid w:val="004662BE"/>
    <w:rsid w:val="004667A4"/>
    <w:rsid w:val="00466A4C"/>
    <w:rsid w:val="00466F16"/>
    <w:rsid w:val="00467468"/>
    <w:rsid w:val="004675AB"/>
    <w:rsid w:val="00467919"/>
    <w:rsid w:val="0046797C"/>
    <w:rsid w:val="00467A5D"/>
    <w:rsid w:val="00467C02"/>
    <w:rsid w:val="00467CCB"/>
    <w:rsid w:val="0047027C"/>
    <w:rsid w:val="004707EA"/>
    <w:rsid w:val="00470AB7"/>
    <w:rsid w:val="00470CA5"/>
    <w:rsid w:val="004712B1"/>
    <w:rsid w:val="00471A93"/>
    <w:rsid w:val="00471D1E"/>
    <w:rsid w:val="00471DDC"/>
    <w:rsid w:val="00472105"/>
    <w:rsid w:val="00472B30"/>
    <w:rsid w:val="00472F6A"/>
    <w:rsid w:val="004734FC"/>
    <w:rsid w:val="004735CA"/>
    <w:rsid w:val="00473C6A"/>
    <w:rsid w:val="0047402B"/>
    <w:rsid w:val="00474110"/>
    <w:rsid w:val="004748CF"/>
    <w:rsid w:val="0047494F"/>
    <w:rsid w:val="004749D3"/>
    <w:rsid w:val="00474B4C"/>
    <w:rsid w:val="00474D71"/>
    <w:rsid w:val="004750D4"/>
    <w:rsid w:val="00475495"/>
    <w:rsid w:val="004754F6"/>
    <w:rsid w:val="00475994"/>
    <w:rsid w:val="00475A73"/>
    <w:rsid w:val="00475D13"/>
    <w:rsid w:val="0047621E"/>
    <w:rsid w:val="00476469"/>
    <w:rsid w:val="00476A0C"/>
    <w:rsid w:val="00476F22"/>
    <w:rsid w:val="00477688"/>
    <w:rsid w:val="004779CA"/>
    <w:rsid w:val="00477A6B"/>
    <w:rsid w:val="00477EAA"/>
    <w:rsid w:val="00477F44"/>
    <w:rsid w:val="0048009F"/>
    <w:rsid w:val="0048054C"/>
    <w:rsid w:val="0048060A"/>
    <w:rsid w:val="0048065E"/>
    <w:rsid w:val="00480692"/>
    <w:rsid w:val="00480EA3"/>
    <w:rsid w:val="00481440"/>
    <w:rsid w:val="00481660"/>
    <w:rsid w:val="00481836"/>
    <w:rsid w:val="00481BA2"/>
    <w:rsid w:val="004822F6"/>
    <w:rsid w:val="00482D78"/>
    <w:rsid w:val="004830AD"/>
    <w:rsid w:val="00483A26"/>
    <w:rsid w:val="004845B2"/>
    <w:rsid w:val="004847DC"/>
    <w:rsid w:val="0048499B"/>
    <w:rsid w:val="004849E6"/>
    <w:rsid w:val="00484AE4"/>
    <w:rsid w:val="00484DB7"/>
    <w:rsid w:val="004850CB"/>
    <w:rsid w:val="004853B5"/>
    <w:rsid w:val="00485530"/>
    <w:rsid w:val="00485923"/>
    <w:rsid w:val="00485D15"/>
    <w:rsid w:val="00485DB1"/>
    <w:rsid w:val="00485E6C"/>
    <w:rsid w:val="004860BF"/>
    <w:rsid w:val="00486213"/>
    <w:rsid w:val="00486272"/>
    <w:rsid w:val="00487425"/>
    <w:rsid w:val="004876B0"/>
    <w:rsid w:val="004876B2"/>
    <w:rsid w:val="00487CA4"/>
    <w:rsid w:val="00487FCB"/>
    <w:rsid w:val="00490349"/>
    <w:rsid w:val="0049044A"/>
    <w:rsid w:val="0049090D"/>
    <w:rsid w:val="00490BC9"/>
    <w:rsid w:val="00490CD9"/>
    <w:rsid w:val="00490E4E"/>
    <w:rsid w:val="004917B4"/>
    <w:rsid w:val="00491986"/>
    <w:rsid w:val="004924F5"/>
    <w:rsid w:val="00492580"/>
    <w:rsid w:val="0049317F"/>
    <w:rsid w:val="004936AB"/>
    <w:rsid w:val="00493AFD"/>
    <w:rsid w:val="004948A6"/>
    <w:rsid w:val="00494E0E"/>
    <w:rsid w:val="00494E98"/>
    <w:rsid w:val="0049512F"/>
    <w:rsid w:val="00495306"/>
    <w:rsid w:val="00495870"/>
    <w:rsid w:val="00495DBE"/>
    <w:rsid w:val="004960C5"/>
    <w:rsid w:val="004962ED"/>
    <w:rsid w:val="0049709A"/>
    <w:rsid w:val="0049735A"/>
    <w:rsid w:val="004973DB"/>
    <w:rsid w:val="004973DF"/>
    <w:rsid w:val="00497584"/>
    <w:rsid w:val="00497B2F"/>
    <w:rsid w:val="004A0015"/>
    <w:rsid w:val="004A0140"/>
    <w:rsid w:val="004A0703"/>
    <w:rsid w:val="004A0890"/>
    <w:rsid w:val="004A099B"/>
    <w:rsid w:val="004A0E06"/>
    <w:rsid w:val="004A0F6D"/>
    <w:rsid w:val="004A0FEC"/>
    <w:rsid w:val="004A1259"/>
    <w:rsid w:val="004A1569"/>
    <w:rsid w:val="004A1775"/>
    <w:rsid w:val="004A1A82"/>
    <w:rsid w:val="004A1C3C"/>
    <w:rsid w:val="004A1CBC"/>
    <w:rsid w:val="004A1F5F"/>
    <w:rsid w:val="004A2338"/>
    <w:rsid w:val="004A2483"/>
    <w:rsid w:val="004A2A24"/>
    <w:rsid w:val="004A30F5"/>
    <w:rsid w:val="004A32FE"/>
    <w:rsid w:val="004A33EF"/>
    <w:rsid w:val="004A344C"/>
    <w:rsid w:val="004A3C30"/>
    <w:rsid w:val="004A3CB9"/>
    <w:rsid w:val="004A405A"/>
    <w:rsid w:val="004A42BF"/>
    <w:rsid w:val="004A4C27"/>
    <w:rsid w:val="004A4D21"/>
    <w:rsid w:val="004A5404"/>
    <w:rsid w:val="004A5452"/>
    <w:rsid w:val="004A557B"/>
    <w:rsid w:val="004A5656"/>
    <w:rsid w:val="004A626F"/>
    <w:rsid w:val="004A639C"/>
    <w:rsid w:val="004A6626"/>
    <w:rsid w:val="004A6D62"/>
    <w:rsid w:val="004A6EEE"/>
    <w:rsid w:val="004A7053"/>
    <w:rsid w:val="004A7659"/>
    <w:rsid w:val="004A787B"/>
    <w:rsid w:val="004A7929"/>
    <w:rsid w:val="004A7A67"/>
    <w:rsid w:val="004A7C2C"/>
    <w:rsid w:val="004B0609"/>
    <w:rsid w:val="004B092E"/>
    <w:rsid w:val="004B0F7D"/>
    <w:rsid w:val="004B111D"/>
    <w:rsid w:val="004B1D11"/>
    <w:rsid w:val="004B20D1"/>
    <w:rsid w:val="004B25E2"/>
    <w:rsid w:val="004B25E8"/>
    <w:rsid w:val="004B2783"/>
    <w:rsid w:val="004B2A56"/>
    <w:rsid w:val="004B2D5F"/>
    <w:rsid w:val="004B2D79"/>
    <w:rsid w:val="004B2E4D"/>
    <w:rsid w:val="004B2F19"/>
    <w:rsid w:val="004B36E7"/>
    <w:rsid w:val="004B438B"/>
    <w:rsid w:val="004B4A8C"/>
    <w:rsid w:val="004B525E"/>
    <w:rsid w:val="004B5623"/>
    <w:rsid w:val="004B585D"/>
    <w:rsid w:val="004B5B1C"/>
    <w:rsid w:val="004B5B5E"/>
    <w:rsid w:val="004B5C60"/>
    <w:rsid w:val="004B606A"/>
    <w:rsid w:val="004B67EA"/>
    <w:rsid w:val="004B6BEE"/>
    <w:rsid w:val="004B6E1F"/>
    <w:rsid w:val="004B7BF4"/>
    <w:rsid w:val="004C0041"/>
    <w:rsid w:val="004C1121"/>
    <w:rsid w:val="004C1619"/>
    <w:rsid w:val="004C182C"/>
    <w:rsid w:val="004C1AF2"/>
    <w:rsid w:val="004C1B3A"/>
    <w:rsid w:val="004C220A"/>
    <w:rsid w:val="004C287D"/>
    <w:rsid w:val="004C2A44"/>
    <w:rsid w:val="004C2B86"/>
    <w:rsid w:val="004C2D59"/>
    <w:rsid w:val="004C3039"/>
    <w:rsid w:val="004C3147"/>
    <w:rsid w:val="004C315F"/>
    <w:rsid w:val="004C376D"/>
    <w:rsid w:val="004C3DC1"/>
    <w:rsid w:val="004C412D"/>
    <w:rsid w:val="004C4576"/>
    <w:rsid w:val="004C4FD1"/>
    <w:rsid w:val="004C657B"/>
    <w:rsid w:val="004C6DF5"/>
    <w:rsid w:val="004C728C"/>
    <w:rsid w:val="004C7B06"/>
    <w:rsid w:val="004D00E2"/>
    <w:rsid w:val="004D0433"/>
    <w:rsid w:val="004D0873"/>
    <w:rsid w:val="004D0C39"/>
    <w:rsid w:val="004D0D46"/>
    <w:rsid w:val="004D14E7"/>
    <w:rsid w:val="004D1B79"/>
    <w:rsid w:val="004D25B8"/>
    <w:rsid w:val="004D26B2"/>
    <w:rsid w:val="004D282A"/>
    <w:rsid w:val="004D28BD"/>
    <w:rsid w:val="004D28EA"/>
    <w:rsid w:val="004D2B1D"/>
    <w:rsid w:val="004D2E45"/>
    <w:rsid w:val="004D38EF"/>
    <w:rsid w:val="004D3D41"/>
    <w:rsid w:val="004D446B"/>
    <w:rsid w:val="004D577D"/>
    <w:rsid w:val="004D5E87"/>
    <w:rsid w:val="004D5F44"/>
    <w:rsid w:val="004D68CC"/>
    <w:rsid w:val="004D747E"/>
    <w:rsid w:val="004D7822"/>
    <w:rsid w:val="004D796E"/>
    <w:rsid w:val="004D7F6E"/>
    <w:rsid w:val="004E0452"/>
    <w:rsid w:val="004E0623"/>
    <w:rsid w:val="004E0B36"/>
    <w:rsid w:val="004E0EB0"/>
    <w:rsid w:val="004E0F65"/>
    <w:rsid w:val="004E101C"/>
    <w:rsid w:val="004E11E3"/>
    <w:rsid w:val="004E1274"/>
    <w:rsid w:val="004E13C6"/>
    <w:rsid w:val="004E14DF"/>
    <w:rsid w:val="004E1533"/>
    <w:rsid w:val="004E1590"/>
    <w:rsid w:val="004E1738"/>
    <w:rsid w:val="004E17EB"/>
    <w:rsid w:val="004E1865"/>
    <w:rsid w:val="004E1B06"/>
    <w:rsid w:val="004E21B6"/>
    <w:rsid w:val="004E266D"/>
    <w:rsid w:val="004E28E3"/>
    <w:rsid w:val="004E2919"/>
    <w:rsid w:val="004E2D83"/>
    <w:rsid w:val="004E330D"/>
    <w:rsid w:val="004E3A1A"/>
    <w:rsid w:val="004E3F25"/>
    <w:rsid w:val="004E4D66"/>
    <w:rsid w:val="004E4F3B"/>
    <w:rsid w:val="004E4FE3"/>
    <w:rsid w:val="004E54D1"/>
    <w:rsid w:val="004E5605"/>
    <w:rsid w:val="004E5A08"/>
    <w:rsid w:val="004E678D"/>
    <w:rsid w:val="004E6B39"/>
    <w:rsid w:val="004E6BFC"/>
    <w:rsid w:val="004E755D"/>
    <w:rsid w:val="004E7588"/>
    <w:rsid w:val="004E7985"/>
    <w:rsid w:val="004E7D2A"/>
    <w:rsid w:val="004F04CF"/>
    <w:rsid w:val="004F094A"/>
    <w:rsid w:val="004F11F0"/>
    <w:rsid w:val="004F16C6"/>
    <w:rsid w:val="004F1988"/>
    <w:rsid w:val="004F1F2E"/>
    <w:rsid w:val="004F204D"/>
    <w:rsid w:val="004F2BDA"/>
    <w:rsid w:val="004F2C21"/>
    <w:rsid w:val="004F2D08"/>
    <w:rsid w:val="004F2DAA"/>
    <w:rsid w:val="004F3470"/>
    <w:rsid w:val="004F37AD"/>
    <w:rsid w:val="004F38B0"/>
    <w:rsid w:val="004F38D0"/>
    <w:rsid w:val="004F392B"/>
    <w:rsid w:val="004F3C0D"/>
    <w:rsid w:val="004F4518"/>
    <w:rsid w:val="004F5BEB"/>
    <w:rsid w:val="004F684D"/>
    <w:rsid w:val="004F6A44"/>
    <w:rsid w:val="004F6A46"/>
    <w:rsid w:val="004F77F0"/>
    <w:rsid w:val="004F7832"/>
    <w:rsid w:val="004F7D70"/>
    <w:rsid w:val="004F7EAA"/>
    <w:rsid w:val="005002DF"/>
    <w:rsid w:val="00500CB1"/>
    <w:rsid w:val="00500F41"/>
    <w:rsid w:val="00501300"/>
    <w:rsid w:val="0050195C"/>
    <w:rsid w:val="00501B87"/>
    <w:rsid w:val="0050244C"/>
    <w:rsid w:val="00502852"/>
    <w:rsid w:val="00502B2D"/>
    <w:rsid w:val="0050354F"/>
    <w:rsid w:val="00503E99"/>
    <w:rsid w:val="005040B1"/>
    <w:rsid w:val="005047B9"/>
    <w:rsid w:val="0050492C"/>
    <w:rsid w:val="00504B0B"/>
    <w:rsid w:val="00506232"/>
    <w:rsid w:val="00506A8E"/>
    <w:rsid w:val="00506B82"/>
    <w:rsid w:val="00506BA1"/>
    <w:rsid w:val="00506D83"/>
    <w:rsid w:val="00506DC0"/>
    <w:rsid w:val="00506F15"/>
    <w:rsid w:val="00507309"/>
    <w:rsid w:val="00507BAD"/>
    <w:rsid w:val="00507C30"/>
    <w:rsid w:val="00507C59"/>
    <w:rsid w:val="005102F7"/>
    <w:rsid w:val="005104AC"/>
    <w:rsid w:val="005105AF"/>
    <w:rsid w:val="00510707"/>
    <w:rsid w:val="00510815"/>
    <w:rsid w:val="00510B5F"/>
    <w:rsid w:val="00510FD7"/>
    <w:rsid w:val="005114A1"/>
    <w:rsid w:val="00511569"/>
    <w:rsid w:val="005119A2"/>
    <w:rsid w:val="00511AA3"/>
    <w:rsid w:val="00511D06"/>
    <w:rsid w:val="0051250D"/>
    <w:rsid w:val="0051256B"/>
    <w:rsid w:val="00512642"/>
    <w:rsid w:val="00512BDE"/>
    <w:rsid w:val="005131CD"/>
    <w:rsid w:val="005134DE"/>
    <w:rsid w:val="00514230"/>
    <w:rsid w:val="00515068"/>
    <w:rsid w:val="00515D79"/>
    <w:rsid w:val="0051626C"/>
    <w:rsid w:val="0051653A"/>
    <w:rsid w:val="00516928"/>
    <w:rsid w:val="00517654"/>
    <w:rsid w:val="00517A01"/>
    <w:rsid w:val="00520ACC"/>
    <w:rsid w:val="00520CE9"/>
    <w:rsid w:val="00520EC4"/>
    <w:rsid w:val="005212B9"/>
    <w:rsid w:val="00521340"/>
    <w:rsid w:val="00521419"/>
    <w:rsid w:val="00521A27"/>
    <w:rsid w:val="00521CF9"/>
    <w:rsid w:val="00521FE2"/>
    <w:rsid w:val="00522138"/>
    <w:rsid w:val="005221A0"/>
    <w:rsid w:val="0052256F"/>
    <w:rsid w:val="0052295B"/>
    <w:rsid w:val="0052314A"/>
    <w:rsid w:val="005235AE"/>
    <w:rsid w:val="00523AF4"/>
    <w:rsid w:val="00524561"/>
    <w:rsid w:val="0052457A"/>
    <w:rsid w:val="0052480C"/>
    <w:rsid w:val="005250F7"/>
    <w:rsid w:val="00525283"/>
    <w:rsid w:val="005252C5"/>
    <w:rsid w:val="00527715"/>
    <w:rsid w:val="00527E88"/>
    <w:rsid w:val="0053000B"/>
    <w:rsid w:val="005300EC"/>
    <w:rsid w:val="00530203"/>
    <w:rsid w:val="00530671"/>
    <w:rsid w:val="005311D1"/>
    <w:rsid w:val="00531A8C"/>
    <w:rsid w:val="00531BB7"/>
    <w:rsid w:val="00531D84"/>
    <w:rsid w:val="00532EEA"/>
    <w:rsid w:val="005331A5"/>
    <w:rsid w:val="00533267"/>
    <w:rsid w:val="00533911"/>
    <w:rsid w:val="00533DA2"/>
    <w:rsid w:val="0053477E"/>
    <w:rsid w:val="005347A0"/>
    <w:rsid w:val="005347DC"/>
    <w:rsid w:val="00534F80"/>
    <w:rsid w:val="00535170"/>
    <w:rsid w:val="005352BB"/>
    <w:rsid w:val="00535A11"/>
    <w:rsid w:val="00535E97"/>
    <w:rsid w:val="0053618D"/>
    <w:rsid w:val="005366E2"/>
    <w:rsid w:val="00536954"/>
    <w:rsid w:val="005369A1"/>
    <w:rsid w:val="00536B47"/>
    <w:rsid w:val="00536BCE"/>
    <w:rsid w:val="00536BD3"/>
    <w:rsid w:val="00536DE9"/>
    <w:rsid w:val="00536FB6"/>
    <w:rsid w:val="005372EC"/>
    <w:rsid w:val="0053771F"/>
    <w:rsid w:val="0054070B"/>
    <w:rsid w:val="00540A7A"/>
    <w:rsid w:val="00540F3C"/>
    <w:rsid w:val="00541128"/>
    <w:rsid w:val="00541387"/>
    <w:rsid w:val="00541816"/>
    <w:rsid w:val="005418CF"/>
    <w:rsid w:val="00541ABD"/>
    <w:rsid w:val="00541ADF"/>
    <w:rsid w:val="00541C0C"/>
    <w:rsid w:val="0054221B"/>
    <w:rsid w:val="00542433"/>
    <w:rsid w:val="00542561"/>
    <w:rsid w:val="00542ECA"/>
    <w:rsid w:val="00543227"/>
    <w:rsid w:val="00543632"/>
    <w:rsid w:val="00543696"/>
    <w:rsid w:val="00543C6E"/>
    <w:rsid w:val="00544AC1"/>
    <w:rsid w:val="00544DB6"/>
    <w:rsid w:val="00544ED8"/>
    <w:rsid w:val="00545A48"/>
    <w:rsid w:val="00545C05"/>
    <w:rsid w:val="0054608A"/>
    <w:rsid w:val="005461C9"/>
    <w:rsid w:val="005462E9"/>
    <w:rsid w:val="0054631C"/>
    <w:rsid w:val="00546F9D"/>
    <w:rsid w:val="00546FB8"/>
    <w:rsid w:val="005470D0"/>
    <w:rsid w:val="00547267"/>
    <w:rsid w:val="005477D2"/>
    <w:rsid w:val="005478FC"/>
    <w:rsid w:val="00550804"/>
    <w:rsid w:val="00550CB8"/>
    <w:rsid w:val="00550E61"/>
    <w:rsid w:val="00551A1F"/>
    <w:rsid w:val="00551B64"/>
    <w:rsid w:val="00551F89"/>
    <w:rsid w:val="00552340"/>
    <w:rsid w:val="005524FA"/>
    <w:rsid w:val="005527DB"/>
    <w:rsid w:val="00552B8C"/>
    <w:rsid w:val="00552E3C"/>
    <w:rsid w:val="00553502"/>
    <w:rsid w:val="005536DB"/>
    <w:rsid w:val="00554091"/>
    <w:rsid w:val="0055482A"/>
    <w:rsid w:val="0055501B"/>
    <w:rsid w:val="00555043"/>
    <w:rsid w:val="00555097"/>
    <w:rsid w:val="0055516F"/>
    <w:rsid w:val="00555308"/>
    <w:rsid w:val="005557BA"/>
    <w:rsid w:val="00555BD4"/>
    <w:rsid w:val="00555C94"/>
    <w:rsid w:val="00555FCD"/>
    <w:rsid w:val="00556507"/>
    <w:rsid w:val="00556B24"/>
    <w:rsid w:val="005571DC"/>
    <w:rsid w:val="0055730A"/>
    <w:rsid w:val="005573C1"/>
    <w:rsid w:val="0055748E"/>
    <w:rsid w:val="005574F9"/>
    <w:rsid w:val="00557DDB"/>
    <w:rsid w:val="00560195"/>
    <w:rsid w:val="00560873"/>
    <w:rsid w:val="00560B28"/>
    <w:rsid w:val="00560CD1"/>
    <w:rsid w:val="0056115F"/>
    <w:rsid w:val="0056124E"/>
    <w:rsid w:val="00561352"/>
    <w:rsid w:val="0056153D"/>
    <w:rsid w:val="00561724"/>
    <w:rsid w:val="00561B3B"/>
    <w:rsid w:val="00561FD9"/>
    <w:rsid w:val="00562045"/>
    <w:rsid w:val="0056209B"/>
    <w:rsid w:val="0056267C"/>
    <w:rsid w:val="005626BD"/>
    <w:rsid w:val="005630A2"/>
    <w:rsid w:val="00563ADF"/>
    <w:rsid w:val="00563D3C"/>
    <w:rsid w:val="00563D56"/>
    <w:rsid w:val="00563D76"/>
    <w:rsid w:val="0056413B"/>
    <w:rsid w:val="00564A34"/>
    <w:rsid w:val="00564E0B"/>
    <w:rsid w:val="00565246"/>
    <w:rsid w:val="00565A10"/>
    <w:rsid w:val="00565C80"/>
    <w:rsid w:val="00565F7A"/>
    <w:rsid w:val="00566820"/>
    <w:rsid w:val="0056685A"/>
    <w:rsid w:val="00566F00"/>
    <w:rsid w:val="00566F48"/>
    <w:rsid w:val="005670C8"/>
    <w:rsid w:val="00567885"/>
    <w:rsid w:val="00567C68"/>
    <w:rsid w:val="00567C8C"/>
    <w:rsid w:val="00567E91"/>
    <w:rsid w:val="0057021E"/>
    <w:rsid w:val="005704CA"/>
    <w:rsid w:val="0057147F"/>
    <w:rsid w:val="00571815"/>
    <w:rsid w:val="005718DE"/>
    <w:rsid w:val="00571A7C"/>
    <w:rsid w:val="00571ACC"/>
    <w:rsid w:val="0057249C"/>
    <w:rsid w:val="00572672"/>
    <w:rsid w:val="005726E0"/>
    <w:rsid w:val="00572794"/>
    <w:rsid w:val="0057295E"/>
    <w:rsid w:val="005734AA"/>
    <w:rsid w:val="005738F6"/>
    <w:rsid w:val="00573912"/>
    <w:rsid w:val="00574333"/>
    <w:rsid w:val="005743BB"/>
    <w:rsid w:val="005744A1"/>
    <w:rsid w:val="00574C6C"/>
    <w:rsid w:val="005755EF"/>
    <w:rsid w:val="00575931"/>
    <w:rsid w:val="00575A6E"/>
    <w:rsid w:val="00575C0D"/>
    <w:rsid w:val="00576449"/>
    <w:rsid w:val="00576853"/>
    <w:rsid w:val="00576B85"/>
    <w:rsid w:val="00576FCD"/>
    <w:rsid w:val="00577003"/>
    <w:rsid w:val="0057752D"/>
    <w:rsid w:val="005775F5"/>
    <w:rsid w:val="005802E8"/>
    <w:rsid w:val="0058037F"/>
    <w:rsid w:val="005804E7"/>
    <w:rsid w:val="00581D29"/>
    <w:rsid w:val="00581E67"/>
    <w:rsid w:val="00581FC6"/>
    <w:rsid w:val="0058202B"/>
    <w:rsid w:val="0058263F"/>
    <w:rsid w:val="005827E5"/>
    <w:rsid w:val="005828EE"/>
    <w:rsid w:val="00582ABB"/>
    <w:rsid w:val="00582CAE"/>
    <w:rsid w:val="00582E7C"/>
    <w:rsid w:val="0058342B"/>
    <w:rsid w:val="0058360C"/>
    <w:rsid w:val="00583A51"/>
    <w:rsid w:val="00583AC5"/>
    <w:rsid w:val="00584684"/>
    <w:rsid w:val="00584955"/>
    <w:rsid w:val="0058515C"/>
    <w:rsid w:val="00585675"/>
    <w:rsid w:val="00585871"/>
    <w:rsid w:val="005858CB"/>
    <w:rsid w:val="005859F3"/>
    <w:rsid w:val="0058627E"/>
    <w:rsid w:val="00586389"/>
    <w:rsid w:val="005865E2"/>
    <w:rsid w:val="00586DC2"/>
    <w:rsid w:val="00586DE5"/>
    <w:rsid w:val="00586EAB"/>
    <w:rsid w:val="005870DD"/>
    <w:rsid w:val="00587844"/>
    <w:rsid w:val="005878C3"/>
    <w:rsid w:val="005904D5"/>
    <w:rsid w:val="00590775"/>
    <w:rsid w:val="00590B18"/>
    <w:rsid w:val="00590BDB"/>
    <w:rsid w:val="005913DF"/>
    <w:rsid w:val="005915D2"/>
    <w:rsid w:val="00591631"/>
    <w:rsid w:val="00591806"/>
    <w:rsid w:val="00591B01"/>
    <w:rsid w:val="00591E32"/>
    <w:rsid w:val="00591F68"/>
    <w:rsid w:val="00592858"/>
    <w:rsid w:val="005930C2"/>
    <w:rsid w:val="0059337D"/>
    <w:rsid w:val="005935FF"/>
    <w:rsid w:val="00593FED"/>
    <w:rsid w:val="005940CB"/>
    <w:rsid w:val="005947DB"/>
    <w:rsid w:val="00594D30"/>
    <w:rsid w:val="00594DA6"/>
    <w:rsid w:val="00595057"/>
    <w:rsid w:val="0059511E"/>
    <w:rsid w:val="00595225"/>
    <w:rsid w:val="005954A7"/>
    <w:rsid w:val="0059564A"/>
    <w:rsid w:val="00595912"/>
    <w:rsid w:val="005963B8"/>
    <w:rsid w:val="00596B02"/>
    <w:rsid w:val="00597363"/>
    <w:rsid w:val="0059798D"/>
    <w:rsid w:val="00597C2B"/>
    <w:rsid w:val="005A0291"/>
    <w:rsid w:val="005A0479"/>
    <w:rsid w:val="005A056D"/>
    <w:rsid w:val="005A096E"/>
    <w:rsid w:val="005A09D5"/>
    <w:rsid w:val="005A0C6B"/>
    <w:rsid w:val="005A15B8"/>
    <w:rsid w:val="005A1644"/>
    <w:rsid w:val="005A182F"/>
    <w:rsid w:val="005A1A5B"/>
    <w:rsid w:val="005A1F8C"/>
    <w:rsid w:val="005A25FD"/>
    <w:rsid w:val="005A2738"/>
    <w:rsid w:val="005A2ACB"/>
    <w:rsid w:val="005A2F53"/>
    <w:rsid w:val="005A314D"/>
    <w:rsid w:val="005A32DD"/>
    <w:rsid w:val="005A3A3C"/>
    <w:rsid w:val="005A3D63"/>
    <w:rsid w:val="005A3E1E"/>
    <w:rsid w:val="005A3E46"/>
    <w:rsid w:val="005A3FF5"/>
    <w:rsid w:val="005A42AB"/>
    <w:rsid w:val="005A4926"/>
    <w:rsid w:val="005A4957"/>
    <w:rsid w:val="005A56E3"/>
    <w:rsid w:val="005A597C"/>
    <w:rsid w:val="005A5F5E"/>
    <w:rsid w:val="005A611F"/>
    <w:rsid w:val="005A6607"/>
    <w:rsid w:val="005A66F2"/>
    <w:rsid w:val="005A6982"/>
    <w:rsid w:val="005A6A54"/>
    <w:rsid w:val="005A7AB1"/>
    <w:rsid w:val="005A7BDA"/>
    <w:rsid w:val="005A7E75"/>
    <w:rsid w:val="005B04AD"/>
    <w:rsid w:val="005B0573"/>
    <w:rsid w:val="005B0833"/>
    <w:rsid w:val="005B0CAC"/>
    <w:rsid w:val="005B1117"/>
    <w:rsid w:val="005B1267"/>
    <w:rsid w:val="005B17A7"/>
    <w:rsid w:val="005B1D61"/>
    <w:rsid w:val="005B2238"/>
    <w:rsid w:val="005B2487"/>
    <w:rsid w:val="005B25A8"/>
    <w:rsid w:val="005B2780"/>
    <w:rsid w:val="005B2956"/>
    <w:rsid w:val="005B29F5"/>
    <w:rsid w:val="005B2AB9"/>
    <w:rsid w:val="005B3011"/>
    <w:rsid w:val="005B339F"/>
    <w:rsid w:val="005B3C27"/>
    <w:rsid w:val="005B4A7D"/>
    <w:rsid w:val="005B4DCC"/>
    <w:rsid w:val="005B5063"/>
    <w:rsid w:val="005B5158"/>
    <w:rsid w:val="005B5520"/>
    <w:rsid w:val="005B5F00"/>
    <w:rsid w:val="005B61A7"/>
    <w:rsid w:val="005B6222"/>
    <w:rsid w:val="005B626B"/>
    <w:rsid w:val="005B668C"/>
    <w:rsid w:val="005B68B6"/>
    <w:rsid w:val="005B69ED"/>
    <w:rsid w:val="005B6BA3"/>
    <w:rsid w:val="005B6BF3"/>
    <w:rsid w:val="005B718A"/>
    <w:rsid w:val="005B73D6"/>
    <w:rsid w:val="005B7B44"/>
    <w:rsid w:val="005B7F59"/>
    <w:rsid w:val="005C0047"/>
    <w:rsid w:val="005C0495"/>
    <w:rsid w:val="005C07BB"/>
    <w:rsid w:val="005C08AA"/>
    <w:rsid w:val="005C0A9C"/>
    <w:rsid w:val="005C1C5B"/>
    <w:rsid w:val="005C22C5"/>
    <w:rsid w:val="005C2619"/>
    <w:rsid w:val="005C2EC8"/>
    <w:rsid w:val="005C3AC8"/>
    <w:rsid w:val="005C43BC"/>
    <w:rsid w:val="005C478E"/>
    <w:rsid w:val="005C494D"/>
    <w:rsid w:val="005C4C84"/>
    <w:rsid w:val="005C5350"/>
    <w:rsid w:val="005C53BC"/>
    <w:rsid w:val="005C53CF"/>
    <w:rsid w:val="005C5738"/>
    <w:rsid w:val="005C5A1B"/>
    <w:rsid w:val="005C6276"/>
    <w:rsid w:val="005C66C7"/>
    <w:rsid w:val="005C6EF6"/>
    <w:rsid w:val="005C70DB"/>
    <w:rsid w:val="005C72B8"/>
    <w:rsid w:val="005C76CA"/>
    <w:rsid w:val="005C76DF"/>
    <w:rsid w:val="005C78B9"/>
    <w:rsid w:val="005C7959"/>
    <w:rsid w:val="005C7A73"/>
    <w:rsid w:val="005C7CB6"/>
    <w:rsid w:val="005D05C0"/>
    <w:rsid w:val="005D0780"/>
    <w:rsid w:val="005D07F2"/>
    <w:rsid w:val="005D0C6A"/>
    <w:rsid w:val="005D123B"/>
    <w:rsid w:val="005D1458"/>
    <w:rsid w:val="005D1672"/>
    <w:rsid w:val="005D1703"/>
    <w:rsid w:val="005D18C4"/>
    <w:rsid w:val="005D1971"/>
    <w:rsid w:val="005D1CD8"/>
    <w:rsid w:val="005D2347"/>
    <w:rsid w:val="005D26F8"/>
    <w:rsid w:val="005D2A02"/>
    <w:rsid w:val="005D2B24"/>
    <w:rsid w:val="005D332D"/>
    <w:rsid w:val="005D350D"/>
    <w:rsid w:val="005D3766"/>
    <w:rsid w:val="005D3E04"/>
    <w:rsid w:val="005D3E3C"/>
    <w:rsid w:val="005D3FDC"/>
    <w:rsid w:val="005D47E7"/>
    <w:rsid w:val="005D4DA3"/>
    <w:rsid w:val="005D5855"/>
    <w:rsid w:val="005D5DD2"/>
    <w:rsid w:val="005D68AB"/>
    <w:rsid w:val="005D697C"/>
    <w:rsid w:val="005D6DF3"/>
    <w:rsid w:val="005D7036"/>
    <w:rsid w:val="005D7041"/>
    <w:rsid w:val="005E00B8"/>
    <w:rsid w:val="005E02FD"/>
    <w:rsid w:val="005E05D7"/>
    <w:rsid w:val="005E07FC"/>
    <w:rsid w:val="005E0AC8"/>
    <w:rsid w:val="005E12BE"/>
    <w:rsid w:val="005E16F3"/>
    <w:rsid w:val="005E2225"/>
    <w:rsid w:val="005E245A"/>
    <w:rsid w:val="005E2960"/>
    <w:rsid w:val="005E2B22"/>
    <w:rsid w:val="005E2CDE"/>
    <w:rsid w:val="005E2E41"/>
    <w:rsid w:val="005E2FFC"/>
    <w:rsid w:val="005E394F"/>
    <w:rsid w:val="005E3B02"/>
    <w:rsid w:val="005E3B94"/>
    <w:rsid w:val="005E3C27"/>
    <w:rsid w:val="005E3C8B"/>
    <w:rsid w:val="005E428D"/>
    <w:rsid w:val="005E4E67"/>
    <w:rsid w:val="005E5749"/>
    <w:rsid w:val="005E584D"/>
    <w:rsid w:val="005E5981"/>
    <w:rsid w:val="005E5E33"/>
    <w:rsid w:val="005E6267"/>
    <w:rsid w:val="005E62B7"/>
    <w:rsid w:val="005E6326"/>
    <w:rsid w:val="005E688F"/>
    <w:rsid w:val="005E71C3"/>
    <w:rsid w:val="005E73D4"/>
    <w:rsid w:val="005E761C"/>
    <w:rsid w:val="005E7A73"/>
    <w:rsid w:val="005E7A76"/>
    <w:rsid w:val="005F0307"/>
    <w:rsid w:val="005F0665"/>
    <w:rsid w:val="005F08F7"/>
    <w:rsid w:val="005F0AF6"/>
    <w:rsid w:val="005F0BC8"/>
    <w:rsid w:val="005F0C38"/>
    <w:rsid w:val="005F0FD6"/>
    <w:rsid w:val="005F1992"/>
    <w:rsid w:val="005F1B71"/>
    <w:rsid w:val="005F2148"/>
    <w:rsid w:val="005F2164"/>
    <w:rsid w:val="005F273A"/>
    <w:rsid w:val="005F2910"/>
    <w:rsid w:val="005F2B71"/>
    <w:rsid w:val="005F2EA6"/>
    <w:rsid w:val="005F3531"/>
    <w:rsid w:val="005F391B"/>
    <w:rsid w:val="005F41A3"/>
    <w:rsid w:val="005F556F"/>
    <w:rsid w:val="005F56F5"/>
    <w:rsid w:val="005F58A2"/>
    <w:rsid w:val="005F5C89"/>
    <w:rsid w:val="005F628D"/>
    <w:rsid w:val="005F6301"/>
    <w:rsid w:val="005F7035"/>
    <w:rsid w:val="005F71CC"/>
    <w:rsid w:val="005F72C7"/>
    <w:rsid w:val="0060020D"/>
    <w:rsid w:val="006006CE"/>
    <w:rsid w:val="00600816"/>
    <w:rsid w:val="00600EF8"/>
    <w:rsid w:val="00601089"/>
    <w:rsid w:val="006010ED"/>
    <w:rsid w:val="006012A1"/>
    <w:rsid w:val="0060136A"/>
    <w:rsid w:val="00601B45"/>
    <w:rsid w:val="00601D9C"/>
    <w:rsid w:val="006025B1"/>
    <w:rsid w:val="00602AEB"/>
    <w:rsid w:val="00602DBD"/>
    <w:rsid w:val="00603115"/>
    <w:rsid w:val="00603300"/>
    <w:rsid w:val="00603446"/>
    <w:rsid w:val="006035CB"/>
    <w:rsid w:val="00603D1C"/>
    <w:rsid w:val="00603D87"/>
    <w:rsid w:val="006048CD"/>
    <w:rsid w:val="006049FC"/>
    <w:rsid w:val="00604AD2"/>
    <w:rsid w:val="00604AFC"/>
    <w:rsid w:val="0060553F"/>
    <w:rsid w:val="006056F2"/>
    <w:rsid w:val="006057F5"/>
    <w:rsid w:val="00605AA1"/>
    <w:rsid w:val="00605D4B"/>
    <w:rsid w:val="00606B19"/>
    <w:rsid w:val="00606DE4"/>
    <w:rsid w:val="0060788C"/>
    <w:rsid w:val="00607C59"/>
    <w:rsid w:val="00607E31"/>
    <w:rsid w:val="0061005E"/>
    <w:rsid w:val="006105A1"/>
    <w:rsid w:val="006107F8"/>
    <w:rsid w:val="00610B42"/>
    <w:rsid w:val="00611068"/>
    <w:rsid w:val="0061109D"/>
    <w:rsid w:val="006117B7"/>
    <w:rsid w:val="00611C26"/>
    <w:rsid w:val="00611F4F"/>
    <w:rsid w:val="006121BB"/>
    <w:rsid w:val="006122A8"/>
    <w:rsid w:val="006127B0"/>
    <w:rsid w:val="006127DC"/>
    <w:rsid w:val="006128AF"/>
    <w:rsid w:val="00612AF9"/>
    <w:rsid w:val="00612C36"/>
    <w:rsid w:val="00612EA4"/>
    <w:rsid w:val="00612F6D"/>
    <w:rsid w:val="00612F83"/>
    <w:rsid w:val="00613551"/>
    <w:rsid w:val="0061397D"/>
    <w:rsid w:val="00613B45"/>
    <w:rsid w:val="006143EF"/>
    <w:rsid w:val="00614501"/>
    <w:rsid w:val="00614781"/>
    <w:rsid w:val="00614F5E"/>
    <w:rsid w:val="0061534C"/>
    <w:rsid w:val="00615ACC"/>
    <w:rsid w:val="00615E2D"/>
    <w:rsid w:val="006160CB"/>
    <w:rsid w:val="0061663C"/>
    <w:rsid w:val="00616B0B"/>
    <w:rsid w:val="00617108"/>
    <w:rsid w:val="006178A1"/>
    <w:rsid w:val="00617A4E"/>
    <w:rsid w:val="00617C96"/>
    <w:rsid w:val="00617D5C"/>
    <w:rsid w:val="006203C0"/>
    <w:rsid w:val="0062053C"/>
    <w:rsid w:val="0062078F"/>
    <w:rsid w:val="00620EFF"/>
    <w:rsid w:val="00620F31"/>
    <w:rsid w:val="006216E1"/>
    <w:rsid w:val="006216EB"/>
    <w:rsid w:val="00621831"/>
    <w:rsid w:val="0062186A"/>
    <w:rsid w:val="00621AB5"/>
    <w:rsid w:val="00622984"/>
    <w:rsid w:val="00622F56"/>
    <w:rsid w:val="00622FE6"/>
    <w:rsid w:val="00623035"/>
    <w:rsid w:val="006235AB"/>
    <w:rsid w:val="00623774"/>
    <w:rsid w:val="00623933"/>
    <w:rsid w:val="00623CE6"/>
    <w:rsid w:val="00624304"/>
    <w:rsid w:val="006243FD"/>
    <w:rsid w:val="0062469F"/>
    <w:rsid w:val="00624A0A"/>
    <w:rsid w:val="0062587D"/>
    <w:rsid w:val="00625BDE"/>
    <w:rsid w:val="00625CA8"/>
    <w:rsid w:val="00626D1D"/>
    <w:rsid w:val="00626D20"/>
    <w:rsid w:val="00626D3D"/>
    <w:rsid w:val="006270D8"/>
    <w:rsid w:val="006276D7"/>
    <w:rsid w:val="00627868"/>
    <w:rsid w:val="00627FDB"/>
    <w:rsid w:val="00630463"/>
    <w:rsid w:val="006307CC"/>
    <w:rsid w:val="00630B27"/>
    <w:rsid w:val="00632450"/>
    <w:rsid w:val="00632639"/>
    <w:rsid w:val="00632753"/>
    <w:rsid w:val="00632BD0"/>
    <w:rsid w:val="00632C04"/>
    <w:rsid w:val="00632C93"/>
    <w:rsid w:val="00632D60"/>
    <w:rsid w:val="00632EF2"/>
    <w:rsid w:val="0063329F"/>
    <w:rsid w:val="00633655"/>
    <w:rsid w:val="0063441C"/>
    <w:rsid w:val="00634583"/>
    <w:rsid w:val="00634E7E"/>
    <w:rsid w:val="00634E9E"/>
    <w:rsid w:val="0063547C"/>
    <w:rsid w:val="00635F92"/>
    <w:rsid w:val="006364AE"/>
    <w:rsid w:val="00636784"/>
    <w:rsid w:val="00636BEB"/>
    <w:rsid w:val="00636CDB"/>
    <w:rsid w:val="00636DBA"/>
    <w:rsid w:val="006373AC"/>
    <w:rsid w:val="006373E0"/>
    <w:rsid w:val="00637504"/>
    <w:rsid w:val="00640610"/>
    <w:rsid w:val="006409A5"/>
    <w:rsid w:val="00641B5A"/>
    <w:rsid w:val="00641D3C"/>
    <w:rsid w:val="006427E0"/>
    <w:rsid w:val="00642A4B"/>
    <w:rsid w:val="00643213"/>
    <w:rsid w:val="006435A3"/>
    <w:rsid w:val="00643D52"/>
    <w:rsid w:val="0064419F"/>
    <w:rsid w:val="006443D5"/>
    <w:rsid w:val="00644675"/>
    <w:rsid w:val="00645069"/>
    <w:rsid w:val="00645978"/>
    <w:rsid w:val="0064618F"/>
    <w:rsid w:val="00646E62"/>
    <w:rsid w:val="00647184"/>
    <w:rsid w:val="006504D9"/>
    <w:rsid w:val="00650AD1"/>
    <w:rsid w:val="00650E64"/>
    <w:rsid w:val="00650F01"/>
    <w:rsid w:val="00651104"/>
    <w:rsid w:val="00651771"/>
    <w:rsid w:val="00651816"/>
    <w:rsid w:val="0065192B"/>
    <w:rsid w:val="00651997"/>
    <w:rsid w:val="00651A7F"/>
    <w:rsid w:val="00651F5F"/>
    <w:rsid w:val="00652454"/>
    <w:rsid w:val="00652CFB"/>
    <w:rsid w:val="006530BA"/>
    <w:rsid w:val="0065334D"/>
    <w:rsid w:val="0065377E"/>
    <w:rsid w:val="00653BAA"/>
    <w:rsid w:val="00653CD8"/>
    <w:rsid w:val="00653E60"/>
    <w:rsid w:val="00654B7B"/>
    <w:rsid w:val="00654DA5"/>
    <w:rsid w:val="00655B5F"/>
    <w:rsid w:val="00655DE1"/>
    <w:rsid w:val="00655E2E"/>
    <w:rsid w:val="006561FA"/>
    <w:rsid w:val="00656348"/>
    <w:rsid w:val="006570EC"/>
    <w:rsid w:val="00657610"/>
    <w:rsid w:val="006576D8"/>
    <w:rsid w:val="00657C57"/>
    <w:rsid w:val="00657D56"/>
    <w:rsid w:val="00660077"/>
    <w:rsid w:val="00660512"/>
    <w:rsid w:val="00660BE5"/>
    <w:rsid w:val="00661024"/>
    <w:rsid w:val="006611F3"/>
    <w:rsid w:val="00661894"/>
    <w:rsid w:val="0066198E"/>
    <w:rsid w:val="00661E92"/>
    <w:rsid w:val="0066203F"/>
    <w:rsid w:val="0066214F"/>
    <w:rsid w:val="0066223B"/>
    <w:rsid w:val="00662549"/>
    <w:rsid w:val="00662715"/>
    <w:rsid w:val="006629A9"/>
    <w:rsid w:val="00662D25"/>
    <w:rsid w:val="006635F1"/>
    <w:rsid w:val="006636F9"/>
    <w:rsid w:val="006637CA"/>
    <w:rsid w:val="00663B6A"/>
    <w:rsid w:val="00663CD4"/>
    <w:rsid w:val="00663F81"/>
    <w:rsid w:val="0066414A"/>
    <w:rsid w:val="006641B2"/>
    <w:rsid w:val="006643FD"/>
    <w:rsid w:val="00664C7F"/>
    <w:rsid w:val="00664D53"/>
    <w:rsid w:val="00664D87"/>
    <w:rsid w:val="0066509C"/>
    <w:rsid w:val="00665403"/>
    <w:rsid w:val="0066576E"/>
    <w:rsid w:val="00665B5B"/>
    <w:rsid w:val="0066620E"/>
    <w:rsid w:val="006662D7"/>
    <w:rsid w:val="006662ED"/>
    <w:rsid w:val="0066667A"/>
    <w:rsid w:val="00666F62"/>
    <w:rsid w:val="00667223"/>
    <w:rsid w:val="006674C9"/>
    <w:rsid w:val="0066764B"/>
    <w:rsid w:val="00667B73"/>
    <w:rsid w:val="00667BA1"/>
    <w:rsid w:val="00667D65"/>
    <w:rsid w:val="00667EEF"/>
    <w:rsid w:val="0067005E"/>
    <w:rsid w:val="006706EF"/>
    <w:rsid w:val="00670C58"/>
    <w:rsid w:val="006712F1"/>
    <w:rsid w:val="00671FB0"/>
    <w:rsid w:val="006720F0"/>
    <w:rsid w:val="006724B9"/>
    <w:rsid w:val="00672A65"/>
    <w:rsid w:val="0067339A"/>
    <w:rsid w:val="00673536"/>
    <w:rsid w:val="006737EA"/>
    <w:rsid w:val="0067394F"/>
    <w:rsid w:val="00673C18"/>
    <w:rsid w:val="00673D7D"/>
    <w:rsid w:val="006742F1"/>
    <w:rsid w:val="00674630"/>
    <w:rsid w:val="0067493A"/>
    <w:rsid w:val="006749DF"/>
    <w:rsid w:val="006751F7"/>
    <w:rsid w:val="0067565D"/>
    <w:rsid w:val="00675696"/>
    <w:rsid w:val="006756A9"/>
    <w:rsid w:val="00675867"/>
    <w:rsid w:val="00675D09"/>
    <w:rsid w:val="0067609B"/>
    <w:rsid w:val="006764CC"/>
    <w:rsid w:val="006767CD"/>
    <w:rsid w:val="00676900"/>
    <w:rsid w:val="006770D9"/>
    <w:rsid w:val="0067728D"/>
    <w:rsid w:val="006775E4"/>
    <w:rsid w:val="0067764C"/>
    <w:rsid w:val="006776DA"/>
    <w:rsid w:val="006778A8"/>
    <w:rsid w:val="00680194"/>
    <w:rsid w:val="0068062D"/>
    <w:rsid w:val="00680B2A"/>
    <w:rsid w:val="00680C63"/>
    <w:rsid w:val="00680CC9"/>
    <w:rsid w:val="00680F75"/>
    <w:rsid w:val="006810DF"/>
    <w:rsid w:val="00681174"/>
    <w:rsid w:val="006817D9"/>
    <w:rsid w:val="006819EC"/>
    <w:rsid w:val="006820EA"/>
    <w:rsid w:val="0068246A"/>
    <w:rsid w:val="00682620"/>
    <w:rsid w:val="00682914"/>
    <w:rsid w:val="00682C61"/>
    <w:rsid w:val="006831A6"/>
    <w:rsid w:val="006833B2"/>
    <w:rsid w:val="006837A6"/>
    <w:rsid w:val="0068386E"/>
    <w:rsid w:val="006838FE"/>
    <w:rsid w:val="00683B65"/>
    <w:rsid w:val="00684591"/>
    <w:rsid w:val="006845F7"/>
    <w:rsid w:val="00684747"/>
    <w:rsid w:val="00684FDF"/>
    <w:rsid w:val="00685457"/>
    <w:rsid w:val="006855D7"/>
    <w:rsid w:val="006857D5"/>
    <w:rsid w:val="00685900"/>
    <w:rsid w:val="006863AC"/>
    <w:rsid w:val="00686797"/>
    <w:rsid w:val="0068689C"/>
    <w:rsid w:val="00686AA4"/>
    <w:rsid w:val="00686FC9"/>
    <w:rsid w:val="006872CE"/>
    <w:rsid w:val="00687482"/>
    <w:rsid w:val="0068774F"/>
    <w:rsid w:val="00687849"/>
    <w:rsid w:val="00687A9A"/>
    <w:rsid w:val="00687F04"/>
    <w:rsid w:val="0069096E"/>
    <w:rsid w:val="0069131A"/>
    <w:rsid w:val="0069159E"/>
    <w:rsid w:val="006916F5"/>
    <w:rsid w:val="006918B4"/>
    <w:rsid w:val="00691A7C"/>
    <w:rsid w:val="00691EDA"/>
    <w:rsid w:val="00692367"/>
    <w:rsid w:val="0069254F"/>
    <w:rsid w:val="00692843"/>
    <w:rsid w:val="00692A61"/>
    <w:rsid w:val="00692C51"/>
    <w:rsid w:val="00692F2B"/>
    <w:rsid w:val="006933AA"/>
    <w:rsid w:val="0069366A"/>
    <w:rsid w:val="00693B5B"/>
    <w:rsid w:val="00694090"/>
    <w:rsid w:val="00694F6D"/>
    <w:rsid w:val="00694FB3"/>
    <w:rsid w:val="00695FF7"/>
    <w:rsid w:val="006965AF"/>
    <w:rsid w:val="00696831"/>
    <w:rsid w:val="006968CB"/>
    <w:rsid w:val="00696F70"/>
    <w:rsid w:val="00697052"/>
    <w:rsid w:val="00697132"/>
    <w:rsid w:val="00697516"/>
    <w:rsid w:val="006978B7"/>
    <w:rsid w:val="006A0B48"/>
    <w:rsid w:val="006A0C74"/>
    <w:rsid w:val="006A127D"/>
    <w:rsid w:val="006A147A"/>
    <w:rsid w:val="006A1D8D"/>
    <w:rsid w:val="006A1E90"/>
    <w:rsid w:val="006A20A8"/>
    <w:rsid w:val="006A21F0"/>
    <w:rsid w:val="006A260F"/>
    <w:rsid w:val="006A27C0"/>
    <w:rsid w:val="006A2C22"/>
    <w:rsid w:val="006A2C8E"/>
    <w:rsid w:val="006A2F54"/>
    <w:rsid w:val="006A36C8"/>
    <w:rsid w:val="006A3836"/>
    <w:rsid w:val="006A3DAE"/>
    <w:rsid w:val="006A4716"/>
    <w:rsid w:val="006A4A56"/>
    <w:rsid w:val="006A4C1E"/>
    <w:rsid w:val="006A4CF1"/>
    <w:rsid w:val="006A4FAF"/>
    <w:rsid w:val="006A51A1"/>
    <w:rsid w:val="006A55A9"/>
    <w:rsid w:val="006A5CD8"/>
    <w:rsid w:val="006A6010"/>
    <w:rsid w:val="006A613E"/>
    <w:rsid w:val="006A61EE"/>
    <w:rsid w:val="006A6417"/>
    <w:rsid w:val="006A6BB0"/>
    <w:rsid w:val="006A73A7"/>
    <w:rsid w:val="006A7C47"/>
    <w:rsid w:val="006A7DE1"/>
    <w:rsid w:val="006B03F3"/>
    <w:rsid w:val="006B0475"/>
    <w:rsid w:val="006B0976"/>
    <w:rsid w:val="006B1255"/>
    <w:rsid w:val="006B18BD"/>
    <w:rsid w:val="006B196B"/>
    <w:rsid w:val="006B22FD"/>
    <w:rsid w:val="006B2927"/>
    <w:rsid w:val="006B2B60"/>
    <w:rsid w:val="006B2D8B"/>
    <w:rsid w:val="006B3744"/>
    <w:rsid w:val="006B399F"/>
    <w:rsid w:val="006B39BA"/>
    <w:rsid w:val="006B40B5"/>
    <w:rsid w:val="006B41A6"/>
    <w:rsid w:val="006B42DE"/>
    <w:rsid w:val="006B4335"/>
    <w:rsid w:val="006B4711"/>
    <w:rsid w:val="006B4898"/>
    <w:rsid w:val="006B4BCF"/>
    <w:rsid w:val="006B5073"/>
    <w:rsid w:val="006B50D8"/>
    <w:rsid w:val="006B5DD5"/>
    <w:rsid w:val="006B6027"/>
    <w:rsid w:val="006B6071"/>
    <w:rsid w:val="006B6836"/>
    <w:rsid w:val="006B6D06"/>
    <w:rsid w:val="006B75FF"/>
    <w:rsid w:val="006B762B"/>
    <w:rsid w:val="006B76ED"/>
    <w:rsid w:val="006B7BE4"/>
    <w:rsid w:val="006C01CE"/>
    <w:rsid w:val="006C0277"/>
    <w:rsid w:val="006C046E"/>
    <w:rsid w:val="006C080E"/>
    <w:rsid w:val="006C1202"/>
    <w:rsid w:val="006C1434"/>
    <w:rsid w:val="006C1839"/>
    <w:rsid w:val="006C1B4A"/>
    <w:rsid w:val="006C1FAA"/>
    <w:rsid w:val="006C2173"/>
    <w:rsid w:val="006C2765"/>
    <w:rsid w:val="006C29F1"/>
    <w:rsid w:val="006C2A55"/>
    <w:rsid w:val="006C2CB1"/>
    <w:rsid w:val="006C3559"/>
    <w:rsid w:val="006C3921"/>
    <w:rsid w:val="006C3B1D"/>
    <w:rsid w:val="006C4067"/>
    <w:rsid w:val="006C4112"/>
    <w:rsid w:val="006C4528"/>
    <w:rsid w:val="006C48F0"/>
    <w:rsid w:val="006C49A2"/>
    <w:rsid w:val="006C49F0"/>
    <w:rsid w:val="006C4A92"/>
    <w:rsid w:val="006C5494"/>
    <w:rsid w:val="006C5687"/>
    <w:rsid w:val="006C56DD"/>
    <w:rsid w:val="006C5869"/>
    <w:rsid w:val="006C5CC1"/>
    <w:rsid w:val="006C5D48"/>
    <w:rsid w:val="006C60F1"/>
    <w:rsid w:val="006C61CF"/>
    <w:rsid w:val="006C68D9"/>
    <w:rsid w:val="006C7198"/>
    <w:rsid w:val="006C74C0"/>
    <w:rsid w:val="006C74C2"/>
    <w:rsid w:val="006C7D46"/>
    <w:rsid w:val="006D00B7"/>
    <w:rsid w:val="006D0401"/>
    <w:rsid w:val="006D0453"/>
    <w:rsid w:val="006D06FD"/>
    <w:rsid w:val="006D07B4"/>
    <w:rsid w:val="006D0C27"/>
    <w:rsid w:val="006D0C32"/>
    <w:rsid w:val="006D0EF3"/>
    <w:rsid w:val="006D0FB7"/>
    <w:rsid w:val="006D111A"/>
    <w:rsid w:val="006D1708"/>
    <w:rsid w:val="006D178D"/>
    <w:rsid w:val="006D1A43"/>
    <w:rsid w:val="006D1CC6"/>
    <w:rsid w:val="006D1EDB"/>
    <w:rsid w:val="006D292A"/>
    <w:rsid w:val="006D29BA"/>
    <w:rsid w:val="006D2A2A"/>
    <w:rsid w:val="006D2B62"/>
    <w:rsid w:val="006D2C49"/>
    <w:rsid w:val="006D2EBA"/>
    <w:rsid w:val="006D2FEB"/>
    <w:rsid w:val="006D30FB"/>
    <w:rsid w:val="006D313B"/>
    <w:rsid w:val="006D3338"/>
    <w:rsid w:val="006D337A"/>
    <w:rsid w:val="006D34D0"/>
    <w:rsid w:val="006D3877"/>
    <w:rsid w:val="006D3A0E"/>
    <w:rsid w:val="006D48BF"/>
    <w:rsid w:val="006D4995"/>
    <w:rsid w:val="006D4CB2"/>
    <w:rsid w:val="006D4F52"/>
    <w:rsid w:val="006D584D"/>
    <w:rsid w:val="006D5C79"/>
    <w:rsid w:val="006D5EE0"/>
    <w:rsid w:val="006D5EFE"/>
    <w:rsid w:val="006D5FE7"/>
    <w:rsid w:val="006D6181"/>
    <w:rsid w:val="006D6622"/>
    <w:rsid w:val="006D68FF"/>
    <w:rsid w:val="006D7148"/>
    <w:rsid w:val="006D78E5"/>
    <w:rsid w:val="006D7F93"/>
    <w:rsid w:val="006E009B"/>
    <w:rsid w:val="006E02FA"/>
    <w:rsid w:val="006E04F7"/>
    <w:rsid w:val="006E05B0"/>
    <w:rsid w:val="006E0742"/>
    <w:rsid w:val="006E089C"/>
    <w:rsid w:val="006E0952"/>
    <w:rsid w:val="006E0BF1"/>
    <w:rsid w:val="006E0C45"/>
    <w:rsid w:val="006E0CB1"/>
    <w:rsid w:val="006E0D97"/>
    <w:rsid w:val="006E0E02"/>
    <w:rsid w:val="006E11DE"/>
    <w:rsid w:val="006E1601"/>
    <w:rsid w:val="006E17B7"/>
    <w:rsid w:val="006E1DE1"/>
    <w:rsid w:val="006E1FE7"/>
    <w:rsid w:val="006E2228"/>
    <w:rsid w:val="006E28C9"/>
    <w:rsid w:val="006E2A3E"/>
    <w:rsid w:val="006E2F7C"/>
    <w:rsid w:val="006E33D2"/>
    <w:rsid w:val="006E3403"/>
    <w:rsid w:val="006E3B4A"/>
    <w:rsid w:val="006E410A"/>
    <w:rsid w:val="006E4EBF"/>
    <w:rsid w:val="006E518E"/>
    <w:rsid w:val="006E5957"/>
    <w:rsid w:val="006E5C2D"/>
    <w:rsid w:val="006E5D9A"/>
    <w:rsid w:val="006E6423"/>
    <w:rsid w:val="006E65C3"/>
    <w:rsid w:val="006E660D"/>
    <w:rsid w:val="006E75DD"/>
    <w:rsid w:val="006F0592"/>
    <w:rsid w:val="006F0612"/>
    <w:rsid w:val="006F06DA"/>
    <w:rsid w:val="006F06E9"/>
    <w:rsid w:val="006F0A7A"/>
    <w:rsid w:val="006F0EE2"/>
    <w:rsid w:val="006F103A"/>
    <w:rsid w:val="006F10FD"/>
    <w:rsid w:val="006F162C"/>
    <w:rsid w:val="006F19C1"/>
    <w:rsid w:val="006F1C20"/>
    <w:rsid w:val="006F1D57"/>
    <w:rsid w:val="006F296F"/>
    <w:rsid w:val="006F2A7F"/>
    <w:rsid w:val="006F2BE5"/>
    <w:rsid w:val="006F2E46"/>
    <w:rsid w:val="006F2E8D"/>
    <w:rsid w:val="006F2F8C"/>
    <w:rsid w:val="006F3067"/>
    <w:rsid w:val="006F30DB"/>
    <w:rsid w:val="006F330A"/>
    <w:rsid w:val="006F342A"/>
    <w:rsid w:val="006F3755"/>
    <w:rsid w:val="006F46DE"/>
    <w:rsid w:val="006F4ED1"/>
    <w:rsid w:val="006F53C0"/>
    <w:rsid w:val="006F5892"/>
    <w:rsid w:val="006F5B97"/>
    <w:rsid w:val="006F5E90"/>
    <w:rsid w:val="006F5FBC"/>
    <w:rsid w:val="006F6289"/>
    <w:rsid w:val="006F6410"/>
    <w:rsid w:val="006F646B"/>
    <w:rsid w:val="006F6590"/>
    <w:rsid w:val="006F6A71"/>
    <w:rsid w:val="006F7236"/>
    <w:rsid w:val="006F784A"/>
    <w:rsid w:val="006F7B02"/>
    <w:rsid w:val="0070051C"/>
    <w:rsid w:val="00700693"/>
    <w:rsid w:val="00701198"/>
    <w:rsid w:val="0070139F"/>
    <w:rsid w:val="00701AFE"/>
    <w:rsid w:val="00702A3B"/>
    <w:rsid w:val="00702AB7"/>
    <w:rsid w:val="00702C02"/>
    <w:rsid w:val="007030CE"/>
    <w:rsid w:val="00703146"/>
    <w:rsid w:val="0070387F"/>
    <w:rsid w:val="00704356"/>
    <w:rsid w:val="007044D3"/>
    <w:rsid w:val="00704E0A"/>
    <w:rsid w:val="00704F33"/>
    <w:rsid w:val="007052CA"/>
    <w:rsid w:val="0070533B"/>
    <w:rsid w:val="0070599F"/>
    <w:rsid w:val="00705A26"/>
    <w:rsid w:val="00705B67"/>
    <w:rsid w:val="00705D69"/>
    <w:rsid w:val="00705E36"/>
    <w:rsid w:val="00706EF5"/>
    <w:rsid w:val="00707055"/>
    <w:rsid w:val="00707082"/>
    <w:rsid w:val="0070724D"/>
    <w:rsid w:val="007072ED"/>
    <w:rsid w:val="00707ADB"/>
    <w:rsid w:val="00707BA3"/>
    <w:rsid w:val="00710297"/>
    <w:rsid w:val="00710437"/>
    <w:rsid w:val="00710566"/>
    <w:rsid w:val="00710C9D"/>
    <w:rsid w:val="00710F26"/>
    <w:rsid w:val="00710F7F"/>
    <w:rsid w:val="007112A0"/>
    <w:rsid w:val="00711AED"/>
    <w:rsid w:val="00711CEB"/>
    <w:rsid w:val="007122AE"/>
    <w:rsid w:val="00712818"/>
    <w:rsid w:val="00712D7E"/>
    <w:rsid w:val="007136C8"/>
    <w:rsid w:val="00713CF8"/>
    <w:rsid w:val="0071433A"/>
    <w:rsid w:val="00714650"/>
    <w:rsid w:val="00714664"/>
    <w:rsid w:val="00714930"/>
    <w:rsid w:val="00714E82"/>
    <w:rsid w:val="007150C2"/>
    <w:rsid w:val="00715230"/>
    <w:rsid w:val="00715B5E"/>
    <w:rsid w:val="00715EA3"/>
    <w:rsid w:val="00715F01"/>
    <w:rsid w:val="0071642B"/>
    <w:rsid w:val="00716494"/>
    <w:rsid w:val="007167D1"/>
    <w:rsid w:val="00716D92"/>
    <w:rsid w:val="00717427"/>
    <w:rsid w:val="00717937"/>
    <w:rsid w:val="00717F73"/>
    <w:rsid w:val="007208AC"/>
    <w:rsid w:val="00720A27"/>
    <w:rsid w:val="00720A49"/>
    <w:rsid w:val="00720CD5"/>
    <w:rsid w:val="00721192"/>
    <w:rsid w:val="00721489"/>
    <w:rsid w:val="00721564"/>
    <w:rsid w:val="00721649"/>
    <w:rsid w:val="007219A3"/>
    <w:rsid w:val="00721A8F"/>
    <w:rsid w:val="00721EF8"/>
    <w:rsid w:val="00722336"/>
    <w:rsid w:val="0072240D"/>
    <w:rsid w:val="0072298D"/>
    <w:rsid w:val="00722A3A"/>
    <w:rsid w:val="00722C6B"/>
    <w:rsid w:val="007232FE"/>
    <w:rsid w:val="0072369E"/>
    <w:rsid w:val="007236BD"/>
    <w:rsid w:val="00724C58"/>
    <w:rsid w:val="007251AF"/>
    <w:rsid w:val="00725328"/>
    <w:rsid w:val="00725842"/>
    <w:rsid w:val="00725CA7"/>
    <w:rsid w:val="00726BC0"/>
    <w:rsid w:val="00726E23"/>
    <w:rsid w:val="007272EF"/>
    <w:rsid w:val="007276E6"/>
    <w:rsid w:val="00727756"/>
    <w:rsid w:val="00727942"/>
    <w:rsid w:val="00730060"/>
    <w:rsid w:val="007303D9"/>
    <w:rsid w:val="00730BA6"/>
    <w:rsid w:val="00731B25"/>
    <w:rsid w:val="00731BA7"/>
    <w:rsid w:val="007321BA"/>
    <w:rsid w:val="00732236"/>
    <w:rsid w:val="00732299"/>
    <w:rsid w:val="00732394"/>
    <w:rsid w:val="007326E4"/>
    <w:rsid w:val="00732F3C"/>
    <w:rsid w:val="0073321A"/>
    <w:rsid w:val="007332CA"/>
    <w:rsid w:val="007336CD"/>
    <w:rsid w:val="0073371A"/>
    <w:rsid w:val="007341A4"/>
    <w:rsid w:val="0073473B"/>
    <w:rsid w:val="00734A1E"/>
    <w:rsid w:val="00734ACE"/>
    <w:rsid w:val="0073518C"/>
    <w:rsid w:val="007351D8"/>
    <w:rsid w:val="00735483"/>
    <w:rsid w:val="00735853"/>
    <w:rsid w:val="00735889"/>
    <w:rsid w:val="007360ED"/>
    <w:rsid w:val="007364FE"/>
    <w:rsid w:val="00737162"/>
    <w:rsid w:val="00737766"/>
    <w:rsid w:val="0073797E"/>
    <w:rsid w:val="00737CF2"/>
    <w:rsid w:val="00737FEF"/>
    <w:rsid w:val="00740169"/>
    <w:rsid w:val="00740AD7"/>
    <w:rsid w:val="0074117C"/>
    <w:rsid w:val="007417A3"/>
    <w:rsid w:val="007417EE"/>
    <w:rsid w:val="00741A33"/>
    <w:rsid w:val="00741A45"/>
    <w:rsid w:val="00741B0D"/>
    <w:rsid w:val="00741DB0"/>
    <w:rsid w:val="007420F4"/>
    <w:rsid w:val="00742115"/>
    <w:rsid w:val="007421E8"/>
    <w:rsid w:val="0074261E"/>
    <w:rsid w:val="00742D78"/>
    <w:rsid w:val="00742FAF"/>
    <w:rsid w:val="007430E3"/>
    <w:rsid w:val="007437F8"/>
    <w:rsid w:val="00743C56"/>
    <w:rsid w:val="00743D7A"/>
    <w:rsid w:val="00743DE5"/>
    <w:rsid w:val="00744269"/>
    <w:rsid w:val="0074439B"/>
    <w:rsid w:val="00744537"/>
    <w:rsid w:val="007447B4"/>
    <w:rsid w:val="00744F98"/>
    <w:rsid w:val="00745AF6"/>
    <w:rsid w:val="00745F57"/>
    <w:rsid w:val="007465DE"/>
    <w:rsid w:val="0074660B"/>
    <w:rsid w:val="00746FAC"/>
    <w:rsid w:val="0074737B"/>
    <w:rsid w:val="007474BA"/>
    <w:rsid w:val="007474E9"/>
    <w:rsid w:val="0074792A"/>
    <w:rsid w:val="0074799E"/>
    <w:rsid w:val="00747B19"/>
    <w:rsid w:val="00747C66"/>
    <w:rsid w:val="0075040F"/>
    <w:rsid w:val="00750882"/>
    <w:rsid w:val="007517F8"/>
    <w:rsid w:val="00751BFF"/>
    <w:rsid w:val="00751CCD"/>
    <w:rsid w:val="007520D4"/>
    <w:rsid w:val="007523C4"/>
    <w:rsid w:val="007525B3"/>
    <w:rsid w:val="0075283C"/>
    <w:rsid w:val="007529A3"/>
    <w:rsid w:val="007529BE"/>
    <w:rsid w:val="0075328F"/>
    <w:rsid w:val="00753A74"/>
    <w:rsid w:val="00753AC3"/>
    <w:rsid w:val="00753B2F"/>
    <w:rsid w:val="00753D6B"/>
    <w:rsid w:val="00753F7C"/>
    <w:rsid w:val="00753FA2"/>
    <w:rsid w:val="00754416"/>
    <w:rsid w:val="00754BCE"/>
    <w:rsid w:val="00754D20"/>
    <w:rsid w:val="00754D59"/>
    <w:rsid w:val="0075512F"/>
    <w:rsid w:val="007552C5"/>
    <w:rsid w:val="0075593F"/>
    <w:rsid w:val="00755CDE"/>
    <w:rsid w:val="007560A0"/>
    <w:rsid w:val="00756253"/>
    <w:rsid w:val="007564CD"/>
    <w:rsid w:val="0075674D"/>
    <w:rsid w:val="00756F3B"/>
    <w:rsid w:val="00756FC0"/>
    <w:rsid w:val="00756FDD"/>
    <w:rsid w:val="00757AD2"/>
    <w:rsid w:val="00757BAB"/>
    <w:rsid w:val="007609CC"/>
    <w:rsid w:val="00760E8F"/>
    <w:rsid w:val="00761040"/>
    <w:rsid w:val="00761AD5"/>
    <w:rsid w:val="00761C2D"/>
    <w:rsid w:val="00761CF1"/>
    <w:rsid w:val="00761F1E"/>
    <w:rsid w:val="00762842"/>
    <w:rsid w:val="00762B60"/>
    <w:rsid w:val="00763469"/>
    <w:rsid w:val="00763577"/>
    <w:rsid w:val="0076399B"/>
    <w:rsid w:val="00763DCB"/>
    <w:rsid w:val="00764371"/>
    <w:rsid w:val="007648F4"/>
    <w:rsid w:val="00764B15"/>
    <w:rsid w:val="00764C63"/>
    <w:rsid w:val="00764F25"/>
    <w:rsid w:val="00765893"/>
    <w:rsid w:val="00765EC9"/>
    <w:rsid w:val="007660A2"/>
    <w:rsid w:val="00766320"/>
    <w:rsid w:val="0076641E"/>
    <w:rsid w:val="00766FC2"/>
    <w:rsid w:val="00767BB0"/>
    <w:rsid w:val="00767BF9"/>
    <w:rsid w:val="00767E1E"/>
    <w:rsid w:val="00767EC8"/>
    <w:rsid w:val="00770311"/>
    <w:rsid w:val="007707FC"/>
    <w:rsid w:val="00770AF8"/>
    <w:rsid w:val="00770B2E"/>
    <w:rsid w:val="00770C3B"/>
    <w:rsid w:val="00770E74"/>
    <w:rsid w:val="007711E9"/>
    <w:rsid w:val="007714CD"/>
    <w:rsid w:val="00771710"/>
    <w:rsid w:val="00771B64"/>
    <w:rsid w:val="00771F3A"/>
    <w:rsid w:val="007720A9"/>
    <w:rsid w:val="00772141"/>
    <w:rsid w:val="007721AB"/>
    <w:rsid w:val="00772335"/>
    <w:rsid w:val="007726C4"/>
    <w:rsid w:val="00772B72"/>
    <w:rsid w:val="00772CF4"/>
    <w:rsid w:val="00772D10"/>
    <w:rsid w:val="00772E0A"/>
    <w:rsid w:val="0077335E"/>
    <w:rsid w:val="007733FB"/>
    <w:rsid w:val="0077368E"/>
    <w:rsid w:val="00774734"/>
    <w:rsid w:val="00774E30"/>
    <w:rsid w:val="007750F7"/>
    <w:rsid w:val="00775492"/>
    <w:rsid w:val="00775BE2"/>
    <w:rsid w:val="00775D46"/>
    <w:rsid w:val="007761E9"/>
    <w:rsid w:val="007764DE"/>
    <w:rsid w:val="00776547"/>
    <w:rsid w:val="00776695"/>
    <w:rsid w:val="00777114"/>
    <w:rsid w:val="00777755"/>
    <w:rsid w:val="00777BAC"/>
    <w:rsid w:val="00780230"/>
    <w:rsid w:val="007802BE"/>
    <w:rsid w:val="00780883"/>
    <w:rsid w:val="00780CB9"/>
    <w:rsid w:val="00780D78"/>
    <w:rsid w:val="00781220"/>
    <w:rsid w:val="00781662"/>
    <w:rsid w:val="007818DD"/>
    <w:rsid w:val="00782310"/>
    <w:rsid w:val="007828DB"/>
    <w:rsid w:val="00782942"/>
    <w:rsid w:val="00782A85"/>
    <w:rsid w:val="00782AA3"/>
    <w:rsid w:val="0078320E"/>
    <w:rsid w:val="00783392"/>
    <w:rsid w:val="00783B2A"/>
    <w:rsid w:val="00784288"/>
    <w:rsid w:val="00784BAA"/>
    <w:rsid w:val="00784E5E"/>
    <w:rsid w:val="00785085"/>
    <w:rsid w:val="007851BF"/>
    <w:rsid w:val="0078551B"/>
    <w:rsid w:val="00785A71"/>
    <w:rsid w:val="00785D9A"/>
    <w:rsid w:val="00786711"/>
    <w:rsid w:val="00786E75"/>
    <w:rsid w:val="0078743C"/>
    <w:rsid w:val="00787A4B"/>
    <w:rsid w:val="00787D58"/>
    <w:rsid w:val="0079012B"/>
    <w:rsid w:val="007902DC"/>
    <w:rsid w:val="00790786"/>
    <w:rsid w:val="00790B79"/>
    <w:rsid w:val="00790CA3"/>
    <w:rsid w:val="00790D37"/>
    <w:rsid w:val="00791960"/>
    <w:rsid w:val="00791B7D"/>
    <w:rsid w:val="00791FC0"/>
    <w:rsid w:val="00792185"/>
    <w:rsid w:val="00792361"/>
    <w:rsid w:val="00792DC5"/>
    <w:rsid w:val="00792FDA"/>
    <w:rsid w:val="007933E6"/>
    <w:rsid w:val="0079343F"/>
    <w:rsid w:val="007941C7"/>
    <w:rsid w:val="00794827"/>
    <w:rsid w:val="00794F0D"/>
    <w:rsid w:val="00794FD7"/>
    <w:rsid w:val="007954CD"/>
    <w:rsid w:val="00795662"/>
    <w:rsid w:val="00795899"/>
    <w:rsid w:val="00795C08"/>
    <w:rsid w:val="00795C1E"/>
    <w:rsid w:val="007961D2"/>
    <w:rsid w:val="00796760"/>
    <w:rsid w:val="00797087"/>
    <w:rsid w:val="0079708F"/>
    <w:rsid w:val="007970DA"/>
    <w:rsid w:val="007977A3"/>
    <w:rsid w:val="00797C32"/>
    <w:rsid w:val="007A014B"/>
    <w:rsid w:val="007A05EE"/>
    <w:rsid w:val="007A0841"/>
    <w:rsid w:val="007A0843"/>
    <w:rsid w:val="007A0BD1"/>
    <w:rsid w:val="007A1294"/>
    <w:rsid w:val="007A1469"/>
    <w:rsid w:val="007A16ED"/>
    <w:rsid w:val="007A2020"/>
    <w:rsid w:val="007A25C8"/>
    <w:rsid w:val="007A29FC"/>
    <w:rsid w:val="007A2A4C"/>
    <w:rsid w:val="007A2ADF"/>
    <w:rsid w:val="007A2C62"/>
    <w:rsid w:val="007A2E5B"/>
    <w:rsid w:val="007A30FB"/>
    <w:rsid w:val="007A3573"/>
    <w:rsid w:val="007A360D"/>
    <w:rsid w:val="007A36D0"/>
    <w:rsid w:val="007A38EE"/>
    <w:rsid w:val="007A3CE6"/>
    <w:rsid w:val="007A469B"/>
    <w:rsid w:val="007A4A91"/>
    <w:rsid w:val="007A4B2F"/>
    <w:rsid w:val="007A4C0C"/>
    <w:rsid w:val="007A5820"/>
    <w:rsid w:val="007A5906"/>
    <w:rsid w:val="007A5BF8"/>
    <w:rsid w:val="007A5E97"/>
    <w:rsid w:val="007A63A8"/>
    <w:rsid w:val="007A6704"/>
    <w:rsid w:val="007A6EDD"/>
    <w:rsid w:val="007A6FB1"/>
    <w:rsid w:val="007A708C"/>
    <w:rsid w:val="007A70F7"/>
    <w:rsid w:val="007A721F"/>
    <w:rsid w:val="007A7262"/>
    <w:rsid w:val="007A73AB"/>
    <w:rsid w:val="007B0349"/>
    <w:rsid w:val="007B04C4"/>
    <w:rsid w:val="007B073A"/>
    <w:rsid w:val="007B0998"/>
    <w:rsid w:val="007B0D32"/>
    <w:rsid w:val="007B0D9C"/>
    <w:rsid w:val="007B17A4"/>
    <w:rsid w:val="007B23B6"/>
    <w:rsid w:val="007B2D0A"/>
    <w:rsid w:val="007B382A"/>
    <w:rsid w:val="007B387A"/>
    <w:rsid w:val="007B3B2F"/>
    <w:rsid w:val="007B3CF1"/>
    <w:rsid w:val="007B48F6"/>
    <w:rsid w:val="007B4C55"/>
    <w:rsid w:val="007B4CFB"/>
    <w:rsid w:val="007B4F42"/>
    <w:rsid w:val="007B5023"/>
    <w:rsid w:val="007B54B7"/>
    <w:rsid w:val="007B574A"/>
    <w:rsid w:val="007B5D8A"/>
    <w:rsid w:val="007B5E07"/>
    <w:rsid w:val="007B6036"/>
    <w:rsid w:val="007B60AC"/>
    <w:rsid w:val="007B647A"/>
    <w:rsid w:val="007B65D9"/>
    <w:rsid w:val="007B69FC"/>
    <w:rsid w:val="007B6ADD"/>
    <w:rsid w:val="007B6B3B"/>
    <w:rsid w:val="007B6BDB"/>
    <w:rsid w:val="007B6D5C"/>
    <w:rsid w:val="007B7227"/>
    <w:rsid w:val="007B730A"/>
    <w:rsid w:val="007B74D5"/>
    <w:rsid w:val="007B75B6"/>
    <w:rsid w:val="007B76F3"/>
    <w:rsid w:val="007B78B6"/>
    <w:rsid w:val="007B7CE2"/>
    <w:rsid w:val="007C0A02"/>
    <w:rsid w:val="007C0B0A"/>
    <w:rsid w:val="007C0C17"/>
    <w:rsid w:val="007C0F45"/>
    <w:rsid w:val="007C177A"/>
    <w:rsid w:val="007C1E34"/>
    <w:rsid w:val="007C23FB"/>
    <w:rsid w:val="007C2678"/>
    <w:rsid w:val="007C27F1"/>
    <w:rsid w:val="007C28AE"/>
    <w:rsid w:val="007C2E1E"/>
    <w:rsid w:val="007C2E58"/>
    <w:rsid w:val="007C3277"/>
    <w:rsid w:val="007C349B"/>
    <w:rsid w:val="007C3612"/>
    <w:rsid w:val="007C36D2"/>
    <w:rsid w:val="007C42B4"/>
    <w:rsid w:val="007C4493"/>
    <w:rsid w:val="007C45B3"/>
    <w:rsid w:val="007C4957"/>
    <w:rsid w:val="007C4ED7"/>
    <w:rsid w:val="007C53E0"/>
    <w:rsid w:val="007C5A55"/>
    <w:rsid w:val="007C5C0E"/>
    <w:rsid w:val="007C5DC2"/>
    <w:rsid w:val="007C5E59"/>
    <w:rsid w:val="007C5EE1"/>
    <w:rsid w:val="007C5F1F"/>
    <w:rsid w:val="007C612B"/>
    <w:rsid w:val="007C719E"/>
    <w:rsid w:val="007C740D"/>
    <w:rsid w:val="007C7412"/>
    <w:rsid w:val="007C755C"/>
    <w:rsid w:val="007C757C"/>
    <w:rsid w:val="007D09AE"/>
    <w:rsid w:val="007D0E05"/>
    <w:rsid w:val="007D118D"/>
    <w:rsid w:val="007D136F"/>
    <w:rsid w:val="007D1403"/>
    <w:rsid w:val="007D2712"/>
    <w:rsid w:val="007D2784"/>
    <w:rsid w:val="007D2B19"/>
    <w:rsid w:val="007D2E64"/>
    <w:rsid w:val="007D3150"/>
    <w:rsid w:val="007D3515"/>
    <w:rsid w:val="007D42BB"/>
    <w:rsid w:val="007D42D4"/>
    <w:rsid w:val="007D46D7"/>
    <w:rsid w:val="007D54F4"/>
    <w:rsid w:val="007D586B"/>
    <w:rsid w:val="007D58D4"/>
    <w:rsid w:val="007D5A6E"/>
    <w:rsid w:val="007D5F8E"/>
    <w:rsid w:val="007D6067"/>
    <w:rsid w:val="007D60E9"/>
    <w:rsid w:val="007D6159"/>
    <w:rsid w:val="007D6832"/>
    <w:rsid w:val="007D6B4C"/>
    <w:rsid w:val="007D6C87"/>
    <w:rsid w:val="007D701D"/>
    <w:rsid w:val="007D7063"/>
    <w:rsid w:val="007D756D"/>
    <w:rsid w:val="007E02F3"/>
    <w:rsid w:val="007E0CBD"/>
    <w:rsid w:val="007E1076"/>
    <w:rsid w:val="007E1103"/>
    <w:rsid w:val="007E1298"/>
    <w:rsid w:val="007E18B9"/>
    <w:rsid w:val="007E1ECF"/>
    <w:rsid w:val="007E2007"/>
    <w:rsid w:val="007E2097"/>
    <w:rsid w:val="007E2517"/>
    <w:rsid w:val="007E263D"/>
    <w:rsid w:val="007E2984"/>
    <w:rsid w:val="007E2A7A"/>
    <w:rsid w:val="007E2C0E"/>
    <w:rsid w:val="007E351E"/>
    <w:rsid w:val="007E3A09"/>
    <w:rsid w:val="007E4118"/>
    <w:rsid w:val="007E4136"/>
    <w:rsid w:val="007E41B7"/>
    <w:rsid w:val="007E487B"/>
    <w:rsid w:val="007E4CC2"/>
    <w:rsid w:val="007E4FD5"/>
    <w:rsid w:val="007E54B6"/>
    <w:rsid w:val="007E5AD9"/>
    <w:rsid w:val="007E603A"/>
    <w:rsid w:val="007E60B9"/>
    <w:rsid w:val="007E6444"/>
    <w:rsid w:val="007E6491"/>
    <w:rsid w:val="007E64D8"/>
    <w:rsid w:val="007E65B9"/>
    <w:rsid w:val="007E6949"/>
    <w:rsid w:val="007E6AB5"/>
    <w:rsid w:val="007E6C82"/>
    <w:rsid w:val="007E6C8A"/>
    <w:rsid w:val="007E7365"/>
    <w:rsid w:val="007E74C1"/>
    <w:rsid w:val="007E7962"/>
    <w:rsid w:val="007E7C24"/>
    <w:rsid w:val="007E7F12"/>
    <w:rsid w:val="007F0C0C"/>
    <w:rsid w:val="007F101A"/>
    <w:rsid w:val="007F10ED"/>
    <w:rsid w:val="007F12E3"/>
    <w:rsid w:val="007F15F4"/>
    <w:rsid w:val="007F17B9"/>
    <w:rsid w:val="007F1B0A"/>
    <w:rsid w:val="007F1EA3"/>
    <w:rsid w:val="007F21B8"/>
    <w:rsid w:val="007F2337"/>
    <w:rsid w:val="007F275D"/>
    <w:rsid w:val="007F2975"/>
    <w:rsid w:val="007F2F0E"/>
    <w:rsid w:val="007F3519"/>
    <w:rsid w:val="007F36DC"/>
    <w:rsid w:val="007F373D"/>
    <w:rsid w:val="007F39B8"/>
    <w:rsid w:val="007F3F7E"/>
    <w:rsid w:val="007F4E39"/>
    <w:rsid w:val="007F58E2"/>
    <w:rsid w:val="007F6024"/>
    <w:rsid w:val="007F6329"/>
    <w:rsid w:val="007F655F"/>
    <w:rsid w:val="007F6A23"/>
    <w:rsid w:val="007F6A7D"/>
    <w:rsid w:val="007F6B52"/>
    <w:rsid w:val="007F6BB2"/>
    <w:rsid w:val="007F6D41"/>
    <w:rsid w:val="007F6E6A"/>
    <w:rsid w:val="007F70E5"/>
    <w:rsid w:val="007F7191"/>
    <w:rsid w:val="007F719C"/>
    <w:rsid w:val="007F7565"/>
    <w:rsid w:val="007F7B58"/>
    <w:rsid w:val="007F7C5A"/>
    <w:rsid w:val="007F7C64"/>
    <w:rsid w:val="007F7CFB"/>
    <w:rsid w:val="007F7E87"/>
    <w:rsid w:val="008002BA"/>
    <w:rsid w:val="00800397"/>
    <w:rsid w:val="0080039D"/>
    <w:rsid w:val="0080047D"/>
    <w:rsid w:val="008004E2"/>
    <w:rsid w:val="00801351"/>
    <w:rsid w:val="008016A8"/>
    <w:rsid w:val="00801C90"/>
    <w:rsid w:val="008022E5"/>
    <w:rsid w:val="008023B7"/>
    <w:rsid w:val="008027C0"/>
    <w:rsid w:val="00802B20"/>
    <w:rsid w:val="00802D29"/>
    <w:rsid w:val="00802E52"/>
    <w:rsid w:val="00803099"/>
    <w:rsid w:val="008033C9"/>
    <w:rsid w:val="00803445"/>
    <w:rsid w:val="00803889"/>
    <w:rsid w:val="0080494E"/>
    <w:rsid w:val="008049CB"/>
    <w:rsid w:val="008049D5"/>
    <w:rsid w:val="00804BC7"/>
    <w:rsid w:val="0080505D"/>
    <w:rsid w:val="00805288"/>
    <w:rsid w:val="00805710"/>
    <w:rsid w:val="0080576C"/>
    <w:rsid w:val="00805A5D"/>
    <w:rsid w:val="00805A7C"/>
    <w:rsid w:val="00805C14"/>
    <w:rsid w:val="00806534"/>
    <w:rsid w:val="008073BA"/>
    <w:rsid w:val="008074BD"/>
    <w:rsid w:val="00807765"/>
    <w:rsid w:val="00807873"/>
    <w:rsid w:val="008079CD"/>
    <w:rsid w:val="00807BAE"/>
    <w:rsid w:val="00807BEF"/>
    <w:rsid w:val="008103D9"/>
    <w:rsid w:val="0081086F"/>
    <w:rsid w:val="00811093"/>
    <w:rsid w:val="008119D4"/>
    <w:rsid w:val="00811EAE"/>
    <w:rsid w:val="00811EE3"/>
    <w:rsid w:val="00812386"/>
    <w:rsid w:val="00812416"/>
    <w:rsid w:val="00812601"/>
    <w:rsid w:val="00812942"/>
    <w:rsid w:val="00813770"/>
    <w:rsid w:val="00813E14"/>
    <w:rsid w:val="008140EB"/>
    <w:rsid w:val="0081415A"/>
    <w:rsid w:val="00814A58"/>
    <w:rsid w:val="00814DDE"/>
    <w:rsid w:val="0081585A"/>
    <w:rsid w:val="00815C64"/>
    <w:rsid w:val="0081627B"/>
    <w:rsid w:val="00816319"/>
    <w:rsid w:val="0081679A"/>
    <w:rsid w:val="008167EB"/>
    <w:rsid w:val="00816A4E"/>
    <w:rsid w:val="008171E6"/>
    <w:rsid w:val="0081720F"/>
    <w:rsid w:val="00817445"/>
    <w:rsid w:val="00817847"/>
    <w:rsid w:val="00817DC5"/>
    <w:rsid w:val="00820246"/>
    <w:rsid w:val="008203CA"/>
    <w:rsid w:val="00820489"/>
    <w:rsid w:val="0082086A"/>
    <w:rsid w:val="008218F7"/>
    <w:rsid w:val="00821D10"/>
    <w:rsid w:val="00821E57"/>
    <w:rsid w:val="00822627"/>
    <w:rsid w:val="00822A4A"/>
    <w:rsid w:val="00822FA2"/>
    <w:rsid w:val="00823100"/>
    <w:rsid w:val="00823102"/>
    <w:rsid w:val="00823138"/>
    <w:rsid w:val="0082313E"/>
    <w:rsid w:val="00823630"/>
    <w:rsid w:val="00823735"/>
    <w:rsid w:val="00823BC2"/>
    <w:rsid w:val="008242A2"/>
    <w:rsid w:val="00824340"/>
    <w:rsid w:val="008243E5"/>
    <w:rsid w:val="00824428"/>
    <w:rsid w:val="00824482"/>
    <w:rsid w:val="0082461B"/>
    <w:rsid w:val="00824826"/>
    <w:rsid w:val="0082493A"/>
    <w:rsid w:val="0082496E"/>
    <w:rsid w:val="00824F6F"/>
    <w:rsid w:val="00824FF2"/>
    <w:rsid w:val="00825238"/>
    <w:rsid w:val="008255B3"/>
    <w:rsid w:val="00825849"/>
    <w:rsid w:val="008258B5"/>
    <w:rsid w:val="008259B3"/>
    <w:rsid w:val="00825D53"/>
    <w:rsid w:val="0082611D"/>
    <w:rsid w:val="008261EF"/>
    <w:rsid w:val="00826B22"/>
    <w:rsid w:val="00827107"/>
    <w:rsid w:val="008274EE"/>
    <w:rsid w:val="00827766"/>
    <w:rsid w:val="008307A1"/>
    <w:rsid w:val="0083090E"/>
    <w:rsid w:val="00830949"/>
    <w:rsid w:val="008309FD"/>
    <w:rsid w:val="00830AA6"/>
    <w:rsid w:val="008312D5"/>
    <w:rsid w:val="0083134A"/>
    <w:rsid w:val="00831386"/>
    <w:rsid w:val="00831487"/>
    <w:rsid w:val="008316C0"/>
    <w:rsid w:val="00832546"/>
    <w:rsid w:val="00832C2B"/>
    <w:rsid w:val="0083386C"/>
    <w:rsid w:val="00833E61"/>
    <w:rsid w:val="00834579"/>
    <w:rsid w:val="00834E20"/>
    <w:rsid w:val="00836505"/>
    <w:rsid w:val="00836E92"/>
    <w:rsid w:val="00836FD7"/>
    <w:rsid w:val="008374B7"/>
    <w:rsid w:val="008374EB"/>
    <w:rsid w:val="00837777"/>
    <w:rsid w:val="00837802"/>
    <w:rsid w:val="00837923"/>
    <w:rsid w:val="00840677"/>
    <w:rsid w:val="00840A4B"/>
    <w:rsid w:val="008418D2"/>
    <w:rsid w:val="00841FDC"/>
    <w:rsid w:val="0084202E"/>
    <w:rsid w:val="0084234F"/>
    <w:rsid w:val="00842B04"/>
    <w:rsid w:val="00843529"/>
    <w:rsid w:val="00843DEA"/>
    <w:rsid w:val="00843EB2"/>
    <w:rsid w:val="00843FF1"/>
    <w:rsid w:val="008445DF"/>
    <w:rsid w:val="00844682"/>
    <w:rsid w:val="0084582F"/>
    <w:rsid w:val="00845889"/>
    <w:rsid w:val="00845EC4"/>
    <w:rsid w:val="0084618E"/>
    <w:rsid w:val="00846CD2"/>
    <w:rsid w:val="008470ED"/>
    <w:rsid w:val="0084722D"/>
    <w:rsid w:val="0084740C"/>
    <w:rsid w:val="0084766D"/>
    <w:rsid w:val="008477D8"/>
    <w:rsid w:val="008477FB"/>
    <w:rsid w:val="00847919"/>
    <w:rsid w:val="00847A60"/>
    <w:rsid w:val="00847AB5"/>
    <w:rsid w:val="00847D95"/>
    <w:rsid w:val="00850140"/>
    <w:rsid w:val="008509AC"/>
    <w:rsid w:val="00850DEC"/>
    <w:rsid w:val="00850FB8"/>
    <w:rsid w:val="00851559"/>
    <w:rsid w:val="00851588"/>
    <w:rsid w:val="00851C2C"/>
    <w:rsid w:val="00851CD6"/>
    <w:rsid w:val="00852180"/>
    <w:rsid w:val="008523AA"/>
    <w:rsid w:val="008525ED"/>
    <w:rsid w:val="00852671"/>
    <w:rsid w:val="00852F80"/>
    <w:rsid w:val="008537E4"/>
    <w:rsid w:val="00853890"/>
    <w:rsid w:val="00853CED"/>
    <w:rsid w:val="0085449D"/>
    <w:rsid w:val="008546E3"/>
    <w:rsid w:val="00854D5E"/>
    <w:rsid w:val="00854E06"/>
    <w:rsid w:val="00855AD2"/>
    <w:rsid w:val="00856597"/>
    <w:rsid w:val="0085667B"/>
    <w:rsid w:val="00856BE9"/>
    <w:rsid w:val="008575B7"/>
    <w:rsid w:val="008577EA"/>
    <w:rsid w:val="00857E14"/>
    <w:rsid w:val="00860375"/>
    <w:rsid w:val="008603E8"/>
    <w:rsid w:val="008608AF"/>
    <w:rsid w:val="00860CBE"/>
    <w:rsid w:val="00860E99"/>
    <w:rsid w:val="0086134F"/>
    <w:rsid w:val="008619EC"/>
    <w:rsid w:val="00861A22"/>
    <w:rsid w:val="00861A5B"/>
    <w:rsid w:val="00862432"/>
    <w:rsid w:val="008624C9"/>
    <w:rsid w:val="00862F5F"/>
    <w:rsid w:val="008632C6"/>
    <w:rsid w:val="00863ADD"/>
    <w:rsid w:val="00863D09"/>
    <w:rsid w:val="00863DB9"/>
    <w:rsid w:val="008641A0"/>
    <w:rsid w:val="008658FA"/>
    <w:rsid w:val="00865967"/>
    <w:rsid w:val="00865FCF"/>
    <w:rsid w:val="00865FE8"/>
    <w:rsid w:val="008663D3"/>
    <w:rsid w:val="00866953"/>
    <w:rsid w:val="00866A32"/>
    <w:rsid w:val="00866A8D"/>
    <w:rsid w:val="00867119"/>
    <w:rsid w:val="008677A0"/>
    <w:rsid w:val="00867B53"/>
    <w:rsid w:val="00867CFE"/>
    <w:rsid w:val="00870123"/>
    <w:rsid w:val="00870466"/>
    <w:rsid w:val="00870F4B"/>
    <w:rsid w:val="00871031"/>
    <w:rsid w:val="0087134E"/>
    <w:rsid w:val="008714AA"/>
    <w:rsid w:val="00871879"/>
    <w:rsid w:val="00871BE5"/>
    <w:rsid w:val="008721DD"/>
    <w:rsid w:val="008724C3"/>
    <w:rsid w:val="00872E47"/>
    <w:rsid w:val="00872ED3"/>
    <w:rsid w:val="00872EE3"/>
    <w:rsid w:val="008730B2"/>
    <w:rsid w:val="008732AD"/>
    <w:rsid w:val="00873904"/>
    <w:rsid w:val="00873A8B"/>
    <w:rsid w:val="00873CFC"/>
    <w:rsid w:val="008743EC"/>
    <w:rsid w:val="00874918"/>
    <w:rsid w:val="00874B16"/>
    <w:rsid w:val="00874D7A"/>
    <w:rsid w:val="00874FC8"/>
    <w:rsid w:val="008754F3"/>
    <w:rsid w:val="008759AE"/>
    <w:rsid w:val="00875A5A"/>
    <w:rsid w:val="0087646D"/>
    <w:rsid w:val="00876E61"/>
    <w:rsid w:val="00876F45"/>
    <w:rsid w:val="0087722F"/>
    <w:rsid w:val="008775C6"/>
    <w:rsid w:val="00877A15"/>
    <w:rsid w:val="00877AF4"/>
    <w:rsid w:val="0088025C"/>
    <w:rsid w:val="008803FD"/>
    <w:rsid w:val="008807A7"/>
    <w:rsid w:val="00880961"/>
    <w:rsid w:val="00880CD5"/>
    <w:rsid w:val="008813A2"/>
    <w:rsid w:val="008818CD"/>
    <w:rsid w:val="00881BF9"/>
    <w:rsid w:val="00881C8F"/>
    <w:rsid w:val="0088263C"/>
    <w:rsid w:val="00882811"/>
    <w:rsid w:val="00883149"/>
    <w:rsid w:val="0088365F"/>
    <w:rsid w:val="0088367B"/>
    <w:rsid w:val="0088372C"/>
    <w:rsid w:val="00883D8F"/>
    <w:rsid w:val="00884859"/>
    <w:rsid w:val="00884913"/>
    <w:rsid w:val="00885953"/>
    <w:rsid w:val="00885967"/>
    <w:rsid w:val="00885B49"/>
    <w:rsid w:val="00885BA3"/>
    <w:rsid w:val="00885C25"/>
    <w:rsid w:val="00885F63"/>
    <w:rsid w:val="0088631B"/>
    <w:rsid w:val="008866B2"/>
    <w:rsid w:val="008869AA"/>
    <w:rsid w:val="00886A51"/>
    <w:rsid w:val="0088701A"/>
    <w:rsid w:val="008873C8"/>
    <w:rsid w:val="0088765E"/>
    <w:rsid w:val="008877A4"/>
    <w:rsid w:val="00890074"/>
    <w:rsid w:val="008906FF"/>
    <w:rsid w:val="0089077E"/>
    <w:rsid w:val="00890944"/>
    <w:rsid w:val="00890AC1"/>
    <w:rsid w:val="00890E3C"/>
    <w:rsid w:val="00891444"/>
    <w:rsid w:val="0089190B"/>
    <w:rsid w:val="00892569"/>
    <w:rsid w:val="00892F00"/>
    <w:rsid w:val="008931EE"/>
    <w:rsid w:val="008932B2"/>
    <w:rsid w:val="00893759"/>
    <w:rsid w:val="008941FD"/>
    <w:rsid w:val="00894482"/>
    <w:rsid w:val="00894A23"/>
    <w:rsid w:val="00894C1D"/>
    <w:rsid w:val="00894CA9"/>
    <w:rsid w:val="008950BD"/>
    <w:rsid w:val="0089570A"/>
    <w:rsid w:val="00895733"/>
    <w:rsid w:val="00895A0A"/>
    <w:rsid w:val="00895B2D"/>
    <w:rsid w:val="00895E8B"/>
    <w:rsid w:val="008963EB"/>
    <w:rsid w:val="00896B90"/>
    <w:rsid w:val="00896E27"/>
    <w:rsid w:val="00896E39"/>
    <w:rsid w:val="00896E96"/>
    <w:rsid w:val="00896EDB"/>
    <w:rsid w:val="00897054"/>
    <w:rsid w:val="008970EE"/>
    <w:rsid w:val="008977C6"/>
    <w:rsid w:val="00897ADB"/>
    <w:rsid w:val="00897D14"/>
    <w:rsid w:val="00897D74"/>
    <w:rsid w:val="008A07DF"/>
    <w:rsid w:val="008A0AE6"/>
    <w:rsid w:val="008A0CF9"/>
    <w:rsid w:val="008A0F74"/>
    <w:rsid w:val="008A0FC1"/>
    <w:rsid w:val="008A103A"/>
    <w:rsid w:val="008A1084"/>
    <w:rsid w:val="008A121B"/>
    <w:rsid w:val="008A184F"/>
    <w:rsid w:val="008A1FF6"/>
    <w:rsid w:val="008A27B7"/>
    <w:rsid w:val="008A29EF"/>
    <w:rsid w:val="008A347B"/>
    <w:rsid w:val="008A3BB8"/>
    <w:rsid w:val="008A3CC7"/>
    <w:rsid w:val="008A4668"/>
    <w:rsid w:val="008A4AB6"/>
    <w:rsid w:val="008A4D64"/>
    <w:rsid w:val="008A4E42"/>
    <w:rsid w:val="008A4EF8"/>
    <w:rsid w:val="008A4F09"/>
    <w:rsid w:val="008A5927"/>
    <w:rsid w:val="008A5A39"/>
    <w:rsid w:val="008A5BB1"/>
    <w:rsid w:val="008A5BE5"/>
    <w:rsid w:val="008A5D08"/>
    <w:rsid w:val="008A61DF"/>
    <w:rsid w:val="008A630A"/>
    <w:rsid w:val="008A6B8A"/>
    <w:rsid w:val="008A6DE1"/>
    <w:rsid w:val="008A6FAD"/>
    <w:rsid w:val="008A70A1"/>
    <w:rsid w:val="008A7427"/>
    <w:rsid w:val="008A7E23"/>
    <w:rsid w:val="008B049A"/>
    <w:rsid w:val="008B04E7"/>
    <w:rsid w:val="008B0B8E"/>
    <w:rsid w:val="008B1479"/>
    <w:rsid w:val="008B1545"/>
    <w:rsid w:val="008B1825"/>
    <w:rsid w:val="008B1924"/>
    <w:rsid w:val="008B1A45"/>
    <w:rsid w:val="008B1CB2"/>
    <w:rsid w:val="008B21A2"/>
    <w:rsid w:val="008B21BE"/>
    <w:rsid w:val="008B30FE"/>
    <w:rsid w:val="008B347E"/>
    <w:rsid w:val="008B34C4"/>
    <w:rsid w:val="008B3CBF"/>
    <w:rsid w:val="008B479C"/>
    <w:rsid w:val="008B48E3"/>
    <w:rsid w:val="008B4E82"/>
    <w:rsid w:val="008B4F3A"/>
    <w:rsid w:val="008B55F6"/>
    <w:rsid w:val="008B6BF0"/>
    <w:rsid w:val="008B6F9B"/>
    <w:rsid w:val="008B734B"/>
    <w:rsid w:val="008B746A"/>
    <w:rsid w:val="008B789C"/>
    <w:rsid w:val="008B797A"/>
    <w:rsid w:val="008C06B8"/>
    <w:rsid w:val="008C0869"/>
    <w:rsid w:val="008C0BD4"/>
    <w:rsid w:val="008C0D77"/>
    <w:rsid w:val="008C0E3B"/>
    <w:rsid w:val="008C12D3"/>
    <w:rsid w:val="008C144C"/>
    <w:rsid w:val="008C16DE"/>
    <w:rsid w:val="008C1E61"/>
    <w:rsid w:val="008C2177"/>
    <w:rsid w:val="008C2273"/>
    <w:rsid w:val="008C2547"/>
    <w:rsid w:val="008C2678"/>
    <w:rsid w:val="008C2827"/>
    <w:rsid w:val="008C2B99"/>
    <w:rsid w:val="008C3098"/>
    <w:rsid w:val="008C31B1"/>
    <w:rsid w:val="008C34C1"/>
    <w:rsid w:val="008C37BB"/>
    <w:rsid w:val="008C37F4"/>
    <w:rsid w:val="008C4690"/>
    <w:rsid w:val="008C5107"/>
    <w:rsid w:val="008C5502"/>
    <w:rsid w:val="008C578F"/>
    <w:rsid w:val="008C5897"/>
    <w:rsid w:val="008C5C4B"/>
    <w:rsid w:val="008C69BC"/>
    <w:rsid w:val="008C73D4"/>
    <w:rsid w:val="008C747E"/>
    <w:rsid w:val="008C74BE"/>
    <w:rsid w:val="008C752D"/>
    <w:rsid w:val="008C76BB"/>
    <w:rsid w:val="008C7C77"/>
    <w:rsid w:val="008D0675"/>
    <w:rsid w:val="008D0725"/>
    <w:rsid w:val="008D0765"/>
    <w:rsid w:val="008D0849"/>
    <w:rsid w:val="008D086F"/>
    <w:rsid w:val="008D0A83"/>
    <w:rsid w:val="008D0D70"/>
    <w:rsid w:val="008D15B5"/>
    <w:rsid w:val="008D1B0C"/>
    <w:rsid w:val="008D1CC4"/>
    <w:rsid w:val="008D2149"/>
    <w:rsid w:val="008D26C7"/>
    <w:rsid w:val="008D274A"/>
    <w:rsid w:val="008D2A61"/>
    <w:rsid w:val="008D2E19"/>
    <w:rsid w:val="008D2F56"/>
    <w:rsid w:val="008D44DC"/>
    <w:rsid w:val="008D4A75"/>
    <w:rsid w:val="008D4AB4"/>
    <w:rsid w:val="008D54F4"/>
    <w:rsid w:val="008D58E3"/>
    <w:rsid w:val="008D59EC"/>
    <w:rsid w:val="008D6298"/>
    <w:rsid w:val="008D62C7"/>
    <w:rsid w:val="008D6BEA"/>
    <w:rsid w:val="008D6C30"/>
    <w:rsid w:val="008D71A2"/>
    <w:rsid w:val="008D78B7"/>
    <w:rsid w:val="008D7F10"/>
    <w:rsid w:val="008D7F97"/>
    <w:rsid w:val="008E021F"/>
    <w:rsid w:val="008E0457"/>
    <w:rsid w:val="008E06CB"/>
    <w:rsid w:val="008E0D1D"/>
    <w:rsid w:val="008E0E49"/>
    <w:rsid w:val="008E0FD7"/>
    <w:rsid w:val="008E109E"/>
    <w:rsid w:val="008E1C97"/>
    <w:rsid w:val="008E1F41"/>
    <w:rsid w:val="008E236F"/>
    <w:rsid w:val="008E2D72"/>
    <w:rsid w:val="008E3226"/>
    <w:rsid w:val="008E32A5"/>
    <w:rsid w:val="008E35F5"/>
    <w:rsid w:val="008E39F4"/>
    <w:rsid w:val="008E3AD8"/>
    <w:rsid w:val="008E4196"/>
    <w:rsid w:val="008E4223"/>
    <w:rsid w:val="008E42E2"/>
    <w:rsid w:val="008E4694"/>
    <w:rsid w:val="008E4837"/>
    <w:rsid w:val="008E48D7"/>
    <w:rsid w:val="008E49C1"/>
    <w:rsid w:val="008E4B83"/>
    <w:rsid w:val="008E4F9D"/>
    <w:rsid w:val="008E5297"/>
    <w:rsid w:val="008E52FD"/>
    <w:rsid w:val="008E594B"/>
    <w:rsid w:val="008E624C"/>
    <w:rsid w:val="008E6789"/>
    <w:rsid w:val="008E7AB6"/>
    <w:rsid w:val="008E7B43"/>
    <w:rsid w:val="008E7CF9"/>
    <w:rsid w:val="008E7ED2"/>
    <w:rsid w:val="008F039C"/>
    <w:rsid w:val="008F0700"/>
    <w:rsid w:val="008F0FD5"/>
    <w:rsid w:val="008F1258"/>
    <w:rsid w:val="008F134B"/>
    <w:rsid w:val="008F15DE"/>
    <w:rsid w:val="008F197F"/>
    <w:rsid w:val="008F19B5"/>
    <w:rsid w:val="008F1D11"/>
    <w:rsid w:val="008F218B"/>
    <w:rsid w:val="008F3390"/>
    <w:rsid w:val="008F3C3C"/>
    <w:rsid w:val="008F4869"/>
    <w:rsid w:val="008F4BC0"/>
    <w:rsid w:val="008F50FC"/>
    <w:rsid w:val="008F589B"/>
    <w:rsid w:val="008F589C"/>
    <w:rsid w:val="008F5AC0"/>
    <w:rsid w:val="008F5F43"/>
    <w:rsid w:val="008F61E2"/>
    <w:rsid w:val="008F64BB"/>
    <w:rsid w:val="008F6C90"/>
    <w:rsid w:val="008F750E"/>
    <w:rsid w:val="008F7678"/>
    <w:rsid w:val="008F7A05"/>
    <w:rsid w:val="008F7A1C"/>
    <w:rsid w:val="008F7C33"/>
    <w:rsid w:val="008F7F01"/>
    <w:rsid w:val="008F7F3E"/>
    <w:rsid w:val="00900163"/>
    <w:rsid w:val="00900D82"/>
    <w:rsid w:val="00900E00"/>
    <w:rsid w:val="00901770"/>
    <w:rsid w:val="0090186C"/>
    <w:rsid w:val="0090195B"/>
    <w:rsid w:val="0090224A"/>
    <w:rsid w:val="0090237D"/>
    <w:rsid w:val="00902EC4"/>
    <w:rsid w:val="00902FF8"/>
    <w:rsid w:val="009032B3"/>
    <w:rsid w:val="00903798"/>
    <w:rsid w:val="00904233"/>
    <w:rsid w:val="009046C3"/>
    <w:rsid w:val="009046C7"/>
    <w:rsid w:val="0090491E"/>
    <w:rsid w:val="00904EE6"/>
    <w:rsid w:val="00905082"/>
    <w:rsid w:val="00905E7F"/>
    <w:rsid w:val="00905F39"/>
    <w:rsid w:val="00906023"/>
    <w:rsid w:val="009060A0"/>
    <w:rsid w:val="009065E7"/>
    <w:rsid w:val="009067DC"/>
    <w:rsid w:val="00906C63"/>
    <w:rsid w:val="00906EC4"/>
    <w:rsid w:val="00906ED9"/>
    <w:rsid w:val="00906FB7"/>
    <w:rsid w:val="009074C8"/>
    <w:rsid w:val="009078BC"/>
    <w:rsid w:val="00907D68"/>
    <w:rsid w:val="00907FBC"/>
    <w:rsid w:val="0091048C"/>
    <w:rsid w:val="00910498"/>
    <w:rsid w:val="00910BE7"/>
    <w:rsid w:val="00910D73"/>
    <w:rsid w:val="009114FA"/>
    <w:rsid w:val="0091150B"/>
    <w:rsid w:val="00911C12"/>
    <w:rsid w:val="00912677"/>
    <w:rsid w:val="00912A98"/>
    <w:rsid w:val="00912BC5"/>
    <w:rsid w:val="00913084"/>
    <w:rsid w:val="009138D8"/>
    <w:rsid w:val="00913B8F"/>
    <w:rsid w:val="00914A02"/>
    <w:rsid w:val="00914F85"/>
    <w:rsid w:val="009150CD"/>
    <w:rsid w:val="00915235"/>
    <w:rsid w:val="00915237"/>
    <w:rsid w:val="00915268"/>
    <w:rsid w:val="0091560E"/>
    <w:rsid w:val="00915663"/>
    <w:rsid w:val="0091566C"/>
    <w:rsid w:val="00916337"/>
    <w:rsid w:val="00916792"/>
    <w:rsid w:val="00916BA7"/>
    <w:rsid w:val="00916E9F"/>
    <w:rsid w:val="009171F5"/>
    <w:rsid w:val="00917865"/>
    <w:rsid w:val="009179D8"/>
    <w:rsid w:val="00917B10"/>
    <w:rsid w:val="00917DA7"/>
    <w:rsid w:val="00917FFE"/>
    <w:rsid w:val="0092006B"/>
    <w:rsid w:val="00920342"/>
    <w:rsid w:val="009206BA"/>
    <w:rsid w:val="00921250"/>
    <w:rsid w:val="00921626"/>
    <w:rsid w:val="00921CCD"/>
    <w:rsid w:val="00921F84"/>
    <w:rsid w:val="009221BD"/>
    <w:rsid w:val="00923055"/>
    <w:rsid w:val="00923079"/>
    <w:rsid w:val="009232AB"/>
    <w:rsid w:val="00923388"/>
    <w:rsid w:val="0092342C"/>
    <w:rsid w:val="00923ACF"/>
    <w:rsid w:val="00923C76"/>
    <w:rsid w:val="00923CBB"/>
    <w:rsid w:val="0092403A"/>
    <w:rsid w:val="00924341"/>
    <w:rsid w:val="009246CE"/>
    <w:rsid w:val="009246DE"/>
    <w:rsid w:val="00924970"/>
    <w:rsid w:val="00924B82"/>
    <w:rsid w:val="00924D68"/>
    <w:rsid w:val="00924F16"/>
    <w:rsid w:val="009254AD"/>
    <w:rsid w:val="009257C1"/>
    <w:rsid w:val="00925E7A"/>
    <w:rsid w:val="009266F3"/>
    <w:rsid w:val="00926BB8"/>
    <w:rsid w:val="00926E9E"/>
    <w:rsid w:val="009275D4"/>
    <w:rsid w:val="009277F7"/>
    <w:rsid w:val="00927CC4"/>
    <w:rsid w:val="00927F0E"/>
    <w:rsid w:val="0093095C"/>
    <w:rsid w:val="00930DA0"/>
    <w:rsid w:val="00930DA7"/>
    <w:rsid w:val="00930ECB"/>
    <w:rsid w:val="00930F95"/>
    <w:rsid w:val="0093115F"/>
    <w:rsid w:val="00931CA4"/>
    <w:rsid w:val="00931D3F"/>
    <w:rsid w:val="00931E0D"/>
    <w:rsid w:val="00931F56"/>
    <w:rsid w:val="0093240C"/>
    <w:rsid w:val="00932D79"/>
    <w:rsid w:val="00932EB6"/>
    <w:rsid w:val="00933440"/>
    <w:rsid w:val="00933A45"/>
    <w:rsid w:val="00933E75"/>
    <w:rsid w:val="009347ED"/>
    <w:rsid w:val="00934B6B"/>
    <w:rsid w:val="00934C39"/>
    <w:rsid w:val="00935836"/>
    <w:rsid w:val="009362EA"/>
    <w:rsid w:val="009366BF"/>
    <w:rsid w:val="00936DB5"/>
    <w:rsid w:val="00936EDD"/>
    <w:rsid w:val="00937597"/>
    <w:rsid w:val="00937A1A"/>
    <w:rsid w:val="009400B8"/>
    <w:rsid w:val="009405AF"/>
    <w:rsid w:val="009405F8"/>
    <w:rsid w:val="00940AA1"/>
    <w:rsid w:val="00940DD7"/>
    <w:rsid w:val="00941196"/>
    <w:rsid w:val="0094129C"/>
    <w:rsid w:val="0094161D"/>
    <w:rsid w:val="00941838"/>
    <w:rsid w:val="00941950"/>
    <w:rsid w:val="0094207A"/>
    <w:rsid w:val="009423A5"/>
    <w:rsid w:val="009426C6"/>
    <w:rsid w:val="009427E5"/>
    <w:rsid w:val="00942A20"/>
    <w:rsid w:val="00942D25"/>
    <w:rsid w:val="009431A6"/>
    <w:rsid w:val="00943603"/>
    <w:rsid w:val="00943684"/>
    <w:rsid w:val="00943CCC"/>
    <w:rsid w:val="00943ED7"/>
    <w:rsid w:val="00944632"/>
    <w:rsid w:val="00944A24"/>
    <w:rsid w:val="00944CA8"/>
    <w:rsid w:val="00944DE9"/>
    <w:rsid w:val="0094537C"/>
    <w:rsid w:val="009456D4"/>
    <w:rsid w:val="00945D26"/>
    <w:rsid w:val="00946318"/>
    <w:rsid w:val="00946A69"/>
    <w:rsid w:val="00947077"/>
    <w:rsid w:val="00947212"/>
    <w:rsid w:val="00947999"/>
    <w:rsid w:val="00947C17"/>
    <w:rsid w:val="00947DAC"/>
    <w:rsid w:val="00947E35"/>
    <w:rsid w:val="009502C6"/>
    <w:rsid w:val="00950551"/>
    <w:rsid w:val="009508F5"/>
    <w:rsid w:val="0095188C"/>
    <w:rsid w:val="0095216D"/>
    <w:rsid w:val="00952C80"/>
    <w:rsid w:val="00953137"/>
    <w:rsid w:val="00953F18"/>
    <w:rsid w:val="0095447A"/>
    <w:rsid w:val="009544BE"/>
    <w:rsid w:val="00954D52"/>
    <w:rsid w:val="009551C9"/>
    <w:rsid w:val="009551F6"/>
    <w:rsid w:val="009552B3"/>
    <w:rsid w:val="00955F48"/>
    <w:rsid w:val="0095612B"/>
    <w:rsid w:val="0095657B"/>
    <w:rsid w:val="00956C9D"/>
    <w:rsid w:val="00957DA2"/>
    <w:rsid w:val="00957E9B"/>
    <w:rsid w:val="00960259"/>
    <w:rsid w:val="0096066E"/>
    <w:rsid w:val="00960A44"/>
    <w:rsid w:val="00960D5B"/>
    <w:rsid w:val="00960F91"/>
    <w:rsid w:val="00960FA3"/>
    <w:rsid w:val="009613B3"/>
    <w:rsid w:val="00961667"/>
    <w:rsid w:val="009616BF"/>
    <w:rsid w:val="00961DB7"/>
    <w:rsid w:val="00961E59"/>
    <w:rsid w:val="00961FCA"/>
    <w:rsid w:val="009627E1"/>
    <w:rsid w:val="009629C8"/>
    <w:rsid w:val="0096346A"/>
    <w:rsid w:val="009647F1"/>
    <w:rsid w:val="00964CB2"/>
    <w:rsid w:val="00965ED6"/>
    <w:rsid w:val="00965F24"/>
    <w:rsid w:val="00965F8F"/>
    <w:rsid w:val="00966645"/>
    <w:rsid w:val="00966B32"/>
    <w:rsid w:val="00966FE8"/>
    <w:rsid w:val="0096751C"/>
    <w:rsid w:val="009675E9"/>
    <w:rsid w:val="00967A99"/>
    <w:rsid w:val="00967B96"/>
    <w:rsid w:val="009702C2"/>
    <w:rsid w:val="009704DB"/>
    <w:rsid w:val="009705DD"/>
    <w:rsid w:val="009705F6"/>
    <w:rsid w:val="00970A2A"/>
    <w:rsid w:val="00970F73"/>
    <w:rsid w:val="00971698"/>
    <w:rsid w:val="00971A53"/>
    <w:rsid w:val="009725E8"/>
    <w:rsid w:val="00972F52"/>
    <w:rsid w:val="0097306A"/>
    <w:rsid w:val="009735ED"/>
    <w:rsid w:val="0097392A"/>
    <w:rsid w:val="00973C8B"/>
    <w:rsid w:val="00973E00"/>
    <w:rsid w:val="00975454"/>
    <w:rsid w:val="0097598B"/>
    <w:rsid w:val="00975A82"/>
    <w:rsid w:val="00975B3B"/>
    <w:rsid w:val="00975C8B"/>
    <w:rsid w:val="00975FA7"/>
    <w:rsid w:val="00976188"/>
    <w:rsid w:val="00976333"/>
    <w:rsid w:val="00976345"/>
    <w:rsid w:val="00976468"/>
    <w:rsid w:val="00976555"/>
    <w:rsid w:val="00976842"/>
    <w:rsid w:val="0097701E"/>
    <w:rsid w:val="009774BF"/>
    <w:rsid w:val="009776B7"/>
    <w:rsid w:val="009779F2"/>
    <w:rsid w:val="00977D21"/>
    <w:rsid w:val="009804B7"/>
    <w:rsid w:val="009806D2"/>
    <w:rsid w:val="00980BC7"/>
    <w:rsid w:val="00980E09"/>
    <w:rsid w:val="00981245"/>
    <w:rsid w:val="00981739"/>
    <w:rsid w:val="00981823"/>
    <w:rsid w:val="00981829"/>
    <w:rsid w:val="00981E97"/>
    <w:rsid w:val="00981EDA"/>
    <w:rsid w:val="00982635"/>
    <w:rsid w:val="00982743"/>
    <w:rsid w:val="00983314"/>
    <w:rsid w:val="0098394E"/>
    <w:rsid w:val="00983A02"/>
    <w:rsid w:val="00983A15"/>
    <w:rsid w:val="00983A7A"/>
    <w:rsid w:val="00983C16"/>
    <w:rsid w:val="00983CBD"/>
    <w:rsid w:val="00984A61"/>
    <w:rsid w:val="00985249"/>
    <w:rsid w:val="00985607"/>
    <w:rsid w:val="00985CE7"/>
    <w:rsid w:val="00985FCE"/>
    <w:rsid w:val="00986355"/>
    <w:rsid w:val="009868B3"/>
    <w:rsid w:val="0098698F"/>
    <w:rsid w:val="00986C34"/>
    <w:rsid w:val="00987D5D"/>
    <w:rsid w:val="00987F75"/>
    <w:rsid w:val="00987FBC"/>
    <w:rsid w:val="0099050F"/>
    <w:rsid w:val="00990577"/>
    <w:rsid w:val="00990EEE"/>
    <w:rsid w:val="00991A81"/>
    <w:rsid w:val="0099223A"/>
    <w:rsid w:val="00992596"/>
    <w:rsid w:val="00992892"/>
    <w:rsid w:val="009928DB"/>
    <w:rsid w:val="00992CBA"/>
    <w:rsid w:val="00992E8D"/>
    <w:rsid w:val="00992FD2"/>
    <w:rsid w:val="009937B4"/>
    <w:rsid w:val="00993858"/>
    <w:rsid w:val="00993955"/>
    <w:rsid w:val="00993E01"/>
    <w:rsid w:val="009940D6"/>
    <w:rsid w:val="00994EA3"/>
    <w:rsid w:val="009952EE"/>
    <w:rsid w:val="009957E8"/>
    <w:rsid w:val="00995940"/>
    <w:rsid w:val="00995C73"/>
    <w:rsid w:val="00995FFE"/>
    <w:rsid w:val="009961D2"/>
    <w:rsid w:val="009961EC"/>
    <w:rsid w:val="00996245"/>
    <w:rsid w:val="009962A7"/>
    <w:rsid w:val="009963A8"/>
    <w:rsid w:val="00996499"/>
    <w:rsid w:val="0099653E"/>
    <w:rsid w:val="0099687B"/>
    <w:rsid w:val="009968E9"/>
    <w:rsid w:val="00996B49"/>
    <w:rsid w:val="00996C83"/>
    <w:rsid w:val="00996CEA"/>
    <w:rsid w:val="00996F88"/>
    <w:rsid w:val="00997124"/>
    <w:rsid w:val="009976AB"/>
    <w:rsid w:val="0099792D"/>
    <w:rsid w:val="00997A60"/>
    <w:rsid w:val="009A008F"/>
    <w:rsid w:val="009A00E5"/>
    <w:rsid w:val="009A0CFF"/>
    <w:rsid w:val="009A0DFF"/>
    <w:rsid w:val="009A1138"/>
    <w:rsid w:val="009A146E"/>
    <w:rsid w:val="009A191E"/>
    <w:rsid w:val="009A192A"/>
    <w:rsid w:val="009A19C5"/>
    <w:rsid w:val="009A23AA"/>
    <w:rsid w:val="009A2871"/>
    <w:rsid w:val="009A2CCA"/>
    <w:rsid w:val="009A2E47"/>
    <w:rsid w:val="009A30B5"/>
    <w:rsid w:val="009A3122"/>
    <w:rsid w:val="009A368D"/>
    <w:rsid w:val="009A3762"/>
    <w:rsid w:val="009A48C7"/>
    <w:rsid w:val="009A4B0A"/>
    <w:rsid w:val="009A4EC6"/>
    <w:rsid w:val="009A5218"/>
    <w:rsid w:val="009A538E"/>
    <w:rsid w:val="009A623F"/>
    <w:rsid w:val="009A6490"/>
    <w:rsid w:val="009A6492"/>
    <w:rsid w:val="009A64C8"/>
    <w:rsid w:val="009A6B46"/>
    <w:rsid w:val="009A7569"/>
    <w:rsid w:val="009A79E6"/>
    <w:rsid w:val="009A7C65"/>
    <w:rsid w:val="009A7C7C"/>
    <w:rsid w:val="009A7D48"/>
    <w:rsid w:val="009B0709"/>
    <w:rsid w:val="009B0A00"/>
    <w:rsid w:val="009B0A5A"/>
    <w:rsid w:val="009B1243"/>
    <w:rsid w:val="009B1464"/>
    <w:rsid w:val="009B1619"/>
    <w:rsid w:val="009B1839"/>
    <w:rsid w:val="009B189E"/>
    <w:rsid w:val="009B1D04"/>
    <w:rsid w:val="009B242C"/>
    <w:rsid w:val="009B25E8"/>
    <w:rsid w:val="009B2D66"/>
    <w:rsid w:val="009B2EBF"/>
    <w:rsid w:val="009B3255"/>
    <w:rsid w:val="009B325F"/>
    <w:rsid w:val="009B32C0"/>
    <w:rsid w:val="009B4249"/>
    <w:rsid w:val="009B4442"/>
    <w:rsid w:val="009B48F6"/>
    <w:rsid w:val="009B4D5E"/>
    <w:rsid w:val="009B4FCF"/>
    <w:rsid w:val="009B5165"/>
    <w:rsid w:val="009B6333"/>
    <w:rsid w:val="009B697D"/>
    <w:rsid w:val="009B6A67"/>
    <w:rsid w:val="009B6A7F"/>
    <w:rsid w:val="009B737A"/>
    <w:rsid w:val="009C07D5"/>
    <w:rsid w:val="009C0C8C"/>
    <w:rsid w:val="009C10DE"/>
    <w:rsid w:val="009C18AC"/>
    <w:rsid w:val="009C1E2E"/>
    <w:rsid w:val="009C1EA1"/>
    <w:rsid w:val="009C21BE"/>
    <w:rsid w:val="009C22E7"/>
    <w:rsid w:val="009C299D"/>
    <w:rsid w:val="009C3146"/>
    <w:rsid w:val="009C35BB"/>
    <w:rsid w:val="009C3B18"/>
    <w:rsid w:val="009C3B60"/>
    <w:rsid w:val="009C3BC1"/>
    <w:rsid w:val="009C4015"/>
    <w:rsid w:val="009C40DD"/>
    <w:rsid w:val="009C459E"/>
    <w:rsid w:val="009C4A93"/>
    <w:rsid w:val="009C4AD0"/>
    <w:rsid w:val="009C4C7A"/>
    <w:rsid w:val="009C4E3F"/>
    <w:rsid w:val="009C51B3"/>
    <w:rsid w:val="009C5545"/>
    <w:rsid w:val="009C562D"/>
    <w:rsid w:val="009C5FA6"/>
    <w:rsid w:val="009C6044"/>
    <w:rsid w:val="009C6F00"/>
    <w:rsid w:val="009C6FC1"/>
    <w:rsid w:val="009C7437"/>
    <w:rsid w:val="009C7859"/>
    <w:rsid w:val="009C7BF2"/>
    <w:rsid w:val="009D0695"/>
    <w:rsid w:val="009D079B"/>
    <w:rsid w:val="009D0DFF"/>
    <w:rsid w:val="009D0F60"/>
    <w:rsid w:val="009D161A"/>
    <w:rsid w:val="009D18F0"/>
    <w:rsid w:val="009D1F7B"/>
    <w:rsid w:val="009D2490"/>
    <w:rsid w:val="009D2BF7"/>
    <w:rsid w:val="009D318A"/>
    <w:rsid w:val="009D31A8"/>
    <w:rsid w:val="009D3210"/>
    <w:rsid w:val="009D3234"/>
    <w:rsid w:val="009D353B"/>
    <w:rsid w:val="009D36E2"/>
    <w:rsid w:val="009D3DD5"/>
    <w:rsid w:val="009D43B7"/>
    <w:rsid w:val="009D487B"/>
    <w:rsid w:val="009D4A5E"/>
    <w:rsid w:val="009D4DD5"/>
    <w:rsid w:val="009D57C7"/>
    <w:rsid w:val="009D5802"/>
    <w:rsid w:val="009D5B42"/>
    <w:rsid w:val="009D5E5D"/>
    <w:rsid w:val="009D63A0"/>
    <w:rsid w:val="009D644C"/>
    <w:rsid w:val="009D6720"/>
    <w:rsid w:val="009D6AF2"/>
    <w:rsid w:val="009D7498"/>
    <w:rsid w:val="009D74D8"/>
    <w:rsid w:val="009D76B2"/>
    <w:rsid w:val="009D76B8"/>
    <w:rsid w:val="009D7810"/>
    <w:rsid w:val="009D79DF"/>
    <w:rsid w:val="009D7C15"/>
    <w:rsid w:val="009D7DEC"/>
    <w:rsid w:val="009D7F5D"/>
    <w:rsid w:val="009E037D"/>
    <w:rsid w:val="009E07A1"/>
    <w:rsid w:val="009E08D1"/>
    <w:rsid w:val="009E136A"/>
    <w:rsid w:val="009E13BD"/>
    <w:rsid w:val="009E1851"/>
    <w:rsid w:val="009E1CC1"/>
    <w:rsid w:val="009E1F5C"/>
    <w:rsid w:val="009E20B6"/>
    <w:rsid w:val="009E2A08"/>
    <w:rsid w:val="009E2DFC"/>
    <w:rsid w:val="009E3164"/>
    <w:rsid w:val="009E344E"/>
    <w:rsid w:val="009E3895"/>
    <w:rsid w:val="009E3982"/>
    <w:rsid w:val="009E3CC3"/>
    <w:rsid w:val="009E4343"/>
    <w:rsid w:val="009E4544"/>
    <w:rsid w:val="009E479C"/>
    <w:rsid w:val="009E4849"/>
    <w:rsid w:val="009E5621"/>
    <w:rsid w:val="009E5A1E"/>
    <w:rsid w:val="009E6D44"/>
    <w:rsid w:val="009E6D93"/>
    <w:rsid w:val="009E75C6"/>
    <w:rsid w:val="009E76AC"/>
    <w:rsid w:val="009E7FE9"/>
    <w:rsid w:val="009F01F6"/>
    <w:rsid w:val="009F0548"/>
    <w:rsid w:val="009F0DB8"/>
    <w:rsid w:val="009F1413"/>
    <w:rsid w:val="009F14F8"/>
    <w:rsid w:val="009F18E8"/>
    <w:rsid w:val="009F1F1B"/>
    <w:rsid w:val="009F2217"/>
    <w:rsid w:val="009F233D"/>
    <w:rsid w:val="009F2870"/>
    <w:rsid w:val="009F2EB8"/>
    <w:rsid w:val="009F39E8"/>
    <w:rsid w:val="009F3D05"/>
    <w:rsid w:val="009F3DF8"/>
    <w:rsid w:val="009F3FEB"/>
    <w:rsid w:val="009F4211"/>
    <w:rsid w:val="009F4837"/>
    <w:rsid w:val="009F54B7"/>
    <w:rsid w:val="009F5CB0"/>
    <w:rsid w:val="009F60CB"/>
    <w:rsid w:val="009F6242"/>
    <w:rsid w:val="009F6852"/>
    <w:rsid w:val="009F6CF8"/>
    <w:rsid w:val="009F7637"/>
    <w:rsid w:val="009F767E"/>
    <w:rsid w:val="009F7CD7"/>
    <w:rsid w:val="00A0026E"/>
    <w:rsid w:val="00A00352"/>
    <w:rsid w:val="00A006D9"/>
    <w:rsid w:val="00A00B76"/>
    <w:rsid w:val="00A00CCF"/>
    <w:rsid w:val="00A01682"/>
    <w:rsid w:val="00A01B79"/>
    <w:rsid w:val="00A01B82"/>
    <w:rsid w:val="00A0289C"/>
    <w:rsid w:val="00A02CE4"/>
    <w:rsid w:val="00A02F67"/>
    <w:rsid w:val="00A02F93"/>
    <w:rsid w:val="00A03879"/>
    <w:rsid w:val="00A038B3"/>
    <w:rsid w:val="00A03D6F"/>
    <w:rsid w:val="00A04105"/>
    <w:rsid w:val="00A04310"/>
    <w:rsid w:val="00A04B52"/>
    <w:rsid w:val="00A04B5D"/>
    <w:rsid w:val="00A04BE6"/>
    <w:rsid w:val="00A05210"/>
    <w:rsid w:val="00A053C4"/>
    <w:rsid w:val="00A05E84"/>
    <w:rsid w:val="00A05F40"/>
    <w:rsid w:val="00A073E7"/>
    <w:rsid w:val="00A0780A"/>
    <w:rsid w:val="00A10869"/>
    <w:rsid w:val="00A11111"/>
    <w:rsid w:val="00A1162C"/>
    <w:rsid w:val="00A11BC0"/>
    <w:rsid w:val="00A1224C"/>
    <w:rsid w:val="00A12694"/>
    <w:rsid w:val="00A12C4F"/>
    <w:rsid w:val="00A12C70"/>
    <w:rsid w:val="00A139E9"/>
    <w:rsid w:val="00A13C69"/>
    <w:rsid w:val="00A1416E"/>
    <w:rsid w:val="00A14A35"/>
    <w:rsid w:val="00A1602B"/>
    <w:rsid w:val="00A162D8"/>
    <w:rsid w:val="00A168E6"/>
    <w:rsid w:val="00A16EA3"/>
    <w:rsid w:val="00A1725F"/>
    <w:rsid w:val="00A1728E"/>
    <w:rsid w:val="00A17693"/>
    <w:rsid w:val="00A177CE"/>
    <w:rsid w:val="00A17CCA"/>
    <w:rsid w:val="00A202F3"/>
    <w:rsid w:val="00A20A62"/>
    <w:rsid w:val="00A20DDE"/>
    <w:rsid w:val="00A21019"/>
    <w:rsid w:val="00A211DD"/>
    <w:rsid w:val="00A219DB"/>
    <w:rsid w:val="00A21A94"/>
    <w:rsid w:val="00A21E5A"/>
    <w:rsid w:val="00A21E8A"/>
    <w:rsid w:val="00A22266"/>
    <w:rsid w:val="00A22720"/>
    <w:rsid w:val="00A22CAB"/>
    <w:rsid w:val="00A22D85"/>
    <w:rsid w:val="00A231CC"/>
    <w:rsid w:val="00A238D4"/>
    <w:rsid w:val="00A238FE"/>
    <w:rsid w:val="00A23924"/>
    <w:rsid w:val="00A23A8A"/>
    <w:rsid w:val="00A23D6F"/>
    <w:rsid w:val="00A24159"/>
    <w:rsid w:val="00A242C1"/>
    <w:rsid w:val="00A25136"/>
    <w:rsid w:val="00A25954"/>
    <w:rsid w:val="00A25C70"/>
    <w:rsid w:val="00A26028"/>
    <w:rsid w:val="00A26097"/>
    <w:rsid w:val="00A2680B"/>
    <w:rsid w:val="00A26961"/>
    <w:rsid w:val="00A26AEA"/>
    <w:rsid w:val="00A27320"/>
    <w:rsid w:val="00A2749D"/>
    <w:rsid w:val="00A27A65"/>
    <w:rsid w:val="00A30139"/>
    <w:rsid w:val="00A303E3"/>
    <w:rsid w:val="00A30CD4"/>
    <w:rsid w:val="00A30D6A"/>
    <w:rsid w:val="00A31974"/>
    <w:rsid w:val="00A31F34"/>
    <w:rsid w:val="00A3211D"/>
    <w:rsid w:val="00A32422"/>
    <w:rsid w:val="00A32533"/>
    <w:rsid w:val="00A3273F"/>
    <w:rsid w:val="00A32B8E"/>
    <w:rsid w:val="00A33B15"/>
    <w:rsid w:val="00A33C06"/>
    <w:rsid w:val="00A33CA8"/>
    <w:rsid w:val="00A33F34"/>
    <w:rsid w:val="00A3422B"/>
    <w:rsid w:val="00A3438B"/>
    <w:rsid w:val="00A348F1"/>
    <w:rsid w:val="00A34F6C"/>
    <w:rsid w:val="00A3542C"/>
    <w:rsid w:val="00A35999"/>
    <w:rsid w:val="00A35DFC"/>
    <w:rsid w:val="00A36152"/>
    <w:rsid w:val="00A36693"/>
    <w:rsid w:val="00A368A6"/>
    <w:rsid w:val="00A36A6D"/>
    <w:rsid w:val="00A36F9F"/>
    <w:rsid w:val="00A36FB9"/>
    <w:rsid w:val="00A373E0"/>
    <w:rsid w:val="00A3755E"/>
    <w:rsid w:val="00A37970"/>
    <w:rsid w:val="00A37D43"/>
    <w:rsid w:val="00A37FB4"/>
    <w:rsid w:val="00A4007D"/>
    <w:rsid w:val="00A40146"/>
    <w:rsid w:val="00A40B60"/>
    <w:rsid w:val="00A40BC0"/>
    <w:rsid w:val="00A41A1F"/>
    <w:rsid w:val="00A41AE5"/>
    <w:rsid w:val="00A41D83"/>
    <w:rsid w:val="00A42449"/>
    <w:rsid w:val="00A4267B"/>
    <w:rsid w:val="00A42808"/>
    <w:rsid w:val="00A42CAE"/>
    <w:rsid w:val="00A42CEC"/>
    <w:rsid w:val="00A430AD"/>
    <w:rsid w:val="00A43187"/>
    <w:rsid w:val="00A43660"/>
    <w:rsid w:val="00A438C2"/>
    <w:rsid w:val="00A43D0B"/>
    <w:rsid w:val="00A4420D"/>
    <w:rsid w:val="00A443AB"/>
    <w:rsid w:val="00A4440D"/>
    <w:rsid w:val="00A44812"/>
    <w:rsid w:val="00A44970"/>
    <w:rsid w:val="00A44D50"/>
    <w:rsid w:val="00A45312"/>
    <w:rsid w:val="00A45367"/>
    <w:rsid w:val="00A454A2"/>
    <w:rsid w:val="00A455C9"/>
    <w:rsid w:val="00A45AA7"/>
    <w:rsid w:val="00A45F95"/>
    <w:rsid w:val="00A4643F"/>
    <w:rsid w:val="00A467DF"/>
    <w:rsid w:val="00A46909"/>
    <w:rsid w:val="00A46E1E"/>
    <w:rsid w:val="00A47781"/>
    <w:rsid w:val="00A477CB"/>
    <w:rsid w:val="00A477CC"/>
    <w:rsid w:val="00A478F0"/>
    <w:rsid w:val="00A47A52"/>
    <w:rsid w:val="00A47E13"/>
    <w:rsid w:val="00A500CA"/>
    <w:rsid w:val="00A50785"/>
    <w:rsid w:val="00A51669"/>
    <w:rsid w:val="00A5173F"/>
    <w:rsid w:val="00A51AC2"/>
    <w:rsid w:val="00A51E28"/>
    <w:rsid w:val="00A51E4B"/>
    <w:rsid w:val="00A52335"/>
    <w:rsid w:val="00A5298F"/>
    <w:rsid w:val="00A52ABC"/>
    <w:rsid w:val="00A530BE"/>
    <w:rsid w:val="00A530EB"/>
    <w:rsid w:val="00A53C02"/>
    <w:rsid w:val="00A54148"/>
    <w:rsid w:val="00A54230"/>
    <w:rsid w:val="00A5427C"/>
    <w:rsid w:val="00A54829"/>
    <w:rsid w:val="00A54CB3"/>
    <w:rsid w:val="00A54F9D"/>
    <w:rsid w:val="00A55082"/>
    <w:rsid w:val="00A556D1"/>
    <w:rsid w:val="00A5579D"/>
    <w:rsid w:val="00A5678D"/>
    <w:rsid w:val="00A56E10"/>
    <w:rsid w:val="00A56F96"/>
    <w:rsid w:val="00A57BD0"/>
    <w:rsid w:val="00A57ED3"/>
    <w:rsid w:val="00A6018C"/>
    <w:rsid w:val="00A601E0"/>
    <w:rsid w:val="00A607EE"/>
    <w:rsid w:val="00A60897"/>
    <w:rsid w:val="00A60DE4"/>
    <w:rsid w:val="00A60E72"/>
    <w:rsid w:val="00A60F02"/>
    <w:rsid w:val="00A610C5"/>
    <w:rsid w:val="00A6170A"/>
    <w:rsid w:val="00A620E1"/>
    <w:rsid w:val="00A622C0"/>
    <w:rsid w:val="00A62359"/>
    <w:rsid w:val="00A62512"/>
    <w:rsid w:val="00A6274B"/>
    <w:rsid w:val="00A6277B"/>
    <w:rsid w:val="00A62B54"/>
    <w:rsid w:val="00A62CAF"/>
    <w:rsid w:val="00A62CEB"/>
    <w:rsid w:val="00A6323F"/>
    <w:rsid w:val="00A638D7"/>
    <w:rsid w:val="00A6390B"/>
    <w:rsid w:val="00A63FF6"/>
    <w:rsid w:val="00A649AF"/>
    <w:rsid w:val="00A65DB0"/>
    <w:rsid w:val="00A65E87"/>
    <w:rsid w:val="00A6615A"/>
    <w:rsid w:val="00A667D6"/>
    <w:rsid w:val="00A676C3"/>
    <w:rsid w:val="00A6787C"/>
    <w:rsid w:val="00A678B2"/>
    <w:rsid w:val="00A70254"/>
    <w:rsid w:val="00A71574"/>
    <w:rsid w:val="00A71C01"/>
    <w:rsid w:val="00A71EEA"/>
    <w:rsid w:val="00A7266C"/>
    <w:rsid w:val="00A727C4"/>
    <w:rsid w:val="00A72B21"/>
    <w:rsid w:val="00A72CCA"/>
    <w:rsid w:val="00A72DAB"/>
    <w:rsid w:val="00A732C5"/>
    <w:rsid w:val="00A7336E"/>
    <w:rsid w:val="00A73A7B"/>
    <w:rsid w:val="00A73E5B"/>
    <w:rsid w:val="00A73FCA"/>
    <w:rsid w:val="00A7439B"/>
    <w:rsid w:val="00A74710"/>
    <w:rsid w:val="00A74B73"/>
    <w:rsid w:val="00A752A4"/>
    <w:rsid w:val="00A75FBB"/>
    <w:rsid w:val="00A7612F"/>
    <w:rsid w:val="00A764AA"/>
    <w:rsid w:val="00A76510"/>
    <w:rsid w:val="00A76FF4"/>
    <w:rsid w:val="00A77437"/>
    <w:rsid w:val="00A7788C"/>
    <w:rsid w:val="00A778D7"/>
    <w:rsid w:val="00A77EAF"/>
    <w:rsid w:val="00A8029D"/>
    <w:rsid w:val="00A807EE"/>
    <w:rsid w:val="00A80A7C"/>
    <w:rsid w:val="00A81759"/>
    <w:rsid w:val="00A81C9D"/>
    <w:rsid w:val="00A82308"/>
    <w:rsid w:val="00A82ACF"/>
    <w:rsid w:val="00A82BAC"/>
    <w:rsid w:val="00A83218"/>
    <w:rsid w:val="00A8382F"/>
    <w:rsid w:val="00A8422D"/>
    <w:rsid w:val="00A85233"/>
    <w:rsid w:val="00A854BF"/>
    <w:rsid w:val="00A85AE8"/>
    <w:rsid w:val="00A85CD2"/>
    <w:rsid w:val="00A85E81"/>
    <w:rsid w:val="00A85F78"/>
    <w:rsid w:val="00A85FAE"/>
    <w:rsid w:val="00A86007"/>
    <w:rsid w:val="00A862CB"/>
    <w:rsid w:val="00A8768F"/>
    <w:rsid w:val="00A87737"/>
    <w:rsid w:val="00A878C5"/>
    <w:rsid w:val="00A87AB4"/>
    <w:rsid w:val="00A87CD0"/>
    <w:rsid w:val="00A87EC0"/>
    <w:rsid w:val="00A9001B"/>
    <w:rsid w:val="00A9045D"/>
    <w:rsid w:val="00A9057A"/>
    <w:rsid w:val="00A90984"/>
    <w:rsid w:val="00A90ABF"/>
    <w:rsid w:val="00A90E87"/>
    <w:rsid w:val="00A91233"/>
    <w:rsid w:val="00A9123E"/>
    <w:rsid w:val="00A91CBB"/>
    <w:rsid w:val="00A9290F"/>
    <w:rsid w:val="00A92972"/>
    <w:rsid w:val="00A92B62"/>
    <w:rsid w:val="00A92E49"/>
    <w:rsid w:val="00A931DE"/>
    <w:rsid w:val="00A93471"/>
    <w:rsid w:val="00A93616"/>
    <w:rsid w:val="00A936AC"/>
    <w:rsid w:val="00A93C87"/>
    <w:rsid w:val="00A94117"/>
    <w:rsid w:val="00A942D2"/>
    <w:rsid w:val="00A944FA"/>
    <w:rsid w:val="00A94FDF"/>
    <w:rsid w:val="00A95B8D"/>
    <w:rsid w:val="00A95E4B"/>
    <w:rsid w:val="00A96A73"/>
    <w:rsid w:val="00A96CF0"/>
    <w:rsid w:val="00A96ED4"/>
    <w:rsid w:val="00A97001"/>
    <w:rsid w:val="00A971CC"/>
    <w:rsid w:val="00A97864"/>
    <w:rsid w:val="00AA03E3"/>
    <w:rsid w:val="00AA0670"/>
    <w:rsid w:val="00AA0FBC"/>
    <w:rsid w:val="00AA187A"/>
    <w:rsid w:val="00AA1894"/>
    <w:rsid w:val="00AA1953"/>
    <w:rsid w:val="00AA1B49"/>
    <w:rsid w:val="00AA1BB1"/>
    <w:rsid w:val="00AA21EF"/>
    <w:rsid w:val="00AA23BB"/>
    <w:rsid w:val="00AA2411"/>
    <w:rsid w:val="00AA2653"/>
    <w:rsid w:val="00AA28F4"/>
    <w:rsid w:val="00AA2D5A"/>
    <w:rsid w:val="00AA2F1B"/>
    <w:rsid w:val="00AA3277"/>
    <w:rsid w:val="00AA3300"/>
    <w:rsid w:val="00AA36D5"/>
    <w:rsid w:val="00AA4646"/>
    <w:rsid w:val="00AA47CF"/>
    <w:rsid w:val="00AA498E"/>
    <w:rsid w:val="00AA4E2D"/>
    <w:rsid w:val="00AA5083"/>
    <w:rsid w:val="00AA51BC"/>
    <w:rsid w:val="00AA536E"/>
    <w:rsid w:val="00AA5B7E"/>
    <w:rsid w:val="00AA5FE7"/>
    <w:rsid w:val="00AA62ED"/>
    <w:rsid w:val="00AA63D2"/>
    <w:rsid w:val="00AA6DBC"/>
    <w:rsid w:val="00AA6F19"/>
    <w:rsid w:val="00AA72D6"/>
    <w:rsid w:val="00AA7490"/>
    <w:rsid w:val="00AB00BD"/>
    <w:rsid w:val="00AB0413"/>
    <w:rsid w:val="00AB0982"/>
    <w:rsid w:val="00AB0B38"/>
    <w:rsid w:val="00AB0BD8"/>
    <w:rsid w:val="00AB0D9F"/>
    <w:rsid w:val="00AB0EEE"/>
    <w:rsid w:val="00AB11F7"/>
    <w:rsid w:val="00AB18E5"/>
    <w:rsid w:val="00AB1B05"/>
    <w:rsid w:val="00AB1B3E"/>
    <w:rsid w:val="00AB1DC6"/>
    <w:rsid w:val="00AB2A1F"/>
    <w:rsid w:val="00AB3013"/>
    <w:rsid w:val="00AB3014"/>
    <w:rsid w:val="00AB32AC"/>
    <w:rsid w:val="00AB3CD1"/>
    <w:rsid w:val="00AB43B8"/>
    <w:rsid w:val="00AB49BE"/>
    <w:rsid w:val="00AB4D8F"/>
    <w:rsid w:val="00AB5648"/>
    <w:rsid w:val="00AB5783"/>
    <w:rsid w:val="00AB58F2"/>
    <w:rsid w:val="00AB6510"/>
    <w:rsid w:val="00AB6855"/>
    <w:rsid w:val="00AB6856"/>
    <w:rsid w:val="00AB70C9"/>
    <w:rsid w:val="00AB7244"/>
    <w:rsid w:val="00AB73A8"/>
    <w:rsid w:val="00AC082F"/>
    <w:rsid w:val="00AC0E2F"/>
    <w:rsid w:val="00AC0F9D"/>
    <w:rsid w:val="00AC1135"/>
    <w:rsid w:val="00AC16C6"/>
    <w:rsid w:val="00AC176D"/>
    <w:rsid w:val="00AC18B1"/>
    <w:rsid w:val="00AC2440"/>
    <w:rsid w:val="00AC26ED"/>
    <w:rsid w:val="00AC2759"/>
    <w:rsid w:val="00AC2850"/>
    <w:rsid w:val="00AC28B2"/>
    <w:rsid w:val="00AC2A64"/>
    <w:rsid w:val="00AC2E98"/>
    <w:rsid w:val="00AC2FB2"/>
    <w:rsid w:val="00AC3100"/>
    <w:rsid w:val="00AC3D0E"/>
    <w:rsid w:val="00AC3DB2"/>
    <w:rsid w:val="00AC3E1E"/>
    <w:rsid w:val="00AC40B5"/>
    <w:rsid w:val="00AC4493"/>
    <w:rsid w:val="00AC4773"/>
    <w:rsid w:val="00AC4E54"/>
    <w:rsid w:val="00AC52A3"/>
    <w:rsid w:val="00AC544E"/>
    <w:rsid w:val="00AC5643"/>
    <w:rsid w:val="00AC5A17"/>
    <w:rsid w:val="00AC7446"/>
    <w:rsid w:val="00AC79F2"/>
    <w:rsid w:val="00AC7A69"/>
    <w:rsid w:val="00AC7B86"/>
    <w:rsid w:val="00AD03B9"/>
    <w:rsid w:val="00AD049E"/>
    <w:rsid w:val="00AD04D8"/>
    <w:rsid w:val="00AD0512"/>
    <w:rsid w:val="00AD05C6"/>
    <w:rsid w:val="00AD13CB"/>
    <w:rsid w:val="00AD16F9"/>
    <w:rsid w:val="00AD1F73"/>
    <w:rsid w:val="00AD2AC7"/>
    <w:rsid w:val="00AD2C60"/>
    <w:rsid w:val="00AD2CA8"/>
    <w:rsid w:val="00AD3444"/>
    <w:rsid w:val="00AD385F"/>
    <w:rsid w:val="00AD3C94"/>
    <w:rsid w:val="00AD3DEA"/>
    <w:rsid w:val="00AD42BA"/>
    <w:rsid w:val="00AD44C9"/>
    <w:rsid w:val="00AD45DD"/>
    <w:rsid w:val="00AD4793"/>
    <w:rsid w:val="00AD4EE9"/>
    <w:rsid w:val="00AD5329"/>
    <w:rsid w:val="00AD5901"/>
    <w:rsid w:val="00AD61BB"/>
    <w:rsid w:val="00AD6522"/>
    <w:rsid w:val="00AD6B26"/>
    <w:rsid w:val="00AD6B2F"/>
    <w:rsid w:val="00AD6D99"/>
    <w:rsid w:val="00AD6E7E"/>
    <w:rsid w:val="00AD6F66"/>
    <w:rsid w:val="00AD7210"/>
    <w:rsid w:val="00AD721D"/>
    <w:rsid w:val="00AD75D1"/>
    <w:rsid w:val="00AD7C1E"/>
    <w:rsid w:val="00AE056C"/>
    <w:rsid w:val="00AE08F1"/>
    <w:rsid w:val="00AE0C69"/>
    <w:rsid w:val="00AE0C7A"/>
    <w:rsid w:val="00AE0DCA"/>
    <w:rsid w:val="00AE13A6"/>
    <w:rsid w:val="00AE197C"/>
    <w:rsid w:val="00AE19C5"/>
    <w:rsid w:val="00AE1C59"/>
    <w:rsid w:val="00AE2075"/>
    <w:rsid w:val="00AE267B"/>
    <w:rsid w:val="00AE28AA"/>
    <w:rsid w:val="00AE2A39"/>
    <w:rsid w:val="00AE2BB4"/>
    <w:rsid w:val="00AE2D2E"/>
    <w:rsid w:val="00AE30D8"/>
    <w:rsid w:val="00AE36DE"/>
    <w:rsid w:val="00AE3CF4"/>
    <w:rsid w:val="00AE41C7"/>
    <w:rsid w:val="00AE46B2"/>
    <w:rsid w:val="00AE526F"/>
    <w:rsid w:val="00AE537B"/>
    <w:rsid w:val="00AE5638"/>
    <w:rsid w:val="00AE576F"/>
    <w:rsid w:val="00AE5EF4"/>
    <w:rsid w:val="00AE75E2"/>
    <w:rsid w:val="00AE76F5"/>
    <w:rsid w:val="00AE7703"/>
    <w:rsid w:val="00AE7C6B"/>
    <w:rsid w:val="00AF02AE"/>
    <w:rsid w:val="00AF0548"/>
    <w:rsid w:val="00AF0832"/>
    <w:rsid w:val="00AF13A2"/>
    <w:rsid w:val="00AF14E5"/>
    <w:rsid w:val="00AF1517"/>
    <w:rsid w:val="00AF157A"/>
    <w:rsid w:val="00AF16EE"/>
    <w:rsid w:val="00AF1DB1"/>
    <w:rsid w:val="00AF2A0F"/>
    <w:rsid w:val="00AF30E1"/>
    <w:rsid w:val="00AF41DA"/>
    <w:rsid w:val="00AF4B40"/>
    <w:rsid w:val="00AF4E62"/>
    <w:rsid w:val="00AF50D5"/>
    <w:rsid w:val="00AF5A10"/>
    <w:rsid w:val="00AF5DD8"/>
    <w:rsid w:val="00AF5EA6"/>
    <w:rsid w:val="00AF5EDD"/>
    <w:rsid w:val="00AF6149"/>
    <w:rsid w:val="00AF61F4"/>
    <w:rsid w:val="00AF624C"/>
    <w:rsid w:val="00AF625A"/>
    <w:rsid w:val="00AF6D0C"/>
    <w:rsid w:val="00AF7003"/>
    <w:rsid w:val="00AF75D5"/>
    <w:rsid w:val="00AF75F7"/>
    <w:rsid w:val="00AF7667"/>
    <w:rsid w:val="00AF7BD3"/>
    <w:rsid w:val="00B000FA"/>
    <w:rsid w:val="00B00E23"/>
    <w:rsid w:val="00B00E80"/>
    <w:rsid w:val="00B0105F"/>
    <w:rsid w:val="00B010FC"/>
    <w:rsid w:val="00B0147C"/>
    <w:rsid w:val="00B015D1"/>
    <w:rsid w:val="00B016E7"/>
    <w:rsid w:val="00B018BC"/>
    <w:rsid w:val="00B019F6"/>
    <w:rsid w:val="00B01EFB"/>
    <w:rsid w:val="00B025D3"/>
    <w:rsid w:val="00B02C4A"/>
    <w:rsid w:val="00B02DDB"/>
    <w:rsid w:val="00B030F5"/>
    <w:rsid w:val="00B03F8F"/>
    <w:rsid w:val="00B04548"/>
    <w:rsid w:val="00B04A0A"/>
    <w:rsid w:val="00B04A25"/>
    <w:rsid w:val="00B04C58"/>
    <w:rsid w:val="00B04E6C"/>
    <w:rsid w:val="00B04EF5"/>
    <w:rsid w:val="00B04FBD"/>
    <w:rsid w:val="00B056A1"/>
    <w:rsid w:val="00B0593A"/>
    <w:rsid w:val="00B05CEF"/>
    <w:rsid w:val="00B062BC"/>
    <w:rsid w:val="00B066F1"/>
    <w:rsid w:val="00B067F5"/>
    <w:rsid w:val="00B06A5F"/>
    <w:rsid w:val="00B06C0F"/>
    <w:rsid w:val="00B07556"/>
    <w:rsid w:val="00B076BD"/>
    <w:rsid w:val="00B07BA1"/>
    <w:rsid w:val="00B07F1C"/>
    <w:rsid w:val="00B10D8E"/>
    <w:rsid w:val="00B111B6"/>
    <w:rsid w:val="00B113CA"/>
    <w:rsid w:val="00B11708"/>
    <w:rsid w:val="00B11BDD"/>
    <w:rsid w:val="00B11DB6"/>
    <w:rsid w:val="00B1207F"/>
    <w:rsid w:val="00B122FA"/>
    <w:rsid w:val="00B125D1"/>
    <w:rsid w:val="00B12B5A"/>
    <w:rsid w:val="00B12C69"/>
    <w:rsid w:val="00B1301E"/>
    <w:rsid w:val="00B13041"/>
    <w:rsid w:val="00B136A8"/>
    <w:rsid w:val="00B13811"/>
    <w:rsid w:val="00B1399D"/>
    <w:rsid w:val="00B13B64"/>
    <w:rsid w:val="00B13D5D"/>
    <w:rsid w:val="00B13E95"/>
    <w:rsid w:val="00B14361"/>
    <w:rsid w:val="00B145D8"/>
    <w:rsid w:val="00B1499F"/>
    <w:rsid w:val="00B15204"/>
    <w:rsid w:val="00B1548A"/>
    <w:rsid w:val="00B15B06"/>
    <w:rsid w:val="00B15EDA"/>
    <w:rsid w:val="00B161CE"/>
    <w:rsid w:val="00B16215"/>
    <w:rsid w:val="00B16265"/>
    <w:rsid w:val="00B162B4"/>
    <w:rsid w:val="00B164F3"/>
    <w:rsid w:val="00B1694E"/>
    <w:rsid w:val="00B16E9A"/>
    <w:rsid w:val="00B17249"/>
    <w:rsid w:val="00B17577"/>
    <w:rsid w:val="00B17627"/>
    <w:rsid w:val="00B20331"/>
    <w:rsid w:val="00B20536"/>
    <w:rsid w:val="00B2094B"/>
    <w:rsid w:val="00B20BDE"/>
    <w:rsid w:val="00B21B2E"/>
    <w:rsid w:val="00B21B50"/>
    <w:rsid w:val="00B21D5B"/>
    <w:rsid w:val="00B21F6E"/>
    <w:rsid w:val="00B21F72"/>
    <w:rsid w:val="00B21FBE"/>
    <w:rsid w:val="00B22399"/>
    <w:rsid w:val="00B226AB"/>
    <w:rsid w:val="00B226B8"/>
    <w:rsid w:val="00B229FD"/>
    <w:rsid w:val="00B22B33"/>
    <w:rsid w:val="00B22CAF"/>
    <w:rsid w:val="00B22EBE"/>
    <w:rsid w:val="00B23334"/>
    <w:rsid w:val="00B23380"/>
    <w:rsid w:val="00B2340D"/>
    <w:rsid w:val="00B2361B"/>
    <w:rsid w:val="00B23979"/>
    <w:rsid w:val="00B23A0F"/>
    <w:rsid w:val="00B23E3A"/>
    <w:rsid w:val="00B23F6B"/>
    <w:rsid w:val="00B2426B"/>
    <w:rsid w:val="00B2578A"/>
    <w:rsid w:val="00B25858"/>
    <w:rsid w:val="00B25969"/>
    <w:rsid w:val="00B25FEF"/>
    <w:rsid w:val="00B26B3B"/>
    <w:rsid w:val="00B26BB0"/>
    <w:rsid w:val="00B27094"/>
    <w:rsid w:val="00B2713F"/>
    <w:rsid w:val="00B275EB"/>
    <w:rsid w:val="00B279FA"/>
    <w:rsid w:val="00B27B2D"/>
    <w:rsid w:val="00B27D63"/>
    <w:rsid w:val="00B301EE"/>
    <w:rsid w:val="00B303F8"/>
    <w:rsid w:val="00B3073F"/>
    <w:rsid w:val="00B30C75"/>
    <w:rsid w:val="00B311E0"/>
    <w:rsid w:val="00B3152E"/>
    <w:rsid w:val="00B3153B"/>
    <w:rsid w:val="00B31CEF"/>
    <w:rsid w:val="00B31D8E"/>
    <w:rsid w:val="00B321C1"/>
    <w:rsid w:val="00B3250B"/>
    <w:rsid w:val="00B32586"/>
    <w:rsid w:val="00B333FF"/>
    <w:rsid w:val="00B334E8"/>
    <w:rsid w:val="00B33769"/>
    <w:rsid w:val="00B33996"/>
    <w:rsid w:val="00B34411"/>
    <w:rsid w:val="00B34A76"/>
    <w:rsid w:val="00B35117"/>
    <w:rsid w:val="00B35145"/>
    <w:rsid w:val="00B3543E"/>
    <w:rsid w:val="00B35518"/>
    <w:rsid w:val="00B35CBB"/>
    <w:rsid w:val="00B35DDA"/>
    <w:rsid w:val="00B35E3C"/>
    <w:rsid w:val="00B36177"/>
    <w:rsid w:val="00B36468"/>
    <w:rsid w:val="00B36807"/>
    <w:rsid w:val="00B374B8"/>
    <w:rsid w:val="00B379CB"/>
    <w:rsid w:val="00B37FDC"/>
    <w:rsid w:val="00B4002F"/>
    <w:rsid w:val="00B40089"/>
    <w:rsid w:val="00B401B0"/>
    <w:rsid w:val="00B4020E"/>
    <w:rsid w:val="00B408FC"/>
    <w:rsid w:val="00B40D16"/>
    <w:rsid w:val="00B40FAF"/>
    <w:rsid w:val="00B410DD"/>
    <w:rsid w:val="00B41267"/>
    <w:rsid w:val="00B413BB"/>
    <w:rsid w:val="00B41A6B"/>
    <w:rsid w:val="00B42449"/>
    <w:rsid w:val="00B4262B"/>
    <w:rsid w:val="00B4289D"/>
    <w:rsid w:val="00B430B9"/>
    <w:rsid w:val="00B435DF"/>
    <w:rsid w:val="00B43768"/>
    <w:rsid w:val="00B4390C"/>
    <w:rsid w:val="00B441AE"/>
    <w:rsid w:val="00B4420A"/>
    <w:rsid w:val="00B44223"/>
    <w:rsid w:val="00B44323"/>
    <w:rsid w:val="00B44759"/>
    <w:rsid w:val="00B448BD"/>
    <w:rsid w:val="00B44B29"/>
    <w:rsid w:val="00B44C05"/>
    <w:rsid w:val="00B45017"/>
    <w:rsid w:val="00B456C6"/>
    <w:rsid w:val="00B45A20"/>
    <w:rsid w:val="00B45EC9"/>
    <w:rsid w:val="00B45EF7"/>
    <w:rsid w:val="00B45F6B"/>
    <w:rsid w:val="00B461F3"/>
    <w:rsid w:val="00B4671F"/>
    <w:rsid w:val="00B46C8B"/>
    <w:rsid w:val="00B4795C"/>
    <w:rsid w:val="00B50648"/>
    <w:rsid w:val="00B509C2"/>
    <w:rsid w:val="00B51127"/>
    <w:rsid w:val="00B514CC"/>
    <w:rsid w:val="00B51847"/>
    <w:rsid w:val="00B51BBB"/>
    <w:rsid w:val="00B5225E"/>
    <w:rsid w:val="00B52993"/>
    <w:rsid w:val="00B529E3"/>
    <w:rsid w:val="00B52D89"/>
    <w:rsid w:val="00B53F32"/>
    <w:rsid w:val="00B541BF"/>
    <w:rsid w:val="00B544D9"/>
    <w:rsid w:val="00B544DD"/>
    <w:rsid w:val="00B547FB"/>
    <w:rsid w:val="00B54822"/>
    <w:rsid w:val="00B54A33"/>
    <w:rsid w:val="00B55928"/>
    <w:rsid w:val="00B567B9"/>
    <w:rsid w:val="00B56B09"/>
    <w:rsid w:val="00B570C5"/>
    <w:rsid w:val="00B570ED"/>
    <w:rsid w:val="00B5789D"/>
    <w:rsid w:val="00B57D09"/>
    <w:rsid w:val="00B607F1"/>
    <w:rsid w:val="00B609E5"/>
    <w:rsid w:val="00B60AD0"/>
    <w:rsid w:val="00B60B95"/>
    <w:rsid w:val="00B61437"/>
    <w:rsid w:val="00B61934"/>
    <w:rsid w:val="00B62000"/>
    <w:rsid w:val="00B62294"/>
    <w:rsid w:val="00B62623"/>
    <w:rsid w:val="00B62695"/>
    <w:rsid w:val="00B63E6E"/>
    <w:rsid w:val="00B641DC"/>
    <w:rsid w:val="00B645D3"/>
    <w:rsid w:val="00B649F9"/>
    <w:rsid w:val="00B64B29"/>
    <w:rsid w:val="00B64B99"/>
    <w:rsid w:val="00B64F34"/>
    <w:rsid w:val="00B6538E"/>
    <w:rsid w:val="00B65771"/>
    <w:rsid w:val="00B657B4"/>
    <w:rsid w:val="00B65D1C"/>
    <w:rsid w:val="00B65F9D"/>
    <w:rsid w:val="00B66064"/>
    <w:rsid w:val="00B6614C"/>
    <w:rsid w:val="00B6616B"/>
    <w:rsid w:val="00B6621E"/>
    <w:rsid w:val="00B66287"/>
    <w:rsid w:val="00B66519"/>
    <w:rsid w:val="00B67162"/>
    <w:rsid w:val="00B678B1"/>
    <w:rsid w:val="00B67A39"/>
    <w:rsid w:val="00B67F1E"/>
    <w:rsid w:val="00B7048A"/>
    <w:rsid w:val="00B70A0A"/>
    <w:rsid w:val="00B70A14"/>
    <w:rsid w:val="00B71308"/>
    <w:rsid w:val="00B713C5"/>
    <w:rsid w:val="00B7186F"/>
    <w:rsid w:val="00B71892"/>
    <w:rsid w:val="00B724E6"/>
    <w:rsid w:val="00B72686"/>
    <w:rsid w:val="00B73149"/>
    <w:rsid w:val="00B73662"/>
    <w:rsid w:val="00B73B03"/>
    <w:rsid w:val="00B73B25"/>
    <w:rsid w:val="00B73C72"/>
    <w:rsid w:val="00B74645"/>
    <w:rsid w:val="00B747F4"/>
    <w:rsid w:val="00B74991"/>
    <w:rsid w:val="00B74BE8"/>
    <w:rsid w:val="00B74C8E"/>
    <w:rsid w:val="00B7506F"/>
    <w:rsid w:val="00B750F3"/>
    <w:rsid w:val="00B7573C"/>
    <w:rsid w:val="00B75986"/>
    <w:rsid w:val="00B75BA4"/>
    <w:rsid w:val="00B75C93"/>
    <w:rsid w:val="00B75CC0"/>
    <w:rsid w:val="00B75F97"/>
    <w:rsid w:val="00B76700"/>
    <w:rsid w:val="00B775EC"/>
    <w:rsid w:val="00B7765A"/>
    <w:rsid w:val="00B778EC"/>
    <w:rsid w:val="00B80014"/>
    <w:rsid w:val="00B804B1"/>
    <w:rsid w:val="00B80705"/>
    <w:rsid w:val="00B80C8E"/>
    <w:rsid w:val="00B82380"/>
    <w:rsid w:val="00B82C89"/>
    <w:rsid w:val="00B833C5"/>
    <w:rsid w:val="00B840DE"/>
    <w:rsid w:val="00B844CD"/>
    <w:rsid w:val="00B84947"/>
    <w:rsid w:val="00B84F1E"/>
    <w:rsid w:val="00B85590"/>
    <w:rsid w:val="00B858AF"/>
    <w:rsid w:val="00B8631F"/>
    <w:rsid w:val="00B8646D"/>
    <w:rsid w:val="00B8686A"/>
    <w:rsid w:val="00B86AD8"/>
    <w:rsid w:val="00B86CAA"/>
    <w:rsid w:val="00B87DF2"/>
    <w:rsid w:val="00B9086D"/>
    <w:rsid w:val="00B908B1"/>
    <w:rsid w:val="00B91485"/>
    <w:rsid w:val="00B9173F"/>
    <w:rsid w:val="00B91D78"/>
    <w:rsid w:val="00B923B5"/>
    <w:rsid w:val="00B92423"/>
    <w:rsid w:val="00B928F6"/>
    <w:rsid w:val="00B92CDC"/>
    <w:rsid w:val="00B92DB7"/>
    <w:rsid w:val="00B933FE"/>
    <w:rsid w:val="00B9345D"/>
    <w:rsid w:val="00B9367F"/>
    <w:rsid w:val="00B93872"/>
    <w:rsid w:val="00B9388C"/>
    <w:rsid w:val="00B93ADB"/>
    <w:rsid w:val="00B93F2A"/>
    <w:rsid w:val="00B93FD6"/>
    <w:rsid w:val="00B9409B"/>
    <w:rsid w:val="00B948EB"/>
    <w:rsid w:val="00B94907"/>
    <w:rsid w:val="00B954F7"/>
    <w:rsid w:val="00B9598F"/>
    <w:rsid w:val="00B95D81"/>
    <w:rsid w:val="00B95F65"/>
    <w:rsid w:val="00B95F95"/>
    <w:rsid w:val="00B96135"/>
    <w:rsid w:val="00B962D0"/>
    <w:rsid w:val="00B97597"/>
    <w:rsid w:val="00B97FBB"/>
    <w:rsid w:val="00BA00D8"/>
    <w:rsid w:val="00BA0657"/>
    <w:rsid w:val="00BA0A9E"/>
    <w:rsid w:val="00BA0D4B"/>
    <w:rsid w:val="00BA128B"/>
    <w:rsid w:val="00BA1B42"/>
    <w:rsid w:val="00BA1CD2"/>
    <w:rsid w:val="00BA2214"/>
    <w:rsid w:val="00BA2279"/>
    <w:rsid w:val="00BA2A01"/>
    <w:rsid w:val="00BA3295"/>
    <w:rsid w:val="00BA32D4"/>
    <w:rsid w:val="00BA3825"/>
    <w:rsid w:val="00BA3C13"/>
    <w:rsid w:val="00BA3D2F"/>
    <w:rsid w:val="00BA3E06"/>
    <w:rsid w:val="00BA40D0"/>
    <w:rsid w:val="00BA41E4"/>
    <w:rsid w:val="00BA4706"/>
    <w:rsid w:val="00BA4730"/>
    <w:rsid w:val="00BA4795"/>
    <w:rsid w:val="00BA4C01"/>
    <w:rsid w:val="00BA5897"/>
    <w:rsid w:val="00BA58AD"/>
    <w:rsid w:val="00BA5EFF"/>
    <w:rsid w:val="00BA688F"/>
    <w:rsid w:val="00BA7092"/>
    <w:rsid w:val="00BB02A6"/>
    <w:rsid w:val="00BB08B1"/>
    <w:rsid w:val="00BB0AB1"/>
    <w:rsid w:val="00BB182B"/>
    <w:rsid w:val="00BB1C54"/>
    <w:rsid w:val="00BB1CA6"/>
    <w:rsid w:val="00BB1CF3"/>
    <w:rsid w:val="00BB223E"/>
    <w:rsid w:val="00BB229A"/>
    <w:rsid w:val="00BB280F"/>
    <w:rsid w:val="00BB28B0"/>
    <w:rsid w:val="00BB28BA"/>
    <w:rsid w:val="00BB2AA2"/>
    <w:rsid w:val="00BB2C66"/>
    <w:rsid w:val="00BB2E70"/>
    <w:rsid w:val="00BB3506"/>
    <w:rsid w:val="00BB38FF"/>
    <w:rsid w:val="00BB3A8A"/>
    <w:rsid w:val="00BB3B1B"/>
    <w:rsid w:val="00BB3B83"/>
    <w:rsid w:val="00BB3DD4"/>
    <w:rsid w:val="00BB3F7E"/>
    <w:rsid w:val="00BB416E"/>
    <w:rsid w:val="00BB4178"/>
    <w:rsid w:val="00BB4368"/>
    <w:rsid w:val="00BB437D"/>
    <w:rsid w:val="00BB453C"/>
    <w:rsid w:val="00BB4685"/>
    <w:rsid w:val="00BB4E60"/>
    <w:rsid w:val="00BB52A3"/>
    <w:rsid w:val="00BB53D0"/>
    <w:rsid w:val="00BB5792"/>
    <w:rsid w:val="00BB5B67"/>
    <w:rsid w:val="00BB6175"/>
    <w:rsid w:val="00BB61ED"/>
    <w:rsid w:val="00BB6693"/>
    <w:rsid w:val="00BB6E9F"/>
    <w:rsid w:val="00BB6F2F"/>
    <w:rsid w:val="00BB6FC8"/>
    <w:rsid w:val="00BB71E0"/>
    <w:rsid w:val="00BB76A8"/>
    <w:rsid w:val="00BB7B0E"/>
    <w:rsid w:val="00BC03D1"/>
    <w:rsid w:val="00BC0D80"/>
    <w:rsid w:val="00BC1193"/>
    <w:rsid w:val="00BC15CF"/>
    <w:rsid w:val="00BC1E63"/>
    <w:rsid w:val="00BC1EFD"/>
    <w:rsid w:val="00BC28E7"/>
    <w:rsid w:val="00BC2BD4"/>
    <w:rsid w:val="00BC305C"/>
    <w:rsid w:val="00BC33F6"/>
    <w:rsid w:val="00BC35AD"/>
    <w:rsid w:val="00BC4546"/>
    <w:rsid w:val="00BC45FB"/>
    <w:rsid w:val="00BC4744"/>
    <w:rsid w:val="00BC483F"/>
    <w:rsid w:val="00BC4BA9"/>
    <w:rsid w:val="00BC4C6B"/>
    <w:rsid w:val="00BC4D97"/>
    <w:rsid w:val="00BC54A2"/>
    <w:rsid w:val="00BC577E"/>
    <w:rsid w:val="00BC5848"/>
    <w:rsid w:val="00BC5A85"/>
    <w:rsid w:val="00BC6516"/>
    <w:rsid w:val="00BC6C92"/>
    <w:rsid w:val="00BC7153"/>
    <w:rsid w:val="00BC728F"/>
    <w:rsid w:val="00BC775B"/>
    <w:rsid w:val="00BD047E"/>
    <w:rsid w:val="00BD061B"/>
    <w:rsid w:val="00BD097D"/>
    <w:rsid w:val="00BD0EC7"/>
    <w:rsid w:val="00BD0F61"/>
    <w:rsid w:val="00BD133B"/>
    <w:rsid w:val="00BD174E"/>
    <w:rsid w:val="00BD1774"/>
    <w:rsid w:val="00BD1CA7"/>
    <w:rsid w:val="00BD1CBB"/>
    <w:rsid w:val="00BD2075"/>
    <w:rsid w:val="00BD221B"/>
    <w:rsid w:val="00BD2720"/>
    <w:rsid w:val="00BD2CD8"/>
    <w:rsid w:val="00BD2D00"/>
    <w:rsid w:val="00BD2E34"/>
    <w:rsid w:val="00BD2F82"/>
    <w:rsid w:val="00BD3568"/>
    <w:rsid w:val="00BD3581"/>
    <w:rsid w:val="00BD36DB"/>
    <w:rsid w:val="00BD3A28"/>
    <w:rsid w:val="00BD3C6F"/>
    <w:rsid w:val="00BD42AF"/>
    <w:rsid w:val="00BD4871"/>
    <w:rsid w:val="00BD4CCA"/>
    <w:rsid w:val="00BD4DB8"/>
    <w:rsid w:val="00BD4FC2"/>
    <w:rsid w:val="00BD52BA"/>
    <w:rsid w:val="00BD59BF"/>
    <w:rsid w:val="00BD5B36"/>
    <w:rsid w:val="00BD615D"/>
    <w:rsid w:val="00BD6D17"/>
    <w:rsid w:val="00BD6D35"/>
    <w:rsid w:val="00BD6F70"/>
    <w:rsid w:val="00BD7538"/>
    <w:rsid w:val="00BD7B13"/>
    <w:rsid w:val="00BD7BDA"/>
    <w:rsid w:val="00BD7E55"/>
    <w:rsid w:val="00BD7E98"/>
    <w:rsid w:val="00BD7F32"/>
    <w:rsid w:val="00BE0227"/>
    <w:rsid w:val="00BE092F"/>
    <w:rsid w:val="00BE0AF4"/>
    <w:rsid w:val="00BE0DBC"/>
    <w:rsid w:val="00BE176C"/>
    <w:rsid w:val="00BE195E"/>
    <w:rsid w:val="00BE2008"/>
    <w:rsid w:val="00BE21E4"/>
    <w:rsid w:val="00BE2664"/>
    <w:rsid w:val="00BE288A"/>
    <w:rsid w:val="00BE298D"/>
    <w:rsid w:val="00BE2BB1"/>
    <w:rsid w:val="00BE2D44"/>
    <w:rsid w:val="00BE2FDB"/>
    <w:rsid w:val="00BE3141"/>
    <w:rsid w:val="00BE33F9"/>
    <w:rsid w:val="00BE346F"/>
    <w:rsid w:val="00BE34EF"/>
    <w:rsid w:val="00BE35B7"/>
    <w:rsid w:val="00BE36D3"/>
    <w:rsid w:val="00BE37BA"/>
    <w:rsid w:val="00BE39E5"/>
    <w:rsid w:val="00BE3F8B"/>
    <w:rsid w:val="00BE4281"/>
    <w:rsid w:val="00BE47E6"/>
    <w:rsid w:val="00BE4996"/>
    <w:rsid w:val="00BE4B3F"/>
    <w:rsid w:val="00BE5348"/>
    <w:rsid w:val="00BE54A5"/>
    <w:rsid w:val="00BE5706"/>
    <w:rsid w:val="00BE58D2"/>
    <w:rsid w:val="00BE5A16"/>
    <w:rsid w:val="00BE5AF8"/>
    <w:rsid w:val="00BE5C40"/>
    <w:rsid w:val="00BE5DFF"/>
    <w:rsid w:val="00BE61FA"/>
    <w:rsid w:val="00BE6410"/>
    <w:rsid w:val="00BE64B0"/>
    <w:rsid w:val="00BE6D76"/>
    <w:rsid w:val="00BE6E4B"/>
    <w:rsid w:val="00BE6F97"/>
    <w:rsid w:val="00BE6FF9"/>
    <w:rsid w:val="00BE750B"/>
    <w:rsid w:val="00BE7A70"/>
    <w:rsid w:val="00BF011D"/>
    <w:rsid w:val="00BF0247"/>
    <w:rsid w:val="00BF0A6E"/>
    <w:rsid w:val="00BF156B"/>
    <w:rsid w:val="00BF227C"/>
    <w:rsid w:val="00BF27E1"/>
    <w:rsid w:val="00BF2B7A"/>
    <w:rsid w:val="00BF3110"/>
    <w:rsid w:val="00BF3A64"/>
    <w:rsid w:val="00BF3D2F"/>
    <w:rsid w:val="00BF41AF"/>
    <w:rsid w:val="00BF42CA"/>
    <w:rsid w:val="00BF4639"/>
    <w:rsid w:val="00BF48DA"/>
    <w:rsid w:val="00BF4AC9"/>
    <w:rsid w:val="00BF4DB6"/>
    <w:rsid w:val="00BF4F04"/>
    <w:rsid w:val="00BF4F41"/>
    <w:rsid w:val="00BF50C0"/>
    <w:rsid w:val="00BF51DC"/>
    <w:rsid w:val="00BF5277"/>
    <w:rsid w:val="00BF59F5"/>
    <w:rsid w:val="00BF60F9"/>
    <w:rsid w:val="00BF667C"/>
    <w:rsid w:val="00BF6793"/>
    <w:rsid w:val="00BF7A65"/>
    <w:rsid w:val="00BF7C99"/>
    <w:rsid w:val="00C0061B"/>
    <w:rsid w:val="00C0095F"/>
    <w:rsid w:val="00C00C41"/>
    <w:rsid w:val="00C00DD1"/>
    <w:rsid w:val="00C011CA"/>
    <w:rsid w:val="00C0121C"/>
    <w:rsid w:val="00C018BA"/>
    <w:rsid w:val="00C02253"/>
    <w:rsid w:val="00C03027"/>
    <w:rsid w:val="00C03BC5"/>
    <w:rsid w:val="00C03DF6"/>
    <w:rsid w:val="00C040A5"/>
    <w:rsid w:val="00C040DF"/>
    <w:rsid w:val="00C04111"/>
    <w:rsid w:val="00C0418F"/>
    <w:rsid w:val="00C041DB"/>
    <w:rsid w:val="00C045C0"/>
    <w:rsid w:val="00C045CD"/>
    <w:rsid w:val="00C05032"/>
    <w:rsid w:val="00C0515E"/>
    <w:rsid w:val="00C05662"/>
    <w:rsid w:val="00C05673"/>
    <w:rsid w:val="00C0572A"/>
    <w:rsid w:val="00C05D8A"/>
    <w:rsid w:val="00C05ED7"/>
    <w:rsid w:val="00C0617A"/>
    <w:rsid w:val="00C06664"/>
    <w:rsid w:val="00C06CD5"/>
    <w:rsid w:val="00C07280"/>
    <w:rsid w:val="00C07B5A"/>
    <w:rsid w:val="00C07BA7"/>
    <w:rsid w:val="00C10143"/>
    <w:rsid w:val="00C101D8"/>
    <w:rsid w:val="00C10418"/>
    <w:rsid w:val="00C1054F"/>
    <w:rsid w:val="00C10634"/>
    <w:rsid w:val="00C10977"/>
    <w:rsid w:val="00C1153C"/>
    <w:rsid w:val="00C12018"/>
    <w:rsid w:val="00C13F09"/>
    <w:rsid w:val="00C15004"/>
    <w:rsid w:val="00C15CF2"/>
    <w:rsid w:val="00C15D7A"/>
    <w:rsid w:val="00C15E2D"/>
    <w:rsid w:val="00C1636B"/>
    <w:rsid w:val="00C16EEB"/>
    <w:rsid w:val="00C16FFC"/>
    <w:rsid w:val="00C17024"/>
    <w:rsid w:val="00C171AF"/>
    <w:rsid w:val="00C172EE"/>
    <w:rsid w:val="00C1734F"/>
    <w:rsid w:val="00C174D3"/>
    <w:rsid w:val="00C1761A"/>
    <w:rsid w:val="00C1793B"/>
    <w:rsid w:val="00C17C0F"/>
    <w:rsid w:val="00C17C7E"/>
    <w:rsid w:val="00C17EE2"/>
    <w:rsid w:val="00C205F2"/>
    <w:rsid w:val="00C20E42"/>
    <w:rsid w:val="00C20ED9"/>
    <w:rsid w:val="00C217A5"/>
    <w:rsid w:val="00C21C31"/>
    <w:rsid w:val="00C21CCE"/>
    <w:rsid w:val="00C21E29"/>
    <w:rsid w:val="00C220F2"/>
    <w:rsid w:val="00C223B7"/>
    <w:rsid w:val="00C2244A"/>
    <w:rsid w:val="00C22635"/>
    <w:rsid w:val="00C22D04"/>
    <w:rsid w:val="00C2322B"/>
    <w:rsid w:val="00C23336"/>
    <w:rsid w:val="00C23416"/>
    <w:rsid w:val="00C23630"/>
    <w:rsid w:val="00C23913"/>
    <w:rsid w:val="00C23F61"/>
    <w:rsid w:val="00C247D6"/>
    <w:rsid w:val="00C24903"/>
    <w:rsid w:val="00C24B0C"/>
    <w:rsid w:val="00C24C5E"/>
    <w:rsid w:val="00C2514C"/>
    <w:rsid w:val="00C25580"/>
    <w:rsid w:val="00C258B1"/>
    <w:rsid w:val="00C25B50"/>
    <w:rsid w:val="00C261B0"/>
    <w:rsid w:val="00C26299"/>
    <w:rsid w:val="00C262A2"/>
    <w:rsid w:val="00C269B6"/>
    <w:rsid w:val="00C27413"/>
    <w:rsid w:val="00C27873"/>
    <w:rsid w:val="00C27F59"/>
    <w:rsid w:val="00C31231"/>
    <w:rsid w:val="00C318B0"/>
    <w:rsid w:val="00C31AC5"/>
    <w:rsid w:val="00C326D0"/>
    <w:rsid w:val="00C3297F"/>
    <w:rsid w:val="00C33673"/>
    <w:rsid w:val="00C33B3A"/>
    <w:rsid w:val="00C34820"/>
    <w:rsid w:val="00C34A16"/>
    <w:rsid w:val="00C350FC"/>
    <w:rsid w:val="00C35248"/>
    <w:rsid w:val="00C35520"/>
    <w:rsid w:val="00C35633"/>
    <w:rsid w:val="00C35A6F"/>
    <w:rsid w:val="00C35DDE"/>
    <w:rsid w:val="00C361A3"/>
    <w:rsid w:val="00C3639B"/>
    <w:rsid w:val="00C3718A"/>
    <w:rsid w:val="00C37442"/>
    <w:rsid w:val="00C3751C"/>
    <w:rsid w:val="00C379E8"/>
    <w:rsid w:val="00C37C65"/>
    <w:rsid w:val="00C37E0F"/>
    <w:rsid w:val="00C41901"/>
    <w:rsid w:val="00C42188"/>
    <w:rsid w:val="00C4250C"/>
    <w:rsid w:val="00C428B3"/>
    <w:rsid w:val="00C43738"/>
    <w:rsid w:val="00C437C2"/>
    <w:rsid w:val="00C44027"/>
    <w:rsid w:val="00C443D6"/>
    <w:rsid w:val="00C4450B"/>
    <w:rsid w:val="00C44DBE"/>
    <w:rsid w:val="00C451D5"/>
    <w:rsid w:val="00C451F9"/>
    <w:rsid w:val="00C453DA"/>
    <w:rsid w:val="00C455AD"/>
    <w:rsid w:val="00C457B0"/>
    <w:rsid w:val="00C45E61"/>
    <w:rsid w:val="00C45F6A"/>
    <w:rsid w:val="00C46260"/>
    <w:rsid w:val="00C4695B"/>
    <w:rsid w:val="00C472A8"/>
    <w:rsid w:val="00C472D1"/>
    <w:rsid w:val="00C47444"/>
    <w:rsid w:val="00C47455"/>
    <w:rsid w:val="00C47725"/>
    <w:rsid w:val="00C47C39"/>
    <w:rsid w:val="00C47C7C"/>
    <w:rsid w:val="00C47F22"/>
    <w:rsid w:val="00C508AE"/>
    <w:rsid w:val="00C508FC"/>
    <w:rsid w:val="00C51326"/>
    <w:rsid w:val="00C51399"/>
    <w:rsid w:val="00C51CF3"/>
    <w:rsid w:val="00C51FEA"/>
    <w:rsid w:val="00C52748"/>
    <w:rsid w:val="00C52788"/>
    <w:rsid w:val="00C52E49"/>
    <w:rsid w:val="00C5361E"/>
    <w:rsid w:val="00C5438F"/>
    <w:rsid w:val="00C54535"/>
    <w:rsid w:val="00C54EC4"/>
    <w:rsid w:val="00C54F67"/>
    <w:rsid w:val="00C5587F"/>
    <w:rsid w:val="00C55B93"/>
    <w:rsid w:val="00C55DAE"/>
    <w:rsid w:val="00C55DD1"/>
    <w:rsid w:val="00C564F6"/>
    <w:rsid w:val="00C56613"/>
    <w:rsid w:val="00C56D84"/>
    <w:rsid w:val="00C574A4"/>
    <w:rsid w:val="00C5797C"/>
    <w:rsid w:val="00C57BCD"/>
    <w:rsid w:val="00C60DAC"/>
    <w:rsid w:val="00C61223"/>
    <w:rsid w:val="00C614DE"/>
    <w:rsid w:val="00C61607"/>
    <w:rsid w:val="00C61AD4"/>
    <w:rsid w:val="00C62070"/>
    <w:rsid w:val="00C62508"/>
    <w:rsid w:val="00C62A42"/>
    <w:rsid w:val="00C630D0"/>
    <w:rsid w:val="00C63443"/>
    <w:rsid w:val="00C6360E"/>
    <w:rsid w:val="00C63642"/>
    <w:rsid w:val="00C637D8"/>
    <w:rsid w:val="00C64240"/>
    <w:rsid w:val="00C6437C"/>
    <w:rsid w:val="00C646EF"/>
    <w:rsid w:val="00C64CB2"/>
    <w:rsid w:val="00C64F11"/>
    <w:rsid w:val="00C65574"/>
    <w:rsid w:val="00C65961"/>
    <w:rsid w:val="00C65D7B"/>
    <w:rsid w:val="00C65D82"/>
    <w:rsid w:val="00C65DBA"/>
    <w:rsid w:val="00C66332"/>
    <w:rsid w:val="00C66625"/>
    <w:rsid w:val="00C66763"/>
    <w:rsid w:val="00C66822"/>
    <w:rsid w:val="00C66A05"/>
    <w:rsid w:val="00C66D02"/>
    <w:rsid w:val="00C67671"/>
    <w:rsid w:val="00C67CFC"/>
    <w:rsid w:val="00C67EF4"/>
    <w:rsid w:val="00C704E4"/>
    <w:rsid w:val="00C705AD"/>
    <w:rsid w:val="00C7076C"/>
    <w:rsid w:val="00C70E2A"/>
    <w:rsid w:val="00C71120"/>
    <w:rsid w:val="00C71207"/>
    <w:rsid w:val="00C71281"/>
    <w:rsid w:val="00C714C2"/>
    <w:rsid w:val="00C71782"/>
    <w:rsid w:val="00C71A0E"/>
    <w:rsid w:val="00C720C2"/>
    <w:rsid w:val="00C72156"/>
    <w:rsid w:val="00C72FD2"/>
    <w:rsid w:val="00C732BB"/>
    <w:rsid w:val="00C7357C"/>
    <w:rsid w:val="00C7359F"/>
    <w:rsid w:val="00C736E8"/>
    <w:rsid w:val="00C737D6"/>
    <w:rsid w:val="00C7422E"/>
    <w:rsid w:val="00C752EF"/>
    <w:rsid w:val="00C753EF"/>
    <w:rsid w:val="00C756F3"/>
    <w:rsid w:val="00C75F7D"/>
    <w:rsid w:val="00C7632C"/>
    <w:rsid w:val="00C76497"/>
    <w:rsid w:val="00C7655D"/>
    <w:rsid w:val="00C76B14"/>
    <w:rsid w:val="00C76E8D"/>
    <w:rsid w:val="00C76FCA"/>
    <w:rsid w:val="00C772AE"/>
    <w:rsid w:val="00C774EA"/>
    <w:rsid w:val="00C777C5"/>
    <w:rsid w:val="00C77927"/>
    <w:rsid w:val="00C77B4C"/>
    <w:rsid w:val="00C80165"/>
    <w:rsid w:val="00C801E5"/>
    <w:rsid w:val="00C802D6"/>
    <w:rsid w:val="00C808CE"/>
    <w:rsid w:val="00C80B53"/>
    <w:rsid w:val="00C80DBA"/>
    <w:rsid w:val="00C816C2"/>
    <w:rsid w:val="00C820AA"/>
    <w:rsid w:val="00C82A93"/>
    <w:rsid w:val="00C82B31"/>
    <w:rsid w:val="00C82D49"/>
    <w:rsid w:val="00C8329C"/>
    <w:rsid w:val="00C83357"/>
    <w:rsid w:val="00C83D76"/>
    <w:rsid w:val="00C83EAB"/>
    <w:rsid w:val="00C84056"/>
    <w:rsid w:val="00C84732"/>
    <w:rsid w:val="00C84815"/>
    <w:rsid w:val="00C85181"/>
    <w:rsid w:val="00C85269"/>
    <w:rsid w:val="00C8540A"/>
    <w:rsid w:val="00C85E07"/>
    <w:rsid w:val="00C86342"/>
    <w:rsid w:val="00C866D4"/>
    <w:rsid w:val="00C86936"/>
    <w:rsid w:val="00C869FA"/>
    <w:rsid w:val="00C86A43"/>
    <w:rsid w:val="00C86B0D"/>
    <w:rsid w:val="00C86B0F"/>
    <w:rsid w:val="00C86CE8"/>
    <w:rsid w:val="00C87294"/>
    <w:rsid w:val="00C8731D"/>
    <w:rsid w:val="00C87AA2"/>
    <w:rsid w:val="00C90ADE"/>
    <w:rsid w:val="00C90AE7"/>
    <w:rsid w:val="00C90C68"/>
    <w:rsid w:val="00C91138"/>
    <w:rsid w:val="00C91449"/>
    <w:rsid w:val="00C91C0D"/>
    <w:rsid w:val="00C91E43"/>
    <w:rsid w:val="00C9221A"/>
    <w:rsid w:val="00C92543"/>
    <w:rsid w:val="00C92603"/>
    <w:rsid w:val="00C92F22"/>
    <w:rsid w:val="00C9314B"/>
    <w:rsid w:val="00C9319C"/>
    <w:rsid w:val="00C935EA"/>
    <w:rsid w:val="00C936D4"/>
    <w:rsid w:val="00C93BF6"/>
    <w:rsid w:val="00C93D32"/>
    <w:rsid w:val="00C93DB4"/>
    <w:rsid w:val="00C93F62"/>
    <w:rsid w:val="00C94146"/>
    <w:rsid w:val="00C9417F"/>
    <w:rsid w:val="00C941FF"/>
    <w:rsid w:val="00C94C2B"/>
    <w:rsid w:val="00C94E15"/>
    <w:rsid w:val="00C95107"/>
    <w:rsid w:val="00C9518A"/>
    <w:rsid w:val="00C95439"/>
    <w:rsid w:val="00C95ACC"/>
    <w:rsid w:val="00C95E23"/>
    <w:rsid w:val="00C96802"/>
    <w:rsid w:val="00C96C13"/>
    <w:rsid w:val="00C96CEA"/>
    <w:rsid w:val="00C97119"/>
    <w:rsid w:val="00C974C0"/>
    <w:rsid w:val="00C9789F"/>
    <w:rsid w:val="00C978C2"/>
    <w:rsid w:val="00CA076B"/>
    <w:rsid w:val="00CA0A74"/>
    <w:rsid w:val="00CA0BDC"/>
    <w:rsid w:val="00CA0FE8"/>
    <w:rsid w:val="00CA189A"/>
    <w:rsid w:val="00CA1DEC"/>
    <w:rsid w:val="00CA239D"/>
    <w:rsid w:val="00CA2A49"/>
    <w:rsid w:val="00CA2D98"/>
    <w:rsid w:val="00CA2E4F"/>
    <w:rsid w:val="00CA3056"/>
    <w:rsid w:val="00CA3679"/>
    <w:rsid w:val="00CA3B34"/>
    <w:rsid w:val="00CA3E48"/>
    <w:rsid w:val="00CA3E92"/>
    <w:rsid w:val="00CA493D"/>
    <w:rsid w:val="00CA4CDC"/>
    <w:rsid w:val="00CA5120"/>
    <w:rsid w:val="00CA581E"/>
    <w:rsid w:val="00CA6115"/>
    <w:rsid w:val="00CA6570"/>
    <w:rsid w:val="00CA6920"/>
    <w:rsid w:val="00CA6BCE"/>
    <w:rsid w:val="00CA7A39"/>
    <w:rsid w:val="00CA7B52"/>
    <w:rsid w:val="00CA7BD4"/>
    <w:rsid w:val="00CB0270"/>
    <w:rsid w:val="00CB076F"/>
    <w:rsid w:val="00CB0924"/>
    <w:rsid w:val="00CB0C00"/>
    <w:rsid w:val="00CB0E3A"/>
    <w:rsid w:val="00CB1685"/>
    <w:rsid w:val="00CB1BB7"/>
    <w:rsid w:val="00CB1DF6"/>
    <w:rsid w:val="00CB1F59"/>
    <w:rsid w:val="00CB2023"/>
    <w:rsid w:val="00CB27C6"/>
    <w:rsid w:val="00CB2F9A"/>
    <w:rsid w:val="00CB31C8"/>
    <w:rsid w:val="00CB321B"/>
    <w:rsid w:val="00CB3352"/>
    <w:rsid w:val="00CB341B"/>
    <w:rsid w:val="00CB37D7"/>
    <w:rsid w:val="00CB3B3F"/>
    <w:rsid w:val="00CB433E"/>
    <w:rsid w:val="00CB4392"/>
    <w:rsid w:val="00CB4B70"/>
    <w:rsid w:val="00CB4EBB"/>
    <w:rsid w:val="00CB5020"/>
    <w:rsid w:val="00CB53CC"/>
    <w:rsid w:val="00CB5579"/>
    <w:rsid w:val="00CB561F"/>
    <w:rsid w:val="00CB5C05"/>
    <w:rsid w:val="00CB66BA"/>
    <w:rsid w:val="00CB6977"/>
    <w:rsid w:val="00CB6B33"/>
    <w:rsid w:val="00CB6E22"/>
    <w:rsid w:val="00CB6E8C"/>
    <w:rsid w:val="00CB72E3"/>
    <w:rsid w:val="00CB7848"/>
    <w:rsid w:val="00CB7A6D"/>
    <w:rsid w:val="00CB7BF4"/>
    <w:rsid w:val="00CB7C33"/>
    <w:rsid w:val="00CC0399"/>
    <w:rsid w:val="00CC0671"/>
    <w:rsid w:val="00CC0A90"/>
    <w:rsid w:val="00CC1B59"/>
    <w:rsid w:val="00CC1E65"/>
    <w:rsid w:val="00CC236F"/>
    <w:rsid w:val="00CC2401"/>
    <w:rsid w:val="00CC259A"/>
    <w:rsid w:val="00CC2D5D"/>
    <w:rsid w:val="00CC2E08"/>
    <w:rsid w:val="00CC3001"/>
    <w:rsid w:val="00CC3105"/>
    <w:rsid w:val="00CC334A"/>
    <w:rsid w:val="00CC3363"/>
    <w:rsid w:val="00CC341D"/>
    <w:rsid w:val="00CC35E2"/>
    <w:rsid w:val="00CC37FC"/>
    <w:rsid w:val="00CC38FC"/>
    <w:rsid w:val="00CC3DA3"/>
    <w:rsid w:val="00CC45B0"/>
    <w:rsid w:val="00CC4D38"/>
    <w:rsid w:val="00CC4E12"/>
    <w:rsid w:val="00CC5109"/>
    <w:rsid w:val="00CC5364"/>
    <w:rsid w:val="00CC544C"/>
    <w:rsid w:val="00CC5497"/>
    <w:rsid w:val="00CC59AE"/>
    <w:rsid w:val="00CC5EA3"/>
    <w:rsid w:val="00CC6361"/>
    <w:rsid w:val="00CC63FB"/>
    <w:rsid w:val="00CC670A"/>
    <w:rsid w:val="00CC6AD3"/>
    <w:rsid w:val="00CC7D4F"/>
    <w:rsid w:val="00CD058F"/>
    <w:rsid w:val="00CD0836"/>
    <w:rsid w:val="00CD0A1C"/>
    <w:rsid w:val="00CD0CF1"/>
    <w:rsid w:val="00CD0D9F"/>
    <w:rsid w:val="00CD0ED2"/>
    <w:rsid w:val="00CD108D"/>
    <w:rsid w:val="00CD1318"/>
    <w:rsid w:val="00CD193B"/>
    <w:rsid w:val="00CD1B16"/>
    <w:rsid w:val="00CD2182"/>
    <w:rsid w:val="00CD2698"/>
    <w:rsid w:val="00CD2771"/>
    <w:rsid w:val="00CD2C8F"/>
    <w:rsid w:val="00CD2D30"/>
    <w:rsid w:val="00CD2FED"/>
    <w:rsid w:val="00CD3001"/>
    <w:rsid w:val="00CD325C"/>
    <w:rsid w:val="00CD33A7"/>
    <w:rsid w:val="00CD34EA"/>
    <w:rsid w:val="00CD39A7"/>
    <w:rsid w:val="00CD3EF7"/>
    <w:rsid w:val="00CD5136"/>
    <w:rsid w:val="00CD51C9"/>
    <w:rsid w:val="00CD5585"/>
    <w:rsid w:val="00CD56B7"/>
    <w:rsid w:val="00CD5945"/>
    <w:rsid w:val="00CD5BE1"/>
    <w:rsid w:val="00CD5D30"/>
    <w:rsid w:val="00CD5D7A"/>
    <w:rsid w:val="00CD5D97"/>
    <w:rsid w:val="00CD654B"/>
    <w:rsid w:val="00CD6611"/>
    <w:rsid w:val="00CD6666"/>
    <w:rsid w:val="00CD6E63"/>
    <w:rsid w:val="00CD6EFC"/>
    <w:rsid w:val="00CD7042"/>
    <w:rsid w:val="00CD72C6"/>
    <w:rsid w:val="00CD74B1"/>
    <w:rsid w:val="00CD773B"/>
    <w:rsid w:val="00CE0074"/>
    <w:rsid w:val="00CE04C5"/>
    <w:rsid w:val="00CE0955"/>
    <w:rsid w:val="00CE0FC2"/>
    <w:rsid w:val="00CE101E"/>
    <w:rsid w:val="00CE1251"/>
    <w:rsid w:val="00CE13D0"/>
    <w:rsid w:val="00CE1533"/>
    <w:rsid w:val="00CE1F19"/>
    <w:rsid w:val="00CE321B"/>
    <w:rsid w:val="00CE34AB"/>
    <w:rsid w:val="00CE35B0"/>
    <w:rsid w:val="00CE361F"/>
    <w:rsid w:val="00CE3F46"/>
    <w:rsid w:val="00CE432D"/>
    <w:rsid w:val="00CE461C"/>
    <w:rsid w:val="00CE47DC"/>
    <w:rsid w:val="00CE5641"/>
    <w:rsid w:val="00CE596E"/>
    <w:rsid w:val="00CE5E48"/>
    <w:rsid w:val="00CE6024"/>
    <w:rsid w:val="00CE697F"/>
    <w:rsid w:val="00CE6A4F"/>
    <w:rsid w:val="00CE6AAA"/>
    <w:rsid w:val="00CE6B0B"/>
    <w:rsid w:val="00CE6C43"/>
    <w:rsid w:val="00CE6CAA"/>
    <w:rsid w:val="00CE6F67"/>
    <w:rsid w:val="00CE71B7"/>
    <w:rsid w:val="00CE783E"/>
    <w:rsid w:val="00CE7AA5"/>
    <w:rsid w:val="00CE7E5A"/>
    <w:rsid w:val="00CE7E5B"/>
    <w:rsid w:val="00CF065B"/>
    <w:rsid w:val="00CF0837"/>
    <w:rsid w:val="00CF08DE"/>
    <w:rsid w:val="00CF0B9F"/>
    <w:rsid w:val="00CF0CDD"/>
    <w:rsid w:val="00CF0CF7"/>
    <w:rsid w:val="00CF0E5C"/>
    <w:rsid w:val="00CF0EF0"/>
    <w:rsid w:val="00CF14F2"/>
    <w:rsid w:val="00CF16D3"/>
    <w:rsid w:val="00CF22A7"/>
    <w:rsid w:val="00CF2BAD"/>
    <w:rsid w:val="00CF2CBA"/>
    <w:rsid w:val="00CF2D43"/>
    <w:rsid w:val="00CF2FD6"/>
    <w:rsid w:val="00CF343A"/>
    <w:rsid w:val="00CF3909"/>
    <w:rsid w:val="00CF3D92"/>
    <w:rsid w:val="00CF43F4"/>
    <w:rsid w:val="00CF4412"/>
    <w:rsid w:val="00CF459F"/>
    <w:rsid w:val="00CF50F4"/>
    <w:rsid w:val="00CF5166"/>
    <w:rsid w:val="00CF5257"/>
    <w:rsid w:val="00CF54DC"/>
    <w:rsid w:val="00CF55BE"/>
    <w:rsid w:val="00CF59CF"/>
    <w:rsid w:val="00CF5D1A"/>
    <w:rsid w:val="00CF5E56"/>
    <w:rsid w:val="00CF5F6E"/>
    <w:rsid w:val="00CF60ED"/>
    <w:rsid w:val="00CF64D1"/>
    <w:rsid w:val="00CF65EC"/>
    <w:rsid w:val="00CF66C2"/>
    <w:rsid w:val="00CF6887"/>
    <w:rsid w:val="00CF690C"/>
    <w:rsid w:val="00CF75A1"/>
    <w:rsid w:val="00CF76D8"/>
    <w:rsid w:val="00CF770E"/>
    <w:rsid w:val="00CF782E"/>
    <w:rsid w:val="00CF7F40"/>
    <w:rsid w:val="00D0026D"/>
    <w:rsid w:val="00D003A8"/>
    <w:rsid w:val="00D003BA"/>
    <w:rsid w:val="00D00FB1"/>
    <w:rsid w:val="00D00FB3"/>
    <w:rsid w:val="00D01029"/>
    <w:rsid w:val="00D0149D"/>
    <w:rsid w:val="00D025CC"/>
    <w:rsid w:val="00D02659"/>
    <w:rsid w:val="00D02716"/>
    <w:rsid w:val="00D02834"/>
    <w:rsid w:val="00D02C42"/>
    <w:rsid w:val="00D03A64"/>
    <w:rsid w:val="00D03D6C"/>
    <w:rsid w:val="00D03E56"/>
    <w:rsid w:val="00D03FC9"/>
    <w:rsid w:val="00D04AE8"/>
    <w:rsid w:val="00D04AF6"/>
    <w:rsid w:val="00D04BCF"/>
    <w:rsid w:val="00D04C06"/>
    <w:rsid w:val="00D04CC5"/>
    <w:rsid w:val="00D04D4E"/>
    <w:rsid w:val="00D05257"/>
    <w:rsid w:val="00D05AC6"/>
    <w:rsid w:val="00D06355"/>
    <w:rsid w:val="00D06955"/>
    <w:rsid w:val="00D06CBC"/>
    <w:rsid w:val="00D0721D"/>
    <w:rsid w:val="00D073E6"/>
    <w:rsid w:val="00D0771E"/>
    <w:rsid w:val="00D07A38"/>
    <w:rsid w:val="00D07D3F"/>
    <w:rsid w:val="00D07FBB"/>
    <w:rsid w:val="00D1054C"/>
    <w:rsid w:val="00D1060D"/>
    <w:rsid w:val="00D106B3"/>
    <w:rsid w:val="00D1087A"/>
    <w:rsid w:val="00D10FDD"/>
    <w:rsid w:val="00D110F9"/>
    <w:rsid w:val="00D1155C"/>
    <w:rsid w:val="00D116E9"/>
    <w:rsid w:val="00D11827"/>
    <w:rsid w:val="00D11B3D"/>
    <w:rsid w:val="00D120FB"/>
    <w:rsid w:val="00D12A92"/>
    <w:rsid w:val="00D12AA5"/>
    <w:rsid w:val="00D12E84"/>
    <w:rsid w:val="00D13201"/>
    <w:rsid w:val="00D13271"/>
    <w:rsid w:val="00D132D2"/>
    <w:rsid w:val="00D1339B"/>
    <w:rsid w:val="00D1457F"/>
    <w:rsid w:val="00D146F3"/>
    <w:rsid w:val="00D14762"/>
    <w:rsid w:val="00D1501C"/>
    <w:rsid w:val="00D1552A"/>
    <w:rsid w:val="00D1591E"/>
    <w:rsid w:val="00D15A4E"/>
    <w:rsid w:val="00D15E74"/>
    <w:rsid w:val="00D162BB"/>
    <w:rsid w:val="00D16D7B"/>
    <w:rsid w:val="00D16EBF"/>
    <w:rsid w:val="00D172B0"/>
    <w:rsid w:val="00D177BB"/>
    <w:rsid w:val="00D2058B"/>
    <w:rsid w:val="00D2063F"/>
    <w:rsid w:val="00D20AB7"/>
    <w:rsid w:val="00D20BE4"/>
    <w:rsid w:val="00D20CB9"/>
    <w:rsid w:val="00D21272"/>
    <w:rsid w:val="00D215D0"/>
    <w:rsid w:val="00D216DD"/>
    <w:rsid w:val="00D222BF"/>
    <w:rsid w:val="00D229FC"/>
    <w:rsid w:val="00D22FBD"/>
    <w:rsid w:val="00D23D75"/>
    <w:rsid w:val="00D24203"/>
    <w:rsid w:val="00D2421A"/>
    <w:rsid w:val="00D244E6"/>
    <w:rsid w:val="00D24530"/>
    <w:rsid w:val="00D24571"/>
    <w:rsid w:val="00D24688"/>
    <w:rsid w:val="00D248E4"/>
    <w:rsid w:val="00D2497E"/>
    <w:rsid w:val="00D24C61"/>
    <w:rsid w:val="00D24FFA"/>
    <w:rsid w:val="00D2576F"/>
    <w:rsid w:val="00D261C0"/>
    <w:rsid w:val="00D2628A"/>
    <w:rsid w:val="00D26313"/>
    <w:rsid w:val="00D266C6"/>
    <w:rsid w:val="00D26897"/>
    <w:rsid w:val="00D268F6"/>
    <w:rsid w:val="00D275FD"/>
    <w:rsid w:val="00D27F5B"/>
    <w:rsid w:val="00D27FFA"/>
    <w:rsid w:val="00D30536"/>
    <w:rsid w:val="00D30FEB"/>
    <w:rsid w:val="00D31572"/>
    <w:rsid w:val="00D31DC6"/>
    <w:rsid w:val="00D31FD4"/>
    <w:rsid w:val="00D320C6"/>
    <w:rsid w:val="00D3280B"/>
    <w:rsid w:val="00D32B7E"/>
    <w:rsid w:val="00D33524"/>
    <w:rsid w:val="00D33875"/>
    <w:rsid w:val="00D33916"/>
    <w:rsid w:val="00D33A23"/>
    <w:rsid w:val="00D33A7B"/>
    <w:rsid w:val="00D34056"/>
    <w:rsid w:val="00D3448D"/>
    <w:rsid w:val="00D34550"/>
    <w:rsid w:val="00D349C3"/>
    <w:rsid w:val="00D35915"/>
    <w:rsid w:val="00D35A73"/>
    <w:rsid w:val="00D35C0F"/>
    <w:rsid w:val="00D35D02"/>
    <w:rsid w:val="00D3621D"/>
    <w:rsid w:val="00D36873"/>
    <w:rsid w:val="00D36ADA"/>
    <w:rsid w:val="00D36F69"/>
    <w:rsid w:val="00D374CA"/>
    <w:rsid w:val="00D376A9"/>
    <w:rsid w:val="00D402AD"/>
    <w:rsid w:val="00D407F3"/>
    <w:rsid w:val="00D40894"/>
    <w:rsid w:val="00D411A7"/>
    <w:rsid w:val="00D41609"/>
    <w:rsid w:val="00D41781"/>
    <w:rsid w:val="00D417B4"/>
    <w:rsid w:val="00D4231C"/>
    <w:rsid w:val="00D4240E"/>
    <w:rsid w:val="00D42C41"/>
    <w:rsid w:val="00D433BF"/>
    <w:rsid w:val="00D43547"/>
    <w:rsid w:val="00D44163"/>
    <w:rsid w:val="00D444E3"/>
    <w:rsid w:val="00D44661"/>
    <w:rsid w:val="00D446B2"/>
    <w:rsid w:val="00D4471F"/>
    <w:rsid w:val="00D44F27"/>
    <w:rsid w:val="00D45534"/>
    <w:rsid w:val="00D4583B"/>
    <w:rsid w:val="00D4622E"/>
    <w:rsid w:val="00D46264"/>
    <w:rsid w:val="00D46DB4"/>
    <w:rsid w:val="00D46F04"/>
    <w:rsid w:val="00D47D2A"/>
    <w:rsid w:val="00D50611"/>
    <w:rsid w:val="00D508DB"/>
    <w:rsid w:val="00D50DFA"/>
    <w:rsid w:val="00D50EBA"/>
    <w:rsid w:val="00D51049"/>
    <w:rsid w:val="00D5104D"/>
    <w:rsid w:val="00D51665"/>
    <w:rsid w:val="00D51A2D"/>
    <w:rsid w:val="00D51C70"/>
    <w:rsid w:val="00D51E1B"/>
    <w:rsid w:val="00D5224A"/>
    <w:rsid w:val="00D524E6"/>
    <w:rsid w:val="00D52536"/>
    <w:rsid w:val="00D52974"/>
    <w:rsid w:val="00D52A6F"/>
    <w:rsid w:val="00D52CC7"/>
    <w:rsid w:val="00D52D40"/>
    <w:rsid w:val="00D53C19"/>
    <w:rsid w:val="00D53D3C"/>
    <w:rsid w:val="00D53E5D"/>
    <w:rsid w:val="00D54179"/>
    <w:rsid w:val="00D5462A"/>
    <w:rsid w:val="00D54BDE"/>
    <w:rsid w:val="00D54F2A"/>
    <w:rsid w:val="00D55283"/>
    <w:rsid w:val="00D552CE"/>
    <w:rsid w:val="00D558C8"/>
    <w:rsid w:val="00D55D09"/>
    <w:rsid w:val="00D55D5D"/>
    <w:rsid w:val="00D55FB0"/>
    <w:rsid w:val="00D5690C"/>
    <w:rsid w:val="00D569F5"/>
    <w:rsid w:val="00D56F70"/>
    <w:rsid w:val="00D571DB"/>
    <w:rsid w:val="00D57A1C"/>
    <w:rsid w:val="00D57B19"/>
    <w:rsid w:val="00D57C77"/>
    <w:rsid w:val="00D57D47"/>
    <w:rsid w:val="00D57F88"/>
    <w:rsid w:val="00D6009C"/>
    <w:rsid w:val="00D60BFF"/>
    <w:rsid w:val="00D60F64"/>
    <w:rsid w:val="00D61A35"/>
    <w:rsid w:val="00D61B0B"/>
    <w:rsid w:val="00D61B89"/>
    <w:rsid w:val="00D61C53"/>
    <w:rsid w:val="00D61F8B"/>
    <w:rsid w:val="00D6244F"/>
    <w:rsid w:val="00D629CE"/>
    <w:rsid w:val="00D62ACF"/>
    <w:rsid w:val="00D62B91"/>
    <w:rsid w:val="00D62B92"/>
    <w:rsid w:val="00D62FA1"/>
    <w:rsid w:val="00D630CF"/>
    <w:rsid w:val="00D63181"/>
    <w:rsid w:val="00D632D4"/>
    <w:rsid w:val="00D6334E"/>
    <w:rsid w:val="00D63642"/>
    <w:rsid w:val="00D63D52"/>
    <w:rsid w:val="00D63DFD"/>
    <w:rsid w:val="00D63F7B"/>
    <w:rsid w:val="00D6400E"/>
    <w:rsid w:val="00D64C43"/>
    <w:rsid w:val="00D66DDF"/>
    <w:rsid w:val="00D6720F"/>
    <w:rsid w:val="00D67294"/>
    <w:rsid w:val="00D676F4"/>
    <w:rsid w:val="00D67833"/>
    <w:rsid w:val="00D67C2D"/>
    <w:rsid w:val="00D706F6"/>
    <w:rsid w:val="00D710B7"/>
    <w:rsid w:val="00D715BE"/>
    <w:rsid w:val="00D71622"/>
    <w:rsid w:val="00D71A0E"/>
    <w:rsid w:val="00D71CF1"/>
    <w:rsid w:val="00D71F67"/>
    <w:rsid w:val="00D7203D"/>
    <w:rsid w:val="00D721AA"/>
    <w:rsid w:val="00D72232"/>
    <w:rsid w:val="00D722C2"/>
    <w:rsid w:val="00D72303"/>
    <w:rsid w:val="00D72433"/>
    <w:rsid w:val="00D72508"/>
    <w:rsid w:val="00D726CD"/>
    <w:rsid w:val="00D72AC4"/>
    <w:rsid w:val="00D732AA"/>
    <w:rsid w:val="00D7342A"/>
    <w:rsid w:val="00D735A2"/>
    <w:rsid w:val="00D7379C"/>
    <w:rsid w:val="00D737C3"/>
    <w:rsid w:val="00D73896"/>
    <w:rsid w:val="00D739A3"/>
    <w:rsid w:val="00D73EA0"/>
    <w:rsid w:val="00D74424"/>
    <w:rsid w:val="00D744FD"/>
    <w:rsid w:val="00D74ED8"/>
    <w:rsid w:val="00D753ED"/>
    <w:rsid w:val="00D75440"/>
    <w:rsid w:val="00D755C0"/>
    <w:rsid w:val="00D759CC"/>
    <w:rsid w:val="00D75BA1"/>
    <w:rsid w:val="00D7663F"/>
    <w:rsid w:val="00D76B98"/>
    <w:rsid w:val="00D76C9A"/>
    <w:rsid w:val="00D76F54"/>
    <w:rsid w:val="00D773D0"/>
    <w:rsid w:val="00D775C2"/>
    <w:rsid w:val="00D77898"/>
    <w:rsid w:val="00D77D94"/>
    <w:rsid w:val="00D77E2B"/>
    <w:rsid w:val="00D77F26"/>
    <w:rsid w:val="00D80157"/>
    <w:rsid w:val="00D80912"/>
    <w:rsid w:val="00D8093F"/>
    <w:rsid w:val="00D80EDA"/>
    <w:rsid w:val="00D810CE"/>
    <w:rsid w:val="00D81144"/>
    <w:rsid w:val="00D81521"/>
    <w:rsid w:val="00D816F6"/>
    <w:rsid w:val="00D818D3"/>
    <w:rsid w:val="00D8202A"/>
    <w:rsid w:val="00D821FD"/>
    <w:rsid w:val="00D828DC"/>
    <w:rsid w:val="00D82AF6"/>
    <w:rsid w:val="00D82C1D"/>
    <w:rsid w:val="00D83260"/>
    <w:rsid w:val="00D8345A"/>
    <w:rsid w:val="00D834F9"/>
    <w:rsid w:val="00D83721"/>
    <w:rsid w:val="00D83D18"/>
    <w:rsid w:val="00D83FFC"/>
    <w:rsid w:val="00D84054"/>
    <w:rsid w:val="00D843C9"/>
    <w:rsid w:val="00D84548"/>
    <w:rsid w:val="00D84AA2"/>
    <w:rsid w:val="00D84FD5"/>
    <w:rsid w:val="00D85040"/>
    <w:rsid w:val="00D85528"/>
    <w:rsid w:val="00D85AAD"/>
    <w:rsid w:val="00D85AF7"/>
    <w:rsid w:val="00D85E01"/>
    <w:rsid w:val="00D85F3A"/>
    <w:rsid w:val="00D862E8"/>
    <w:rsid w:val="00D866CD"/>
    <w:rsid w:val="00D86A64"/>
    <w:rsid w:val="00D86D07"/>
    <w:rsid w:val="00D8742F"/>
    <w:rsid w:val="00D874D3"/>
    <w:rsid w:val="00D87583"/>
    <w:rsid w:val="00D875B3"/>
    <w:rsid w:val="00D9004C"/>
    <w:rsid w:val="00D90C23"/>
    <w:rsid w:val="00D90F0C"/>
    <w:rsid w:val="00D910F3"/>
    <w:rsid w:val="00D9118C"/>
    <w:rsid w:val="00D914E0"/>
    <w:rsid w:val="00D9153A"/>
    <w:rsid w:val="00D9259C"/>
    <w:rsid w:val="00D92992"/>
    <w:rsid w:val="00D92A33"/>
    <w:rsid w:val="00D9322B"/>
    <w:rsid w:val="00D93495"/>
    <w:rsid w:val="00D93641"/>
    <w:rsid w:val="00D9365D"/>
    <w:rsid w:val="00D938A4"/>
    <w:rsid w:val="00D939F5"/>
    <w:rsid w:val="00D93B6E"/>
    <w:rsid w:val="00D93BF5"/>
    <w:rsid w:val="00D9440E"/>
    <w:rsid w:val="00D94C7A"/>
    <w:rsid w:val="00D94EE3"/>
    <w:rsid w:val="00D95246"/>
    <w:rsid w:val="00D95328"/>
    <w:rsid w:val="00D957A5"/>
    <w:rsid w:val="00D95A7A"/>
    <w:rsid w:val="00D95F00"/>
    <w:rsid w:val="00D96106"/>
    <w:rsid w:val="00D96FA9"/>
    <w:rsid w:val="00D97126"/>
    <w:rsid w:val="00D97335"/>
    <w:rsid w:val="00D973EA"/>
    <w:rsid w:val="00D977CF"/>
    <w:rsid w:val="00D9794F"/>
    <w:rsid w:val="00D97D5C"/>
    <w:rsid w:val="00D97F77"/>
    <w:rsid w:val="00DA0382"/>
    <w:rsid w:val="00DA0390"/>
    <w:rsid w:val="00DA0457"/>
    <w:rsid w:val="00DA08AB"/>
    <w:rsid w:val="00DA0A28"/>
    <w:rsid w:val="00DA0CB0"/>
    <w:rsid w:val="00DA0F22"/>
    <w:rsid w:val="00DA12BA"/>
    <w:rsid w:val="00DA13AA"/>
    <w:rsid w:val="00DA16C7"/>
    <w:rsid w:val="00DA1884"/>
    <w:rsid w:val="00DA214B"/>
    <w:rsid w:val="00DA2E0F"/>
    <w:rsid w:val="00DA3941"/>
    <w:rsid w:val="00DA3C56"/>
    <w:rsid w:val="00DA3ED7"/>
    <w:rsid w:val="00DA3F53"/>
    <w:rsid w:val="00DA3FD3"/>
    <w:rsid w:val="00DA4072"/>
    <w:rsid w:val="00DA448E"/>
    <w:rsid w:val="00DA46FB"/>
    <w:rsid w:val="00DA4A2B"/>
    <w:rsid w:val="00DA4BA6"/>
    <w:rsid w:val="00DA5A62"/>
    <w:rsid w:val="00DA5C32"/>
    <w:rsid w:val="00DA6304"/>
    <w:rsid w:val="00DA6EDC"/>
    <w:rsid w:val="00DA70E9"/>
    <w:rsid w:val="00DA758A"/>
    <w:rsid w:val="00DA78EC"/>
    <w:rsid w:val="00DA7A12"/>
    <w:rsid w:val="00DA7C93"/>
    <w:rsid w:val="00DA7EF8"/>
    <w:rsid w:val="00DA7FB8"/>
    <w:rsid w:val="00DB0378"/>
    <w:rsid w:val="00DB1569"/>
    <w:rsid w:val="00DB19F2"/>
    <w:rsid w:val="00DB2058"/>
    <w:rsid w:val="00DB2074"/>
    <w:rsid w:val="00DB22D0"/>
    <w:rsid w:val="00DB2944"/>
    <w:rsid w:val="00DB2954"/>
    <w:rsid w:val="00DB32E1"/>
    <w:rsid w:val="00DB3B07"/>
    <w:rsid w:val="00DB3C2D"/>
    <w:rsid w:val="00DB42AC"/>
    <w:rsid w:val="00DB49CF"/>
    <w:rsid w:val="00DB4D7A"/>
    <w:rsid w:val="00DB579E"/>
    <w:rsid w:val="00DB5CEA"/>
    <w:rsid w:val="00DB64CB"/>
    <w:rsid w:val="00DB65FB"/>
    <w:rsid w:val="00DB6612"/>
    <w:rsid w:val="00DB6729"/>
    <w:rsid w:val="00DB68EA"/>
    <w:rsid w:val="00DB697E"/>
    <w:rsid w:val="00DB6C8D"/>
    <w:rsid w:val="00DB6FEF"/>
    <w:rsid w:val="00DB78A2"/>
    <w:rsid w:val="00DB7960"/>
    <w:rsid w:val="00DB7C4B"/>
    <w:rsid w:val="00DC017C"/>
    <w:rsid w:val="00DC04B1"/>
    <w:rsid w:val="00DC0823"/>
    <w:rsid w:val="00DC0AF8"/>
    <w:rsid w:val="00DC130C"/>
    <w:rsid w:val="00DC16F4"/>
    <w:rsid w:val="00DC1C69"/>
    <w:rsid w:val="00DC2B34"/>
    <w:rsid w:val="00DC2DC4"/>
    <w:rsid w:val="00DC309A"/>
    <w:rsid w:val="00DC3972"/>
    <w:rsid w:val="00DC3D1B"/>
    <w:rsid w:val="00DC4405"/>
    <w:rsid w:val="00DC4448"/>
    <w:rsid w:val="00DC44A1"/>
    <w:rsid w:val="00DC450B"/>
    <w:rsid w:val="00DC4764"/>
    <w:rsid w:val="00DC49F4"/>
    <w:rsid w:val="00DC4A47"/>
    <w:rsid w:val="00DC4AC0"/>
    <w:rsid w:val="00DC5416"/>
    <w:rsid w:val="00DC5B4D"/>
    <w:rsid w:val="00DC5B5F"/>
    <w:rsid w:val="00DC64DD"/>
    <w:rsid w:val="00DC64FA"/>
    <w:rsid w:val="00DC7123"/>
    <w:rsid w:val="00DC7860"/>
    <w:rsid w:val="00DC7993"/>
    <w:rsid w:val="00DD008C"/>
    <w:rsid w:val="00DD0292"/>
    <w:rsid w:val="00DD0914"/>
    <w:rsid w:val="00DD103C"/>
    <w:rsid w:val="00DD1150"/>
    <w:rsid w:val="00DD1866"/>
    <w:rsid w:val="00DD190D"/>
    <w:rsid w:val="00DD19F2"/>
    <w:rsid w:val="00DD1B46"/>
    <w:rsid w:val="00DD215D"/>
    <w:rsid w:val="00DD240E"/>
    <w:rsid w:val="00DD2DEE"/>
    <w:rsid w:val="00DD2F52"/>
    <w:rsid w:val="00DD31EF"/>
    <w:rsid w:val="00DD32F3"/>
    <w:rsid w:val="00DD33AC"/>
    <w:rsid w:val="00DD3471"/>
    <w:rsid w:val="00DD3919"/>
    <w:rsid w:val="00DD39B0"/>
    <w:rsid w:val="00DD3D0C"/>
    <w:rsid w:val="00DD48DD"/>
    <w:rsid w:val="00DD50D1"/>
    <w:rsid w:val="00DD54AD"/>
    <w:rsid w:val="00DD60E4"/>
    <w:rsid w:val="00DD6210"/>
    <w:rsid w:val="00DD6782"/>
    <w:rsid w:val="00DD68C2"/>
    <w:rsid w:val="00DD6B9F"/>
    <w:rsid w:val="00DD7146"/>
    <w:rsid w:val="00DD73DB"/>
    <w:rsid w:val="00DD7673"/>
    <w:rsid w:val="00DD76E5"/>
    <w:rsid w:val="00DD7B92"/>
    <w:rsid w:val="00DD7FC7"/>
    <w:rsid w:val="00DE05AF"/>
    <w:rsid w:val="00DE0660"/>
    <w:rsid w:val="00DE0F5E"/>
    <w:rsid w:val="00DE1239"/>
    <w:rsid w:val="00DE14F0"/>
    <w:rsid w:val="00DE187F"/>
    <w:rsid w:val="00DE1891"/>
    <w:rsid w:val="00DE18A8"/>
    <w:rsid w:val="00DE1B2B"/>
    <w:rsid w:val="00DE1B40"/>
    <w:rsid w:val="00DE2974"/>
    <w:rsid w:val="00DE2F71"/>
    <w:rsid w:val="00DE3031"/>
    <w:rsid w:val="00DE32B2"/>
    <w:rsid w:val="00DE3626"/>
    <w:rsid w:val="00DE36C5"/>
    <w:rsid w:val="00DE3DF5"/>
    <w:rsid w:val="00DE3F90"/>
    <w:rsid w:val="00DE3FC5"/>
    <w:rsid w:val="00DE4FE7"/>
    <w:rsid w:val="00DE50F8"/>
    <w:rsid w:val="00DE5262"/>
    <w:rsid w:val="00DE587E"/>
    <w:rsid w:val="00DE5B74"/>
    <w:rsid w:val="00DE6079"/>
    <w:rsid w:val="00DE66D1"/>
    <w:rsid w:val="00DE66F3"/>
    <w:rsid w:val="00DE68A8"/>
    <w:rsid w:val="00DE72FA"/>
    <w:rsid w:val="00DE775E"/>
    <w:rsid w:val="00DF0015"/>
    <w:rsid w:val="00DF08F3"/>
    <w:rsid w:val="00DF0982"/>
    <w:rsid w:val="00DF0CB9"/>
    <w:rsid w:val="00DF115F"/>
    <w:rsid w:val="00DF1167"/>
    <w:rsid w:val="00DF1348"/>
    <w:rsid w:val="00DF1413"/>
    <w:rsid w:val="00DF14D3"/>
    <w:rsid w:val="00DF1856"/>
    <w:rsid w:val="00DF1B56"/>
    <w:rsid w:val="00DF1C82"/>
    <w:rsid w:val="00DF2041"/>
    <w:rsid w:val="00DF248A"/>
    <w:rsid w:val="00DF2F6E"/>
    <w:rsid w:val="00DF30B9"/>
    <w:rsid w:val="00DF33D9"/>
    <w:rsid w:val="00DF3D67"/>
    <w:rsid w:val="00DF3E04"/>
    <w:rsid w:val="00DF4094"/>
    <w:rsid w:val="00DF412D"/>
    <w:rsid w:val="00DF443B"/>
    <w:rsid w:val="00DF4490"/>
    <w:rsid w:val="00DF4651"/>
    <w:rsid w:val="00DF4FA3"/>
    <w:rsid w:val="00DF5193"/>
    <w:rsid w:val="00DF519F"/>
    <w:rsid w:val="00DF5A95"/>
    <w:rsid w:val="00DF5B2F"/>
    <w:rsid w:val="00DF6194"/>
    <w:rsid w:val="00DF6BFD"/>
    <w:rsid w:val="00DF6E04"/>
    <w:rsid w:val="00DF7185"/>
    <w:rsid w:val="00DF71F6"/>
    <w:rsid w:val="00DF797A"/>
    <w:rsid w:val="00E0048A"/>
    <w:rsid w:val="00E004A7"/>
    <w:rsid w:val="00E004DA"/>
    <w:rsid w:val="00E009A1"/>
    <w:rsid w:val="00E01332"/>
    <w:rsid w:val="00E01700"/>
    <w:rsid w:val="00E017E0"/>
    <w:rsid w:val="00E01897"/>
    <w:rsid w:val="00E020CB"/>
    <w:rsid w:val="00E021C0"/>
    <w:rsid w:val="00E02BC7"/>
    <w:rsid w:val="00E02E56"/>
    <w:rsid w:val="00E033B0"/>
    <w:rsid w:val="00E03B77"/>
    <w:rsid w:val="00E03DD8"/>
    <w:rsid w:val="00E0441A"/>
    <w:rsid w:val="00E0515E"/>
    <w:rsid w:val="00E0520E"/>
    <w:rsid w:val="00E055CB"/>
    <w:rsid w:val="00E05C2B"/>
    <w:rsid w:val="00E05CE9"/>
    <w:rsid w:val="00E0601A"/>
    <w:rsid w:val="00E06838"/>
    <w:rsid w:val="00E06A1E"/>
    <w:rsid w:val="00E06B77"/>
    <w:rsid w:val="00E06BDD"/>
    <w:rsid w:val="00E06CB3"/>
    <w:rsid w:val="00E0706B"/>
    <w:rsid w:val="00E070E7"/>
    <w:rsid w:val="00E0712D"/>
    <w:rsid w:val="00E07224"/>
    <w:rsid w:val="00E07C5E"/>
    <w:rsid w:val="00E07E96"/>
    <w:rsid w:val="00E07FCE"/>
    <w:rsid w:val="00E105C6"/>
    <w:rsid w:val="00E108F2"/>
    <w:rsid w:val="00E10A05"/>
    <w:rsid w:val="00E12048"/>
    <w:rsid w:val="00E123BE"/>
    <w:rsid w:val="00E129D9"/>
    <w:rsid w:val="00E12A48"/>
    <w:rsid w:val="00E12BF5"/>
    <w:rsid w:val="00E12EFD"/>
    <w:rsid w:val="00E13351"/>
    <w:rsid w:val="00E13425"/>
    <w:rsid w:val="00E13BDF"/>
    <w:rsid w:val="00E140BF"/>
    <w:rsid w:val="00E14244"/>
    <w:rsid w:val="00E14339"/>
    <w:rsid w:val="00E146C6"/>
    <w:rsid w:val="00E1472B"/>
    <w:rsid w:val="00E14CDF"/>
    <w:rsid w:val="00E1531F"/>
    <w:rsid w:val="00E158D0"/>
    <w:rsid w:val="00E15BA8"/>
    <w:rsid w:val="00E16366"/>
    <w:rsid w:val="00E1640A"/>
    <w:rsid w:val="00E16660"/>
    <w:rsid w:val="00E16ABF"/>
    <w:rsid w:val="00E16C23"/>
    <w:rsid w:val="00E17335"/>
    <w:rsid w:val="00E173C6"/>
    <w:rsid w:val="00E176C8"/>
    <w:rsid w:val="00E17A9E"/>
    <w:rsid w:val="00E17D05"/>
    <w:rsid w:val="00E201EC"/>
    <w:rsid w:val="00E2090F"/>
    <w:rsid w:val="00E20A32"/>
    <w:rsid w:val="00E20C6A"/>
    <w:rsid w:val="00E20E74"/>
    <w:rsid w:val="00E211EE"/>
    <w:rsid w:val="00E214F0"/>
    <w:rsid w:val="00E21561"/>
    <w:rsid w:val="00E21609"/>
    <w:rsid w:val="00E220CC"/>
    <w:rsid w:val="00E2278F"/>
    <w:rsid w:val="00E23072"/>
    <w:rsid w:val="00E230DB"/>
    <w:rsid w:val="00E24112"/>
    <w:rsid w:val="00E24547"/>
    <w:rsid w:val="00E24BC4"/>
    <w:rsid w:val="00E24C3B"/>
    <w:rsid w:val="00E24D40"/>
    <w:rsid w:val="00E25484"/>
    <w:rsid w:val="00E2549B"/>
    <w:rsid w:val="00E25C3C"/>
    <w:rsid w:val="00E25E59"/>
    <w:rsid w:val="00E25EFD"/>
    <w:rsid w:val="00E26148"/>
    <w:rsid w:val="00E26766"/>
    <w:rsid w:val="00E26C83"/>
    <w:rsid w:val="00E26EB8"/>
    <w:rsid w:val="00E2751E"/>
    <w:rsid w:val="00E276CB"/>
    <w:rsid w:val="00E27A09"/>
    <w:rsid w:val="00E27C5C"/>
    <w:rsid w:val="00E27CBB"/>
    <w:rsid w:val="00E27F5F"/>
    <w:rsid w:val="00E30138"/>
    <w:rsid w:val="00E302A3"/>
    <w:rsid w:val="00E304C8"/>
    <w:rsid w:val="00E30CA2"/>
    <w:rsid w:val="00E311B8"/>
    <w:rsid w:val="00E317FE"/>
    <w:rsid w:val="00E32C83"/>
    <w:rsid w:val="00E32DA7"/>
    <w:rsid w:val="00E33435"/>
    <w:rsid w:val="00E33895"/>
    <w:rsid w:val="00E33E5D"/>
    <w:rsid w:val="00E34613"/>
    <w:rsid w:val="00E3505B"/>
    <w:rsid w:val="00E3510B"/>
    <w:rsid w:val="00E3529C"/>
    <w:rsid w:val="00E35729"/>
    <w:rsid w:val="00E35A3F"/>
    <w:rsid w:val="00E35ABC"/>
    <w:rsid w:val="00E35ADD"/>
    <w:rsid w:val="00E365D0"/>
    <w:rsid w:val="00E3660E"/>
    <w:rsid w:val="00E369A0"/>
    <w:rsid w:val="00E36C9E"/>
    <w:rsid w:val="00E36D5B"/>
    <w:rsid w:val="00E373C0"/>
    <w:rsid w:val="00E37632"/>
    <w:rsid w:val="00E37C5A"/>
    <w:rsid w:val="00E37D97"/>
    <w:rsid w:val="00E4009D"/>
    <w:rsid w:val="00E402A0"/>
    <w:rsid w:val="00E40635"/>
    <w:rsid w:val="00E40893"/>
    <w:rsid w:val="00E40E90"/>
    <w:rsid w:val="00E418A4"/>
    <w:rsid w:val="00E41CA2"/>
    <w:rsid w:val="00E41E34"/>
    <w:rsid w:val="00E41E69"/>
    <w:rsid w:val="00E41ED3"/>
    <w:rsid w:val="00E428A9"/>
    <w:rsid w:val="00E42AE0"/>
    <w:rsid w:val="00E4316D"/>
    <w:rsid w:val="00E431E2"/>
    <w:rsid w:val="00E4335D"/>
    <w:rsid w:val="00E43676"/>
    <w:rsid w:val="00E439C2"/>
    <w:rsid w:val="00E44509"/>
    <w:rsid w:val="00E449B2"/>
    <w:rsid w:val="00E44BF6"/>
    <w:rsid w:val="00E45091"/>
    <w:rsid w:val="00E45B77"/>
    <w:rsid w:val="00E45D1E"/>
    <w:rsid w:val="00E4611A"/>
    <w:rsid w:val="00E46137"/>
    <w:rsid w:val="00E4634B"/>
    <w:rsid w:val="00E466CB"/>
    <w:rsid w:val="00E473EE"/>
    <w:rsid w:val="00E47D0A"/>
    <w:rsid w:val="00E47DD2"/>
    <w:rsid w:val="00E5027B"/>
    <w:rsid w:val="00E5113C"/>
    <w:rsid w:val="00E512A8"/>
    <w:rsid w:val="00E512CA"/>
    <w:rsid w:val="00E51473"/>
    <w:rsid w:val="00E51F16"/>
    <w:rsid w:val="00E526B8"/>
    <w:rsid w:val="00E52BEF"/>
    <w:rsid w:val="00E53747"/>
    <w:rsid w:val="00E53D84"/>
    <w:rsid w:val="00E53FC2"/>
    <w:rsid w:val="00E5410E"/>
    <w:rsid w:val="00E54629"/>
    <w:rsid w:val="00E54C0E"/>
    <w:rsid w:val="00E54C17"/>
    <w:rsid w:val="00E54C7E"/>
    <w:rsid w:val="00E553E8"/>
    <w:rsid w:val="00E5546E"/>
    <w:rsid w:val="00E557BB"/>
    <w:rsid w:val="00E562B6"/>
    <w:rsid w:val="00E56C88"/>
    <w:rsid w:val="00E5719F"/>
    <w:rsid w:val="00E575D9"/>
    <w:rsid w:val="00E576DE"/>
    <w:rsid w:val="00E57832"/>
    <w:rsid w:val="00E578DD"/>
    <w:rsid w:val="00E57902"/>
    <w:rsid w:val="00E60763"/>
    <w:rsid w:val="00E608A7"/>
    <w:rsid w:val="00E60BB5"/>
    <w:rsid w:val="00E610CE"/>
    <w:rsid w:val="00E611D2"/>
    <w:rsid w:val="00E61265"/>
    <w:rsid w:val="00E61D0D"/>
    <w:rsid w:val="00E6261A"/>
    <w:rsid w:val="00E627AF"/>
    <w:rsid w:val="00E62EC8"/>
    <w:rsid w:val="00E645D9"/>
    <w:rsid w:val="00E64A03"/>
    <w:rsid w:val="00E64A59"/>
    <w:rsid w:val="00E64B74"/>
    <w:rsid w:val="00E64C37"/>
    <w:rsid w:val="00E64D57"/>
    <w:rsid w:val="00E6523D"/>
    <w:rsid w:val="00E6558F"/>
    <w:rsid w:val="00E6573F"/>
    <w:rsid w:val="00E65B53"/>
    <w:rsid w:val="00E65D53"/>
    <w:rsid w:val="00E65F60"/>
    <w:rsid w:val="00E667D6"/>
    <w:rsid w:val="00E672AC"/>
    <w:rsid w:val="00E67382"/>
    <w:rsid w:val="00E67565"/>
    <w:rsid w:val="00E6762B"/>
    <w:rsid w:val="00E676E6"/>
    <w:rsid w:val="00E6776D"/>
    <w:rsid w:val="00E678B6"/>
    <w:rsid w:val="00E6799E"/>
    <w:rsid w:val="00E67B25"/>
    <w:rsid w:val="00E67DD6"/>
    <w:rsid w:val="00E67EBE"/>
    <w:rsid w:val="00E70056"/>
    <w:rsid w:val="00E70112"/>
    <w:rsid w:val="00E70154"/>
    <w:rsid w:val="00E70719"/>
    <w:rsid w:val="00E70F2C"/>
    <w:rsid w:val="00E70FF8"/>
    <w:rsid w:val="00E711E3"/>
    <w:rsid w:val="00E7171F"/>
    <w:rsid w:val="00E718F7"/>
    <w:rsid w:val="00E71949"/>
    <w:rsid w:val="00E71A82"/>
    <w:rsid w:val="00E71AD1"/>
    <w:rsid w:val="00E72665"/>
    <w:rsid w:val="00E72860"/>
    <w:rsid w:val="00E72CA5"/>
    <w:rsid w:val="00E730AD"/>
    <w:rsid w:val="00E7347D"/>
    <w:rsid w:val="00E734D5"/>
    <w:rsid w:val="00E73D61"/>
    <w:rsid w:val="00E73FFF"/>
    <w:rsid w:val="00E7412D"/>
    <w:rsid w:val="00E74541"/>
    <w:rsid w:val="00E74BCB"/>
    <w:rsid w:val="00E74E45"/>
    <w:rsid w:val="00E75259"/>
    <w:rsid w:val="00E75268"/>
    <w:rsid w:val="00E753E2"/>
    <w:rsid w:val="00E75A92"/>
    <w:rsid w:val="00E75BF8"/>
    <w:rsid w:val="00E75E4F"/>
    <w:rsid w:val="00E76156"/>
    <w:rsid w:val="00E7664D"/>
    <w:rsid w:val="00E76F01"/>
    <w:rsid w:val="00E77CB0"/>
    <w:rsid w:val="00E77D55"/>
    <w:rsid w:val="00E77DD7"/>
    <w:rsid w:val="00E77F18"/>
    <w:rsid w:val="00E77FF6"/>
    <w:rsid w:val="00E800ED"/>
    <w:rsid w:val="00E80A26"/>
    <w:rsid w:val="00E80FAA"/>
    <w:rsid w:val="00E815D8"/>
    <w:rsid w:val="00E81BE8"/>
    <w:rsid w:val="00E81C55"/>
    <w:rsid w:val="00E81C90"/>
    <w:rsid w:val="00E81FC9"/>
    <w:rsid w:val="00E82376"/>
    <w:rsid w:val="00E82BE1"/>
    <w:rsid w:val="00E836DD"/>
    <w:rsid w:val="00E839AF"/>
    <w:rsid w:val="00E83BEA"/>
    <w:rsid w:val="00E83E0F"/>
    <w:rsid w:val="00E8448C"/>
    <w:rsid w:val="00E84498"/>
    <w:rsid w:val="00E8490E"/>
    <w:rsid w:val="00E84F6A"/>
    <w:rsid w:val="00E855E1"/>
    <w:rsid w:val="00E861C6"/>
    <w:rsid w:val="00E862D3"/>
    <w:rsid w:val="00E86E2B"/>
    <w:rsid w:val="00E87160"/>
    <w:rsid w:val="00E875E0"/>
    <w:rsid w:val="00E877DF"/>
    <w:rsid w:val="00E901AC"/>
    <w:rsid w:val="00E90756"/>
    <w:rsid w:val="00E908AE"/>
    <w:rsid w:val="00E90C1A"/>
    <w:rsid w:val="00E90E81"/>
    <w:rsid w:val="00E91365"/>
    <w:rsid w:val="00E9182C"/>
    <w:rsid w:val="00E91863"/>
    <w:rsid w:val="00E9199C"/>
    <w:rsid w:val="00E92004"/>
    <w:rsid w:val="00E922D3"/>
    <w:rsid w:val="00E92741"/>
    <w:rsid w:val="00E928AC"/>
    <w:rsid w:val="00E92B62"/>
    <w:rsid w:val="00E93090"/>
    <w:rsid w:val="00E930B4"/>
    <w:rsid w:val="00E93608"/>
    <w:rsid w:val="00E936BA"/>
    <w:rsid w:val="00E94A9B"/>
    <w:rsid w:val="00E953D1"/>
    <w:rsid w:val="00E95458"/>
    <w:rsid w:val="00E95A24"/>
    <w:rsid w:val="00E95DD8"/>
    <w:rsid w:val="00E95EDA"/>
    <w:rsid w:val="00E96EA3"/>
    <w:rsid w:val="00E977BC"/>
    <w:rsid w:val="00E97802"/>
    <w:rsid w:val="00E97B30"/>
    <w:rsid w:val="00E97F98"/>
    <w:rsid w:val="00EA01F5"/>
    <w:rsid w:val="00EA070F"/>
    <w:rsid w:val="00EA07BE"/>
    <w:rsid w:val="00EA09DC"/>
    <w:rsid w:val="00EA0E17"/>
    <w:rsid w:val="00EA0FCD"/>
    <w:rsid w:val="00EA1173"/>
    <w:rsid w:val="00EA130E"/>
    <w:rsid w:val="00EA1391"/>
    <w:rsid w:val="00EA1EF4"/>
    <w:rsid w:val="00EA2B9D"/>
    <w:rsid w:val="00EA2D88"/>
    <w:rsid w:val="00EA2DD7"/>
    <w:rsid w:val="00EA3359"/>
    <w:rsid w:val="00EA3360"/>
    <w:rsid w:val="00EA340D"/>
    <w:rsid w:val="00EA348C"/>
    <w:rsid w:val="00EA38ED"/>
    <w:rsid w:val="00EA3916"/>
    <w:rsid w:val="00EA3966"/>
    <w:rsid w:val="00EA3C14"/>
    <w:rsid w:val="00EA4041"/>
    <w:rsid w:val="00EA589D"/>
    <w:rsid w:val="00EA66BD"/>
    <w:rsid w:val="00EA66E9"/>
    <w:rsid w:val="00EA7A4D"/>
    <w:rsid w:val="00EB08B8"/>
    <w:rsid w:val="00EB0D0E"/>
    <w:rsid w:val="00EB0E4B"/>
    <w:rsid w:val="00EB0E65"/>
    <w:rsid w:val="00EB14F4"/>
    <w:rsid w:val="00EB2053"/>
    <w:rsid w:val="00EB27E4"/>
    <w:rsid w:val="00EB2A80"/>
    <w:rsid w:val="00EB2BEF"/>
    <w:rsid w:val="00EB3021"/>
    <w:rsid w:val="00EB314E"/>
    <w:rsid w:val="00EB319F"/>
    <w:rsid w:val="00EB32C1"/>
    <w:rsid w:val="00EB39DD"/>
    <w:rsid w:val="00EB3A37"/>
    <w:rsid w:val="00EB4391"/>
    <w:rsid w:val="00EB4587"/>
    <w:rsid w:val="00EB4B12"/>
    <w:rsid w:val="00EB4D18"/>
    <w:rsid w:val="00EB5127"/>
    <w:rsid w:val="00EB5380"/>
    <w:rsid w:val="00EB5388"/>
    <w:rsid w:val="00EB53CF"/>
    <w:rsid w:val="00EB576F"/>
    <w:rsid w:val="00EB5C0A"/>
    <w:rsid w:val="00EB5DF7"/>
    <w:rsid w:val="00EB603D"/>
    <w:rsid w:val="00EB628E"/>
    <w:rsid w:val="00EB64CB"/>
    <w:rsid w:val="00EB72F4"/>
    <w:rsid w:val="00EB7604"/>
    <w:rsid w:val="00EB7A84"/>
    <w:rsid w:val="00EB7DCF"/>
    <w:rsid w:val="00EC002A"/>
    <w:rsid w:val="00EC0043"/>
    <w:rsid w:val="00EC04D2"/>
    <w:rsid w:val="00EC093D"/>
    <w:rsid w:val="00EC0DD2"/>
    <w:rsid w:val="00EC141A"/>
    <w:rsid w:val="00EC1A51"/>
    <w:rsid w:val="00EC2295"/>
    <w:rsid w:val="00EC270E"/>
    <w:rsid w:val="00EC2B56"/>
    <w:rsid w:val="00EC3274"/>
    <w:rsid w:val="00EC3D0D"/>
    <w:rsid w:val="00EC4104"/>
    <w:rsid w:val="00EC428C"/>
    <w:rsid w:val="00EC42F8"/>
    <w:rsid w:val="00EC4840"/>
    <w:rsid w:val="00EC4B06"/>
    <w:rsid w:val="00EC4CB8"/>
    <w:rsid w:val="00EC4F93"/>
    <w:rsid w:val="00EC5090"/>
    <w:rsid w:val="00EC5243"/>
    <w:rsid w:val="00EC52A6"/>
    <w:rsid w:val="00EC53C8"/>
    <w:rsid w:val="00EC56B1"/>
    <w:rsid w:val="00EC571D"/>
    <w:rsid w:val="00EC579E"/>
    <w:rsid w:val="00EC5C00"/>
    <w:rsid w:val="00EC5DF7"/>
    <w:rsid w:val="00EC5EB9"/>
    <w:rsid w:val="00EC6209"/>
    <w:rsid w:val="00EC62C2"/>
    <w:rsid w:val="00EC6529"/>
    <w:rsid w:val="00EC663D"/>
    <w:rsid w:val="00EC6B19"/>
    <w:rsid w:val="00EC6BED"/>
    <w:rsid w:val="00EC6E71"/>
    <w:rsid w:val="00EC7231"/>
    <w:rsid w:val="00EC7B8C"/>
    <w:rsid w:val="00ED0625"/>
    <w:rsid w:val="00ED0D07"/>
    <w:rsid w:val="00ED0DD8"/>
    <w:rsid w:val="00ED0E67"/>
    <w:rsid w:val="00ED1250"/>
    <w:rsid w:val="00ED1761"/>
    <w:rsid w:val="00ED1A91"/>
    <w:rsid w:val="00ED222D"/>
    <w:rsid w:val="00ED2874"/>
    <w:rsid w:val="00ED2AC6"/>
    <w:rsid w:val="00ED2B4D"/>
    <w:rsid w:val="00ED2BF1"/>
    <w:rsid w:val="00ED2DF5"/>
    <w:rsid w:val="00ED36B8"/>
    <w:rsid w:val="00ED3D04"/>
    <w:rsid w:val="00ED4782"/>
    <w:rsid w:val="00ED4BBE"/>
    <w:rsid w:val="00ED57BA"/>
    <w:rsid w:val="00ED5BAB"/>
    <w:rsid w:val="00ED6094"/>
    <w:rsid w:val="00ED631C"/>
    <w:rsid w:val="00ED6459"/>
    <w:rsid w:val="00ED65C5"/>
    <w:rsid w:val="00ED6736"/>
    <w:rsid w:val="00ED73DE"/>
    <w:rsid w:val="00ED742E"/>
    <w:rsid w:val="00ED7C57"/>
    <w:rsid w:val="00ED7FD4"/>
    <w:rsid w:val="00EE0051"/>
    <w:rsid w:val="00EE0266"/>
    <w:rsid w:val="00EE0320"/>
    <w:rsid w:val="00EE03AF"/>
    <w:rsid w:val="00EE09B0"/>
    <w:rsid w:val="00EE0D44"/>
    <w:rsid w:val="00EE0F88"/>
    <w:rsid w:val="00EE1066"/>
    <w:rsid w:val="00EE1289"/>
    <w:rsid w:val="00EE1551"/>
    <w:rsid w:val="00EE1A3C"/>
    <w:rsid w:val="00EE1B84"/>
    <w:rsid w:val="00EE1F3A"/>
    <w:rsid w:val="00EE20F2"/>
    <w:rsid w:val="00EE2296"/>
    <w:rsid w:val="00EE22A1"/>
    <w:rsid w:val="00EE276F"/>
    <w:rsid w:val="00EE2CCA"/>
    <w:rsid w:val="00EE3726"/>
    <w:rsid w:val="00EE3952"/>
    <w:rsid w:val="00EE406D"/>
    <w:rsid w:val="00EE4171"/>
    <w:rsid w:val="00EE437A"/>
    <w:rsid w:val="00EE4568"/>
    <w:rsid w:val="00EE4661"/>
    <w:rsid w:val="00EE4F2A"/>
    <w:rsid w:val="00EE5204"/>
    <w:rsid w:val="00EE53FD"/>
    <w:rsid w:val="00EE6A80"/>
    <w:rsid w:val="00EE6E65"/>
    <w:rsid w:val="00EE7157"/>
    <w:rsid w:val="00EE743F"/>
    <w:rsid w:val="00EE7B8E"/>
    <w:rsid w:val="00EE7C8C"/>
    <w:rsid w:val="00EF04EA"/>
    <w:rsid w:val="00EF099E"/>
    <w:rsid w:val="00EF0AA9"/>
    <w:rsid w:val="00EF0D91"/>
    <w:rsid w:val="00EF109C"/>
    <w:rsid w:val="00EF12E9"/>
    <w:rsid w:val="00EF1356"/>
    <w:rsid w:val="00EF1720"/>
    <w:rsid w:val="00EF1B0D"/>
    <w:rsid w:val="00EF1C4F"/>
    <w:rsid w:val="00EF238B"/>
    <w:rsid w:val="00EF30AA"/>
    <w:rsid w:val="00EF364A"/>
    <w:rsid w:val="00EF4035"/>
    <w:rsid w:val="00EF413E"/>
    <w:rsid w:val="00EF4649"/>
    <w:rsid w:val="00EF4BC0"/>
    <w:rsid w:val="00EF4C14"/>
    <w:rsid w:val="00EF4C69"/>
    <w:rsid w:val="00EF4F4D"/>
    <w:rsid w:val="00EF52C3"/>
    <w:rsid w:val="00EF5303"/>
    <w:rsid w:val="00EF54D7"/>
    <w:rsid w:val="00EF5A64"/>
    <w:rsid w:val="00EF5E8B"/>
    <w:rsid w:val="00EF61E3"/>
    <w:rsid w:val="00EF68C0"/>
    <w:rsid w:val="00EF6E6E"/>
    <w:rsid w:val="00EF6EE0"/>
    <w:rsid w:val="00EF7177"/>
    <w:rsid w:val="00EF758B"/>
    <w:rsid w:val="00EF7A30"/>
    <w:rsid w:val="00EF7ED6"/>
    <w:rsid w:val="00EF7FD6"/>
    <w:rsid w:val="00F00232"/>
    <w:rsid w:val="00F00419"/>
    <w:rsid w:val="00F009DE"/>
    <w:rsid w:val="00F00DD1"/>
    <w:rsid w:val="00F00F0E"/>
    <w:rsid w:val="00F01522"/>
    <w:rsid w:val="00F0189F"/>
    <w:rsid w:val="00F01BAB"/>
    <w:rsid w:val="00F01D30"/>
    <w:rsid w:val="00F0215D"/>
    <w:rsid w:val="00F02653"/>
    <w:rsid w:val="00F02689"/>
    <w:rsid w:val="00F02E55"/>
    <w:rsid w:val="00F03368"/>
    <w:rsid w:val="00F0393C"/>
    <w:rsid w:val="00F0463E"/>
    <w:rsid w:val="00F0473F"/>
    <w:rsid w:val="00F047E9"/>
    <w:rsid w:val="00F0494C"/>
    <w:rsid w:val="00F04D1F"/>
    <w:rsid w:val="00F04FEB"/>
    <w:rsid w:val="00F052C0"/>
    <w:rsid w:val="00F054BC"/>
    <w:rsid w:val="00F054C0"/>
    <w:rsid w:val="00F05513"/>
    <w:rsid w:val="00F057EC"/>
    <w:rsid w:val="00F0617A"/>
    <w:rsid w:val="00F06590"/>
    <w:rsid w:val="00F065BF"/>
    <w:rsid w:val="00F0678B"/>
    <w:rsid w:val="00F0681F"/>
    <w:rsid w:val="00F068E1"/>
    <w:rsid w:val="00F06D8C"/>
    <w:rsid w:val="00F073B8"/>
    <w:rsid w:val="00F074B6"/>
    <w:rsid w:val="00F0753F"/>
    <w:rsid w:val="00F075B9"/>
    <w:rsid w:val="00F07ABE"/>
    <w:rsid w:val="00F07F47"/>
    <w:rsid w:val="00F07FC6"/>
    <w:rsid w:val="00F10120"/>
    <w:rsid w:val="00F10543"/>
    <w:rsid w:val="00F105E3"/>
    <w:rsid w:val="00F10941"/>
    <w:rsid w:val="00F10C90"/>
    <w:rsid w:val="00F10E9D"/>
    <w:rsid w:val="00F1118F"/>
    <w:rsid w:val="00F1179B"/>
    <w:rsid w:val="00F1199D"/>
    <w:rsid w:val="00F11A3F"/>
    <w:rsid w:val="00F122AE"/>
    <w:rsid w:val="00F12435"/>
    <w:rsid w:val="00F12509"/>
    <w:rsid w:val="00F12555"/>
    <w:rsid w:val="00F12DDB"/>
    <w:rsid w:val="00F12DF9"/>
    <w:rsid w:val="00F13679"/>
    <w:rsid w:val="00F13A82"/>
    <w:rsid w:val="00F13A9E"/>
    <w:rsid w:val="00F14284"/>
    <w:rsid w:val="00F144B8"/>
    <w:rsid w:val="00F1487F"/>
    <w:rsid w:val="00F1490F"/>
    <w:rsid w:val="00F14BDC"/>
    <w:rsid w:val="00F1508A"/>
    <w:rsid w:val="00F15301"/>
    <w:rsid w:val="00F155CE"/>
    <w:rsid w:val="00F15970"/>
    <w:rsid w:val="00F16141"/>
    <w:rsid w:val="00F16441"/>
    <w:rsid w:val="00F16C17"/>
    <w:rsid w:val="00F16D3F"/>
    <w:rsid w:val="00F1741E"/>
    <w:rsid w:val="00F174ED"/>
    <w:rsid w:val="00F1754A"/>
    <w:rsid w:val="00F175E9"/>
    <w:rsid w:val="00F17AB3"/>
    <w:rsid w:val="00F17E39"/>
    <w:rsid w:val="00F20170"/>
    <w:rsid w:val="00F201B7"/>
    <w:rsid w:val="00F20306"/>
    <w:rsid w:val="00F203E2"/>
    <w:rsid w:val="00F20C02"/>
    <w:rsid w:val="00F20E18"/>
    <w:rsid w:val="00F212DF"/>
    <w:rsid w:val="00F21345"/>
    <w:rsid w:val="00F21350"/>
    <w:rsid w:val="00F2147C"/>
    <w:rsid w:val="00F21956"/>
    <w:rsid w:val="00F223C3"/>
    <w:rsid w:val="00F22669"/>
    <w:rsid w:val="00F22AC8"/>
    <w:rsid w:val="00F22BD8"/>
    <w:rsid w:val="00F232BB"/>
    <w:rsid w:val="00F23316"/>
    <w:rsid w:val="00F23763"/>
    <w:rsid w:val="00F2398C"/>
    <w:rsid w:val="00F24C76"/>
    <w:rsid w:val="00F24F41"/>
    <w:rsid w:val="00F24FBA"/>
    <w:rsid w:val="00F25A71"/>
    <w:rsid w:val="00F26188"/>
    <w:rsid w:val="00F2641D"/>
    <w:rsid w:val="00F26B7B"/>
    <w:rsid w:val="00F26BA1"/>
    <w:rsid w:val="00F26CD9"/>
    <w:rsid w:val="00F26DD7"/>
    <w:rsid w:val="00F274FA"/>
    <w:rsid w:val="00F2776B"/>
    <w:rsid w:val="00F27C1E"/>
    <w:rsid w:val="00F305E3"/>
    <w:rsid w:val="00F30A94"/>
    <w:rsid w:val="00F30FCD"/>
    <w:rsid w:val="00F30FF0"/>
    <w:rsid w:val="00F3121D"/>
    <w:rsid w:val="00F31585"/>
    <w:rsid w:val="00F316F6"/>
    <w:rsid w:val="00F319AC"/>
    <w:rsid w:val="00F31E15"/>
    <w:rsid w:val="00F32129"/>
    <w:rsid w:val="00F32245"/>
    <w:rsid w:val="00F323BF"/>
    <w:rsid w:val="00F32F95"/>
    <w:rsid w:val="00F337B3"/>
    <w:rsid w:val="00F33BC6"/>
    <w:rsid w:val="00F33D7C"/>
    <w:rsid w:val="00F3410F"/>
    <w:rsid w:val="00F3440B"/>
    <w:rsid w:val="00F34A4C"/>
    <w:rsid w:val="00F350A9"/>
    <w:rsid w:val="00F3539B"/>
    <w:rsid w:val="00F355A8"/>
    <w:rsid w:val="00F355ED"/>
    <w:rsid w:val="00F35701"/>
    <w:rsid w:val="00F35705"/>
    <w:rsid w:val="00F36324"/>
    <w:rsid w:val="00F363BC"/>
    <w:rsid w:val="00F364DF"/>
    <w:rsid w:val="00F36521"/>
    <w:rsid w:val="00F36531"/>
    <w:rsid w:val="00F36659"/>
    <w:rsid w:val="00F36B86"/>
    <w:rsid w:val="00F372C9"/>
    <w:rsid w:val="00F37B96"/>
    <w:rsid w:val="00F37BA4"/>
    <w:rsid w:val="00F37F01"/>
    <w:rsid w:val="00F4005E"/>
    <w:rsid w:val="00F4042F"/>
    <w:rsid w:val="00F404BF"/>
    <w:rsid w:val="00F40A36"/>
    <w:rsid w:val="00F40A40"/>
    <w:rsid w:val="00F410FB"/>
    <w:rsid w:val="00F4111B"/>
    <w:rsid w:val="00F4187B"/>
    <w:rsid w:val="00F42447"/>
    <w:rsid w:val="00F42560"/>
    <w:rsid w:val="00F42831"/>
    <w:rsid w:val="00F42BA3"/>
    <w:rsid w:val="00F42C23"/>
    <w:rsid w:val="00F42DFA"/>
    <w:rsid w:val="00F431D1"/>
    <w:rsid w:val="00F43471"/>
    <w:rsid w:val="00F438CC"/>
    <w:rsid w:val="00F43AD0"/>
    <w:rsid w:val="00F43B4A"/>
    <w:rsid w:val="00F43BC0"/>
    <w:rsid w:val="00F43F38"/>
    <w:rsid w:val="00F443B5"/>
    <w:rsid w:val="00F44452"/>
    <w:rsid w:val="00F44ABB"/>
    <w:rsid w:val="00F44CB8"/>
    <w:rsid w:val="00F44EE9"/>
    <w:rsid w:val="00F44FE7"/>
    <w:rsid w:val="00F45025"/>
    <w:rsid w:val="00F45B59"/>
    <w:rsid w:val="00F45CE7"/>
    <w:rsid w:val="00F45D1A"/>
    <w:rsid w:val="00F46136"/>
    <w:rsid w:val="00F466C6"/>
    <w:rsid w:val="00F4699F"/>
    <w:rsid w:val="00F46F35"/>
    <w:rsid w:val="00F46FDB"/>
    <w:rsid w:val="00F46FE3"/>
    <w:rsid w:val="00F47175"/>
    <w:rsid w:val="00F47419"/>
    <w:rsid w:val="00F47482"/>
    <w:rsid w:val="00F474B6"/>
    <w:rsid w:val="00F4762C"/>
    <w:rsid w:val="00F47B66"/>
    <w:rsid w:val="00F47C33"/>
    <w:rsid w:val="00F5008F"/>
    <w:rsid w:val="00F50306"/>
    <w:rsid w:val="00F506A1"/>
    <w:rsid w:val="00F50B16"/>
    <w:rsid w:val="00F5111A"/>
    <w:rsid w:val="00F5146F"/>
    <w:rsid w:val="00F514C4"/>
    <w:rsid w:val="00F51E44"/>
    <w:rsid w:val="00F523DA"/>
    <w:rsid w:val="00F52574"/>
    <w:rsid w:val="00F52A17"/>
    <w:rsid w:val="00F52DA7"/>
    <w:rsid w:val="00F52FF1"/>
    <w:rsid w:val="00F531CC"/>
    <w:rsid w:val="00F53232"/>
    <w:rsid w:val="00F5330D"/>
    <w:rsid w:val="00F5362B"/>
    <w:rsid w:val="00F536DA"/>
    <w:rsid w:val="00F53E1A"/>
    <w:rsid w:val="00F542CE"/>
    <w:rsid w:val="00F54369"/>
    <w:rsid w:val="00F5463D"/>
    <w:rsid w:val="00F56387"/>
    <w:rsid w:val="00F5641D"/>
    <w:rsid w:val="00F565FD"/>
    <w:rsid w:val="00F56665"/>
    <w:rsid w:val="00F56B3A"/>
    <w:rsid w:val="00F56D15"/>
    <w:rsid w:val="00F572B6"/>
    <w:rsid w:val="00F57A16"/>
    <w:rsid w:val="00F600C4"/>
    <w:rsid w:val="00F6022E"/>
    <w:rsid w:val="00F60318"/>
    <w:rsid w:val="00F6073E"/>
    <w:rsid w:val="00F60E80"/>
    <w:rsid w:val="00F6124A"/>
    <w:rsid w:val="00F61272"/>
    <w:rsid w:val="00F612DA"/>
    <w:rsid w:val="00F616A5"/>
    <w:rsid w:val="00F61ACD"/>
    <w:rsid w:val="00F61B48"/>
    <w:rsid w:val="00F61C76"/>
    <w:rsid w:val="00F6251E"/>
    <w:rsid w:val="00F62880"/>
    <w:rsid w:val="00F62B2E"/>
    <w:rsid w:val="00F62C75"/>
    <w:rsid w:val="00F62CEE"/>
    <w:rsid w:val="00F62F33"/>
    <w:rsid w:val="00F62F69"/>
    <w:rsid w:val="00F63614"/>
    <w:rsid w:val="00F643F0"/>
    <w:rsid w:val="00F649FA"/>
    <w:rsid w:val="00F64D9F"/>
    <w:rsid w:val="00F64E62"/>
    <w:rsid w:val="00F64EE4"/>
    <w:rsid w:val="00F65363"/>
    <w:rsid w:val="00F65C45"/>
    <w:rsid w:val="00F660D4"/>
    <w:rsid w:val="00F6748F"/>
    <w:rsid w:val="00F67B05"/>
    <w:rsid w:val="00F67DF9"/>
    <w:rsid w:val="00F7064C"/>
    <w:rsid w:val="00F707CF"/>
    <w:rsid w:val="00F70917"/>
    <w:rsid w:val="00F70C08"/>
    <w:rsid w:val="00F70F01"/>
    <w:rsid w:val="00F71100"/>
    <w:rsid w:val="00F7115E"/>
    <w:rsid w:val="00F7178D"/>
    <w:rsid w:val="00F717BD"/>
    <w:rsid w:val="00F71845"/>
    <w:rsid w:val="00F719F9"/>
    <w:rsid w:val="00F71B86"/>
    <w:rsid w:val="00F71D8B"/>
    <w:rsid w:val="00F71E3B"/>
    <w:rsid w:val="00F722A3"/>
    <w:rsid w:val="00F72A8E"/>
    <w:rsid w:val="00F72E79"/>
    <w:rsid w:val="00F732B1"/>
    <w:rsid w:val="00F732B3"/>
    <w:rsid w:val="00F7336D"/>
    <w:rsid w:val="00F7349B"/>
    <w:rsid w:val="00F73F7F"/>
    <w:rsid w:val="00F749D2"/>
    <w:rsid w:val="00F74ABE"/>
    <w:rsid w:val="00F74D3C"/>
    <w:rsid w:val="00F75055"/>
    <w:rsid w:val="00F75405"/>
    <w:rsid w:val="00F7548A"/>
    <w:rsid w:val="00F75F40"/>
    <w:rsid w:val="00F7637C"/>
    <w:rsid w:val="00F763F9"/>
    <w:rsid w:val="00F76B79"/>
    <w:rsid w:val="00F776A4"/>
    <w:rsid w:val="00F77797"/>
    <w:rsid w:val="00F77DAF"/>
    <w:rsid w:val="00F77F38"/>
    <w:rsid w:val="00F80329"/>
    <w:rsid w:val="00F8097E"/>
    <w:rsid w:val="00F80B00"/>
    <w:rsid w:val="00F812F0"/>
    <w:rsid w:val="00F8130A"/>
    <w:rsid w:val="00F8138E"/>
    <w:rsid w:val="00F81987"/>
    <w:rsid w:val="00F81A97"/>
    <w:rsid w:val="00F81DAF"/>
    <w:rsid w:val="00F81DD7"/>
    <w:rsid w:val="00F81E65"/>
    <w:rsid w:val="00F8208C"/>
    <w:rsid w:val="00F821A0"/>
    <w:rsid w:val="00F823B5"/>
    <w:rsid w:val="00F824FF"/>
    <w:rsid w:val="00F8280B"/>
    <w:rsid w:val="00F835D2"/>
    <w:rsid w:val="00F83618"/>
    <w:rsid w:val="00F83B59"/>
    <w:rsid w:val="00F83FCA"/>
    <w:rsid w:val="00F8419D"/>
    <w:rsid w:val="00F84959"/>
    <w:rsid w:val="00F84A5C"/>
    <w:rsid w:val="00F84FA2"/>
    <w:rsid w:val="00F85BB6"/>
    <w:rsid w:val="00F85C20"/>
    <w:rsid w:val="00F85C73"/>
    <w:rsid w:val="00F8614F"/>
    <w:rsid w:val="00F86686"/>
    <w:rsid w:val="00F86840"/>
    <w:rsid w:val="00F86C86"/>
    <w:rsid w:val="00F86F4F"/>
    <w:rsid w:val="00F870F9"/>
    <w:rsid w:val="00F870FF"/>
    <w:rsid w:val="00F87134"/>
    <w:rsid w:val="00F872D5"/>
    <w:rsid w:val="00F873D4"/>
    <w:rsid w:val="00F8741A"/>
    <w:rsid w:val="00F8742B"/>
    <w:rsid w:val="00F8775F"/>
    <w:rsid w:val="00F87BBF"/>
    <w:rsid w:val="00F87CFC"/>
    <w:rsid w:val="00F90164"/>
    <w:rsid w:val="00F9030C"/>
    <w:rsid w:val="00F90796"/>
    <w:rsid w:val="00F90ACC"/>
    <w:rsid w:val="00F90CC4"/>
    <w:rsid w:val="00F91376"/>
    <w:rsid w:val="00F91BA5"/>
    <w:rsid w:val="00F92031"/>
    <w:rsid w:val="00F92138"/>
    <w:rsid w:val="00F92251"/>
    <w:rsid w:val="00F923BE"/>
    <w:rsid w:val="00F925FE"/>
    <w:rsid w:val="00F92848"/>
    <w:rsid w:val="00F92DB2"/>
    <w:rsid w:val="00F92E19"/>
    <w:rsid w:val="00F93420"/>
    <w:rsid w:val="00F935DA"/>
    <w:rsid w:val="00F937C4"/>
    <w:rsid w:val="00F93EA3"/>
    <w:rsid w:val="00F93EA7"/>
    <w:rsid w:val="00F941D5"/>
    <w:rsid w:val="00F954A0"/>
    <w:rsid w:val="00F9553E"/>
    <w:rsid w:val="00F957A2"/>
    <w:rsid w:val="00F957CD"/>
    <w:rsid w:val="00F9584C"/>
    <w:rsid w:val="00F95D43"/>
    <w:rsid w:val="00F96291"/>
    <w:rsid w:val="00F96484"/>
    <w:rsid w:val="00F965D5"/>
    <w:rsid w:val="00F96994"/>
    <w:rsid w:val="00F96D5F"/>
    <w:rsid w:val="00F972EC"/>
    <w:rsid w:val="00F974FA"/>
    <w:rsid w:val="00F9767D"/>
    <w:rsid w:val="00F97A07"/>
    <w:rsid w:val="00F97B7B"/>
    <w:rsid w:val="00F97CC0"/>
    <w:rsid w:val="00F97E71"/>
    <w:rsid w:val="00FA000C"/>
    <w:rsid w:val="00FA1466"/>
    <w:rsid w:val="00FA1692"/>
    <w:rsid w:val="00FA1B87"/>
    <w:rsid w:val="00FA1BBC"/>
    <w:rsid w:val="00FA1BE7"/>
    <w:rsid w:val="00FA1BEA"/>
    <w:rsid w:val="00FA20D0"/>
    <w:rsid w:val="00FA21D2"/>
    <w:rsid w:val="00FA22CE"/>
    <w:rsid w:val="00FA2A20"/>
    <w:rsid w:val="00FA2DDB"/>
    <w:rsid w:val="00FA3019"/>
    <w:rsid w:val="00FA35C9"/>
    <w:rsid w:val="00FA3669"/>
    <w:rsid w:val="00FA3746"/>
    <w:rsid w:val="00FA37DC"/>
    <w:rsid w:val="00FA3C6C"/>
    <w:rsid w:val="00FA3FBC"/>
    <w:rsid w:val="00FA4259"/>
    <w:rsid w:val="00FA550D"/>
    <w:rsid w:val="00FA5B14"/>
    <w:rsid w:val="00FA5DDC"/>
    <w:rsid w:val="00FA613E"/>
    <w:rsid w:val="00FA616E"/>
    <w:rsid w:val="00FA676F"/>
    <w:rsid w:val="00FA6A57"/>
    <w:rsid w:val="00FA6B57"/>
    <w:rsid w:val="00FA6E44"/>
    <w:rsid w:val="00FA76AB"/>
    <w:rsid w:val="00FA77BE"/>
    <w:rsid w:val="00FA7884"/>
    <w:rsid w:val="00FA7C16"/>
    <w:rsid w:val="00FB00F8"/>
    <w:rsid w:val="00FB0934"/>
    <w:rsid w:val="00FB0B25"/>
    <w:rsid w:val="00FB18BE"/>
    <w:rsid w:val="00FB1FEF"/>
    <w:rsid w:val="00FB2462"/>
    <w:rsid w:val="00FB2897"/>
    <w:rsid w:val="00FB2D86"/>
    <w:rsid w:val="00FB2DB4"/>
    <w:rsid w:val="00FB2FBE"/>
    <w:rsid w:val="00FB2FD3"/>
    <w:rsid w:val="00FB34FC"/>
    <w:rsid w:val="00FB3A22"/>
    <w:rsid w:val="00FB3B24"/>
    <w:rsid w:val="00FB3DF0"/>
    <w:rsid w:val="00FB41DC"/>
    <w:rsid w:val="00FB44FB"/>
    <w:rsid w:val="00FB4601"/>
    <w:rsid w:val="00FB46AB"/>
    <w:rsid w:val="00FB4A0C"/>
    <w:rsid w:val="00FB4ABF"/>
    <w:rsid w:val="00FB4B26"/>
    <w:rsid w:val="00FB5050"/>
    <w:rsid w:val="00FB5465"/>
    <w:rsid w:val="00FB5569"/>
    <w:rsid w:val="00FB57D9"/>
    <w:rsid w:val="00FB5B32"/>
    <w:rsid w:val="00FB668A"/>
    <w:rsid w:val="00FB6D25"/>
    <w:rsid w:val="00FB731C"/>
    <w:rsid w:val="00FB7332"/>
    <w:rsid w:val="00FB73D2"/>
    <w:rsid w:val="00FB73FB"/>
    <w:rsid w:val="00FB7674"/>
    <w:rsid w:val="00FB7917"/>
    <w:rsid w:val="00FB7DC9"/>
    <w:rsid w:val="00FB7FB6"/>
    <w:rsid w:val="00FC022D"/>
    <w:rsid w:val="00FC0491"/>
    <w:rsid w:val="00FC0589"/>
    <w:rsid w:val="00FC0C8A"/>
    <w:rsid w:val="00FC0DB7"/>
    <w:rsid w:val="00FC10E5"/>
    <w:rsid w:val="00FC114F"/>
    <w:rsid w:val="00FC16F1"/>
    <w:rsid w:val="00FC1778"/>
    <w:rsid w:val="00FC17B1"/>
    <w:rsid w:val="00FC1AF2"/>
    <w:rsid w:val="00FC1D2B"/>
    <w:rsid w:val="00FC2140"/>
    <w:rsid w:val="00FC21BC"/>
    <w:rsid w:val="00FC2469"/>
    <w:rsid w:val="00FC2812"/>
    <w:rsid w:val="00FC2944"/>
    <w:rsid w:val="00FC343C"/>
    <w:rsid w:val="00FC3490"/>
    <w:rsid w:val="00FC3722"/>
    <w:rsid w:val="00FC3A6F"/>
    <w:rsid w:val="00FC485A"/>
    <w:rsid w:val="00FC4950"/>
    <w:rsid w:val="00FC4A3C"/>
    <w:rsid w:val="00FC4E5D"/>
    <w:rsid w:val="00FC5B3E"/>
    <w:rsid w:val="00FC5CD3"/>
    <w:rsid w:val="00FC622A"/>
    <w:rsid w:val="00FC6CCB"/>
    <w:rsid w:val="00FC6D24"/>
    <w:rsid w:val="00FC6F49"/>
    <w:rsid w:val="00FC6FD8"/>
    <w:rsid w:val="00FC71B3"/>
    <w:rsid w:val="00FC7727"/>
    <w:rsid w:val="00FD0546"/>
    <w:rsid w:val="00FD06FF"/>
    <w:rsid w:val="00FD0B16"/>
    <w:rsid w:val="00FD0E22"/>
    <w:rsid w:val="00FD1350"/>
    <w:rsid w:val="00FD19CE"/>
    <w:rsid w:val="00FD1A5F"/>
    <w:rsid w:val="00FD1AE2"/>
    <w:rsid w:val="00FD1E0D"/>
    <w:rsid w:val="00FD1EDA"/>
    <w:rsid w:val="00FD2519"/>
    <w:rsid w:val="00FD2C72"/>
    <w:rsid w:val="00FD2D65"/>
    <w:rsid w:val="00FD35AB"/>
    <w:rsid w:val="00FD3CB0"/>
    <w:rsid w:val="00FD3F69"/>
    <w:rsid w:val="00FD49C1"/>
    <w:rsid w:val="00FD4B71"/>
    <w:rsid w:val="00FD5298"/>
    <w:rsid w:val="00FD5660"/>
    <w:rsid w:val="00FD58CD"/>
    <w:rsid w:val="00FD5AF5"/>
    <w:rsid w:val="00FD5D05"/>
    <w:rsid w:val="00FD62EE"/>
    <w:rsid w:val="00FD63F3"/>
    <w:rsid w:val="00FD6463"/>
    <w:rsid w:val="00FD646C"/>
    <w:rsid w:val="00FD668D"/>
    <w:rsid w:val="00FD66CD"/>
    <w:rsid w:val="00FD6707"/>
    <w:rsid w:val="00FD67EC"/>
    <w:rsid w:val="00FD6A1B"/>
    <w:rsid w:val="00FD731B"/>
    <w:rsid w:val="00FD7C35"/>
    <w:rsid w:val="00FD7D71"/>
    <w:rsid w:val="00FE0343"/>
    <w:rsid w:val="00FE073F"/>
    <w:rsid w:val="00FE0E43"/>
    <w:rsid w:val="00FE1073"/>
    <w:rsid w:val="00FE120E"/>
    <w:rsid w:val="00FE197F"/>
    <w:rsid w:val="00FE19FB"/>
    <w:rsid w:val="00FE1EBF"/>
    <w:rsid w:val="00FE211B"/>
    <w:rsid w:val="00FE25A6"/>
    <w:rsid w:val="00FE2B0B"/>
    <w:rsid w:val="00FE2D2E"/>
    <w:rsid w:val="00FE32D6"/>
    <w:rsid w:val="00FE3BD1"/>
    <w:rsid w:val="00FE3CBB"/>
    <w:rsid w:val="00FE40AE"/>
    <w:rsid w:val="00FE4B23"/>
    <w:rsid w:val="00FE5039"/>
    <w:rsid w:val="00FE55DA"/>
    <w:rsid w:val="00FE56AC"/>
    <w:rsid w:val="00FE5FD6"/>
    <w:rsid w:val="00FE625F"/>
    <w:rsid w:val="00FE6DE7"/>
    <w:rsid w:val="00FE75DE"/>
    <w:rsid w:val="00FE7A03"/>
    <w:rsid w:val="00FE7E93"/>
    <w:rsid w:val="00FF0C10"/>
    <w:rsid w:val="00FF1006"/>
    <w:rsid w:val="00FF1100"/>
    <w:rsid w:val="00FF1B34"/>
    <w:rsid w:val="00FF1D41"/>
    <w:rsid w:val="00FF2039"/>
    <w:rsid w:val="00FF20B8"/>
    <w:rsid w:val="00FF2133"/>
    <w:rsid w:val="00FF22E7"/>
    <w:rsid w:val="00FF2652"/>
    <w:rsid w:val="00FF2B1C"/>
    <w:rsid w:val="00FF2D27"/>
    <w:rsid w:val="00FF3027"/>
    <w:rsid w:val="00FF31B2"/>
    <w:rsid w:val="00FF350E"/>
    <w:rsid w:val="00FF366F"/>
    <w:rsid w:val="00FF367E"/>
    <w:rsid w:val="00FF3B16"/>
    <w:rsid w:val="00FF3B73"/>
    <w:rsid w:val="00FF481A"/>
    <w:rsid w:val="00FF4833"/>
    <w:rsid w:val="00FF493A"/>
    <w:rsid w:val="00FF51FF"/>
    <w:rsid w:val="00FF5508"/>
    <w:rsid w:val="00FF6107"/>
    <w:rsid w:val="00FF621B"/>
    <w:rsid w:val="00FF6950"/>
    <w:rsid w:val="00FF6D9D"/>
    <w:rsid w:val="00FF7159"/>
    <w:rsid w:val="00FF7232"/>
    <w:rsid w:val="00FF7739"/>
    <w:rsid w:val="01051048"/>
    <w:rsid w:val="01167D18"/>
    <w:rsid w:val="014E4A6F"/>
    <w:rsid w:val="015B0612"/>
    <w:rsid w:val="01700269"/>
    <w:rsid w:val="01BB0635"/>
    <w:rsid w:val="01D16FB2"/>
    <w:rsid w:val="01DD24AF"/>
    <w:rsid w:val="01FC6A45"/>
    <w:rsid w:val="0204137D"/>
    <w:rsid w:val="020B7CEC"/>
    <w:rsid w:val="027C6BB5"/>
    <w:rsid w:val="02975C8C"/>
    <w:rsid w:val="02B005DE"/>
    <w:rsid w:val="02CC602C"/>
    <w:rsid w:val="02EF23F0"/>
    <w:rsid w:val="030A008A"/>
    <w:rsid w:val="031D74A6"/>
    <w:rsid w:val="032151DA"/>
    <w:rsid w:val="03232B36"/>
    <w:rsid w:val="033F63CD"/>
    <w:rsid w:val="03536801"/>
    <w:rsid w:val="035B5D1E"/>
    <w:rsid w:val="036C1B36"/>
    <w:rsid w:val="037E346F"/>
    <w:rsid w:val="039607E6"/>
    <w:rsid w:val="03A14E05"/>
    <w:rsid w:val="03B14C69"/>
    <w:rsid w:val="045D652B"/>
    <w:rsid w:val="045E13E2"/>
    <w:rsid w:val="046E116D"/>
    <w:rsid w:val="046F69EC"/>
    <w:rsid w:val="04720CDE"/>
    <w:rsid w:val="049F35FF"/>
    <w:rsid w:val="04C01B9E"/>
    <w:rsid w:val="04C73545"/>
    <w:rsid w:val="04F86D76"/>
    <w:rsid w:val="053E3F25"/>
    <w:rsid w:val="05656F6E"/>
    <w:rsid w:val="05A652FE"/>
    <w:rsid w:val="05B31341"/>
    <w:rsid w:val="05E13292"/>
    <w:rsid w:val="05F478E3"/>
    <w:rsid w:val="05F637B2"/>
    <w:rsid w:val="061B4495"/>
    <w:rsid w:val="063C0B95"/>
    <w:rsid w:val="067D4C23"/>
    <w:rsid w:val="06B87960"/>
    <w:rsid w:val="06DE0100"/>
    <w:rsid w:val="06FF5387"/>
    <w:rsid w:val="07167C0D"/>
    <w:rsid w:val="071867DD"/>
    <w:rsid w:val="07343362"/>
    <w:rsid w:val="074679C5"/>
    <w:rsid w:val="07666C4A"/>
    <w:rsid w:val="07806B9E"/>
    <w:rsid w:val="07895465"/>
    <w:rsid w:val="08233EE5"/>
    <w:rsid w:val="082A76EF"/>
    <w:rsid w:val="086C2211"/>
    <w:rsid w:val="08776490"/>
    <w:rsid w:val="0878278D"/>
    <w:rsid w:val="087E1E3E"/>
    <w:rsid w:val="08886890"/>
    <w:rsid w:val="08923FC0"/>
    <w:rsid w:val="08941631"/>
    <w:rsid w:val="08C26816"/>
    <w:rsid w:val="08FE285F"/>
    <w:rsid w:val="090A42CE"/>
    <w:rsid w:val="09295E4F"/>
    <w:rsid w:val="09420D67"/>
    <w:rsid w:val="094501E3"/>
    <w:rsid w:val="097834A1"/>
    <w:rsid w:val="09A248E6"/>
    <w:rsid w:val="09B11F73"/>
    <w:rsid w:val="09C4022B"/>
    <w:rsid w:val="09D53A15"/>
    <w:rsid w:val="09D56EA3"/>
    <w:rsid w:val="09E32417"/>
    <w:rsid w:val="09EE5DD1"/>
    <w:rsid w:val="09FA1858"/>
    <w:rsid w:val="0A0176CC"/>
    <w:rsid w:val="0A115CE5"/>
    <w:rsid w:val="0A5B6574"/>
    <w:rsid w:val="0A7A73AE"/>
    <w:rsid w:val="0A7B2642"/>
    <w:rsid w:val="0A8C1512"/>
    <w:rsid w:val="0A964D16"/>
    <w:rsid w:val="0AA06499"/>
    <w:rsid w:val="0AB23986"/>
    <w:rsid w:val="0AC10076"/>
    <w:rsid w:val="0AD04A36"/>
    <w:rsid w:val="0AD17E63"/>
    <w:rsid w:val="0AD4667D"/>
    <w:rsid w:val="0AE07127"/>
    <w:rsid w:val="0AF22F94"/>
    <w:rsid w:val="0AF40E05"/>
    <w:rsid w:val="0B093F8E"/>
    <w:rsid w:val="0B16363E"/>
    <w:rsid w:val="0BB3318C"/>
    <w:rsid w:val="0BBD45E3"/>
    <w:rsid w:val="0BBE6ECA"/>
    <w:rsid w:val="0BC976EC"/>
    <w:rsid w:val="0BE747E2"/>
    <w:rsid w:val="0C203576"/>
    <w:rsid w:val="0C3569ED"/>
    <w:rsid w:val="0C3B5A33"/>
    <w:rsid w:val="0C593F7E"/>
    <w:rsid w:val="0C595C07"/>
    <w:rsid w:val="0C613368"/>
    <w:rsid w:val="0C620EE1"/>
    <w:rsid w:val="0C754885"/>
    <w:rsid w:val="0C7C359A"/>
    <w:rsid w:val="0CAC6484"/>
    <w:rsid w:val="0CBD3CB0"/>
    <w:rsid w:val="0CD25AD5"/>
    <w:rsid w:val="0CFD6C54"/>
    <w:rsid w:val="0D2E4254"/>
    <w:rsid w:val="0D2F17FD"/>
    <w:rsid w:val="0D366EA4"/>
    <w:rsid w:val="0D4D0E8E"/>
    <w:rsid w:val="0DD3018A"/>
    <w:rsid w:val="0E3A5B31"/>
    <w:rsid w:val="0E5176A4"/>
    <w:rsid w:val="0E5C55B8"/>
    <w:rsid w:val="0E84253D"/>
    <w:rsid w:val="0ED209A3"/>
    <w:rsid w:val="0EF865C7"/>
    <w:rsid w:val="0F297C45"/>
    <w:rsid w:val="0F3F19F8"/>
    <w:rsid w:val="0F551852"/>
    <w:rsid w:val="0F555CFC"/>
    <w:rsid w:val="0FB80E97"/>
    <w:rsid w:val="0FFA5AE7"/>
    <w:rsid w:val="0FFD5D57"/>
    <w:rsid w:val="1003061A"/>
    <w:rsid w:val="10107E16"/>
    <w:rsid w:val="1035751F"/>
    <w:rsid w:val="107D0E4F"/>
    <w:rsid w:val="1096789B"/>
    <w:rsid w:val="10A10A71"/>
    <w:rsid w:val="10A40425"/>
    <w:rsid w:val="10D63A62"/>
    <w:rsid w:val="10DE5BB5"/>
    <w:rsid w:val="10FE5D29"/>
    <w:rsid w:val="11045F3F"/>
    <w:rsid w:val="11092093"/>
    <w:rsid w:val="114A3999"/>
    <w:rsid w:val="11B61A2A"/>
    <w:rsid w:val="11BB4795"/>
    <w:rsid w:val="11CE1138"/>
    <w:rsid w:val="11D633FB"/>
    <w:rsid w:val="11FD5578"/>
    <w:rsid w:val="120018AA"/>
    <w:rsid w:val="121D4F2B"/>
    <w:rsid w:val="122D30E1"/>
    <w:rsid w:val="12737698"/>
    <w:rsid w:val="12927EE6"/>
    <w:rsid w:val="12CE5B7E"/>
    <w:rsid w:val="12DD2130"/>
    <w:rsid w:val="12E357E5"/>
    <w:rsid w:val="12F24EEC"/>
    <w:rsid w:val="12F57A1D"/>
    <w:rsid w:val="132F7AE4"/>
    <w:rsid w:val="133C41F3"/>
    <w:rsid w:val="13A40DDF"/>
    <w:rsid w:val="13CE44E0"/>
    <w:rsid w:val="140765F1"/>
    <w:rsid w:val="142F48AE"/>
    <w:rsid w:val="143853BD"/>
    <w:rsid w:val="143B090A"/>
    <w:rsid w:val="14D42F2F"/>
    <w:rsid w:val="14FB5F5E"/>
    <w:rsid w:val="153E4263"/>
    <w:rsid w:val="15574708"/>
    <w:rsid w:val="156B0D3B"/>
    <w:rsid w:val="156C2EC6"/>
    <w:rsid w:val="1582420E"/>
    <w:rsid w:val="15CB4F5E"/>
    <w:rsid w:val="15ED5A15"/>
    <w:rsid w:val="15F90E49"/>
    <w:rsid w:val="16204307"/>
    <w:rsid w:val="16265D51"/>
    <w:rsid w:val="165339FD"/>
    <w:rsid w:val="16703511"/>
    <w:rsid w:val="16821A4F"/>
    <w:rsid w:val="16892685"/>
    <w:rsid w:val="16A65840"/>
    <w:rsid w:val="16F275ED"/>
    <w:rsid w:val="172F6406"/>
    <w:rsid w:val="173D257E"/>
    <w:rsid w:val="175F47E9"/>
    <w:rsid w:val="177E7416"/>
    <w:rsid w:val="17CF0794"/>
    <w:rsid w:val="17DC7B78"/>
    <w:rsid w:val="17F01C69"/>
    <w:rsid w:val="17FB5B3D"/>
    <w:rsid w:val="18171B7E"/>
    <w:rsid w:val="183E4630"/>
    <w:rsid w:val="186067C6"/>
    <w:rsid w:val="187B238E"/>
    <w:rsid w:val="18907DFF"/>
    <w:rsid w:val="18BB3564"/>
    <w:rsid w:val="18BD3B3E"/>
    <w:rsid w:val="18C9545C"/>
    <w:rsid w:val="18D14A45"/>
    <w:rsid w:val="18D9131C"/>
    <w:rsid w:val="18DA23B2"/>
    <w:rsid w:val="18FB2C86"/>
    <w:rsid w:val="190E2EEB"/>
    <w:rsid w:val="19115D0F"/>
    <w:rsid w:val="1925188B"/>
    <w:rsid w:val="193F71D6"/>
    <w:rsid w:val="195733CD"/>
    <w:rsid w:val="19836EAA"/>
    <w:rsid w:val="198F1420"/>
    <w:rsid w:val="19A46A73"/>
    <w:rsid w:val="19BC7C18"/>
    <w:rsid w:val="19C743AB"/>
    <w:rsid w:val="19E04474"/>
    <w:rsid w:val="1A424583"/>
    <w:rsid w:val="1A67765F"/>
    <w:rsid w:val="1A875F97"/>
    <w:rsid w:val="1A957F2C"/>
    <w:rsid w:val="1AB43686"/>
    <w:rsid w:val="1AD66893"/>
    <w:rsid w:val="1AE3591B"/>
    <w:rsid w:val="1B07258A"/>
    <w:rsid w:val="1B311265"/>
    <w:rsid w:val="1B5119F6"/>
    <w:rsid w:val="1B6F4BD8"/>
    <w:rsid w:val="1B7C0137"/>
    <w:rsid w:val="1B8A0875"/>
    <w:rsid w:val="1B9D7AC9"/>
    <w:rsid w:val="1BC06163"/>
    <w:rsid w:val="1BC24A57"/>
    <w:rsid w:val="1BEA5D34"/>
    <w:rsid w:val="1C0C72F2"/>
    <w:rsid w:val="1C1B0370"/>
    <w:rsid w:val="1C3851BA"/>
    <w:rsid w:val="1C3D70D4"/>
    <w:rsid w:val="1C5724DE"/>
    <w:rsid w:val="1C643F63"/>
    <w:rsid w:val="1C6641AE"/>
    <w:rsid w:val="1CA36B34"/>
    <w:rsid w:val="1CDE7453"/>
    <w:rsid w:val="1CF76582"/>
    <w:rsid w:val="1CFB49CC"/>
    <w:rsid w:val="1D0A51B3"/>
    <w:rsid w:val="1D273CCB"/>
    <w:rsid w:val="1D415A02"/>
    <w:rsid w:val="1D815E59"/>
    <w:rsid w:val="1D8275F7"/>
    <w:rsid w:val="1D8732D1"/>
    <w:rsid w:val="1D990A00"/>
    <w:rsid w:val="1DBD2E17"/>
    <w:rsid w:val="1DF44370"/>
    <w:rsid w:val="1E1C1C94"/>
    <w:rsid w:val="1E225CFD"/>
    <w:rsid w:val="1E250126"/>
    <w:rsid w:val="1E277236"/>
    <w:rsid w:val="1E32630D"/>
    <w:rsid w:val="1E3850FA"/>
    <w:rsid w:val="1E8B31F0"/>
    <w:rsid w:val="1E8D1C7D"/>
    <w:rsid w:val="1EA93B68"/>
    <w:rsid w:val="1EB3600A"/>
    <w:rsid w:val="1ED20516"/>
    <w:rsid w:val="1EEA1027"/>
    <w:rsid w:val="1EEA318A"/>
    <w:rsid w:val="1EF44803"/>
    <w:rsid w:val="1EFA2842"/>
    <w:rsid w:val="1F9305C6"/>
    <w:rsid w:val="1FB2188E"/>
    <w:rsid w:val="1FC26A3D"/>
    <w:rsid w:val="1FE431DB"/>
    <w:rsid w:val="1FE5413D"/>
    <w:rsid w:val="1FF52DF1"/>
    <w:rsid w:val="200827DE"/>
    <w:rsid w:val="202261B2"/>
    <w:rsid w:val="20235782"/>
    <w:rsid w:val="202B5D6E"/>
    <w:rsid w:val="204A0B9A"/>
    <w:rsid w:val="206D2D05"/>
    <w:rsid w:val="209303AD"/>
    <w:rsid w:val="210B76C7"/>
    <w:rsid w:val="21514E5B"/>
    <w:rsid w:val="215A5FAC"/>
    <w:rsid w:val="21DA609C"/>
    <w:rsid w:val="21E84CB9"/>
    <w:rsid w:val="21F45F83"/>
    <w:rsid w:val="2217059E"/>
    <w:rsid w:val="22265B2E"/>
    <w:rsid w:val="223454BE"/>
    <w:rsid w:val="22384AB0"/>
    <w:rsid w:val="22401C9C"/>
    <w:rsid w:val="224468B7"/>
    <w:rsid w:val="224F60B2"/>
    <w:rsid w:val="227C1F6A"/>
    <w:rsid w:val="228E28E4"/>
    <w:rsid w:val="22A929A7"/>
    <w:rsid w:val="22AC4FBF"/>
    <w:rsid w:val="22BA74DC"/>
    <w:rsid w:val="23000557"/>
    <w:rsid w:val="231371A6"/>
    <w:rsid w:val="23352628"/>
    <w:rsid w:val="23401967"/>
    <w:rsid w:val="23714224"/>
    <w:rsid w:val="237371C7"/>
    <w:rsid w:val="23867865"/>
    <w:rsid w:val="23CA1759"/>
    <w:rsid w:val="23CB6A89"/>
    <w:rsid w:val="23E000F1"/>
    <w:rsid w:val="23E42DE7"/>
    <w:rsid w:val="23EB5E33"/>
    <w:rsid w:val="23F41CCE"/>
    <w:rsid w:val="24120716"/>
    <w:rsid w:val="24315AC1"/>
    <w:rsid w:val="243D64B5"/>
    <w:rsid w:val="2477272B"/>
    <w:rsid w:val="25031920"/>
    <w:rsid w:val="25147FB7"/>
    <w:rsid w:val="25207829"/>
    <w:rsid w:val="2532491F"/>
    <w:rsid w:val="256E113B"/>
    <w:rsid w:val="25FD4071"/>
    <w:rsid w:val="262B3CA2"/>
    <w:rsid w:val="262D5963"/>
    <w:rsid w:val="26321EA3"/>
    <w:rsid w:val="26677EA4"/>
    <w:rsid w:val="26A4243C"/>
    <w:rsid w:val="26B6748B"/>
    <w:rsid w:val="26BF12B5"/>
    <w:rsid w:val="26E81A8D"/>
    <w:rsid w:val="26F56942"/>
    <w:rsid w:val="270348F4"/>
    <w:rsid w:val="271A3B8A"/>
    <w:rsid w:val="27397CB2"/>
    <w:rsid w:val="273D27FC"/>
    <w:rsid w:val="273E56BD"/>
    <w:rsid w:val="27755A85"/>
    <w:rsid w:val="277A594A"/>
    <w:rsid w:val="27816EF2"/>
    <w:rsid w:val="27A262C1"/>
    <w:rsid w:val="27B73958"/>
    <w:rsid w:val="27EC2BFC"/>
    <w:rsid w:val="27F9116C"/>
    <w:rsid w:val="280A0880"/>
    <w:rsid w:val="28294A31"/>
    <w:rsid w:val="28333EE8"/>
    <w:rsid w:val="28827CF6"/>
    <w:rsid w:val="2884316C"/>
    <w:rsid w:val="2885124A"/>
    <w:rsid w:val="28A24195"/>
    <w:rsid w:val="28BB094A"/>
    <w:rsid w:val="28DE48DD"/>
    <w:rsid w:val="29074900"/>
    <w:rsid w:val="290B17C1"/>
    <w:rsid w:val="291B1BE8"/>
    <w:rsid w:val="29360FBB"/>
    <w:rsid w:val="29767079"/>
    <w:rsid w:val="29767B10"/>
    <w:rsid w:val="29812EDE"/>
    <w:rsid w:val="29A3317F"/>
    <w:rsid w:val="29A61B69"/>
    <w:rsid w:val="29D46E34"/>
    <w:rsid w:val="29DA1562"/>
    <w:rsid w:val="2A072B68"/>
    <w:rsid w:val="2A0825C9"/>
    <w:rsid w:val="2A13484E"/>
    <w:rsid w:val="2A147883"/>
    <w:rsid w:val="2A274D26"/>
    <w:rsid w:val="2A4C76FB"/>
    <w:rsid w:val="2A5A173A"/>
    <w:rsid w:val="2A703829"/>
    <w:rsid w:val="2A982037"/>
    <w:rsid w:val="2AA340F2"/>
    <w:rsid w:val="2AA70339"/>
    <w:rsid w:val="2AAB0DA9"/>
    <w:rsid w:val="2AB530A2"/>
    <w:rsid w:val="2AC7413D"/>
    <w:rsid w:val="2ADD2ABF"/>
    <w:rsid w:val="2B177067"/>
    <w:rsid w:val="2B201E1F"/>
    <w:rsid w:val="2B224273"/>
    <w:rsid w:val="2B273FAB"/>
    <w:rsid w:val="2B283DE2"/>
    <w:rsid w:val="2B2E6112"/>
    <w:rsid w:val="2B3913CB"/>
    <w:rsid w:val="2B570D51"/>
    <w:rsid w:val="2B5A6EC6"/>
    <w:rsid w:val="2B6506DB"/>
    <w:rsid w:val="2BB747D7"/>
    <w:rsid w:val="2BC566FF"/>
    <w:rsid w:val="2BE8751E"/>
    <w:rsid w:val="2C3A5ACE"/>
    <w:rsid w:val="2C5414CC"/>
    <w:rsid w:val="2C591A94"/>
    <w:rsid w:val="2C5F16FD"/>
    <w:rsid w:val="2C8B07D4"/>
    <w:rsid w:val="2CBC65DB"/>
    <w:rsid w:val="2CD13A85"/>
    <w:rsid w:val="2CDE6E35"/>
    <w:rsid w:val="2D0B021A"/>
    <w:rsid w:val="2D1A0AA6"/>
    <w:rsid w:val="2D2A4B70"/>
    <w:rsid w:val="2D4A43AF"/>
    <w:rsid w:val="2D837976"/>
    <w:rsid w:val="2D8815B3"/>
    <w:rsid w:val="2D965575"/>
    <w:rsid w:val="2D9B5E6F"/>
    <w:rsid w:val="2DCB29E6"/>
    <w:rsid w:val="2DE02D7C"/>
    <w:rsid w:val="2E0120C7"/>
    <w:rsid w:val="2E0F5EA0"/>
    <w:rsid w:val="2E1C7AC3"/>
    <w:rsid w:val="2E235122"/>
    <w:rsid w:val="2E3B031A"/>
    <w:rsid w:val="2E502638"/>
    <w:rsid w:val="2E525284"/>
    <w:rsid w:val="2E7B72CE"/>
    <w:rsid w:val="2E817E2A"/>
    <w:rsid w:val="2E963F7E"/>
    <w:rsid w:val="2EA81B4D"/>
    <w:rsid w:val="2EE34C46"/>
    <w:rsid w:val="2EE74C48"/>
    <w:rsid w:val="2EF81CDE"/>
    <w:rsid w:val="2F030299"/>
    <w:rsid w:val="2F1B3090"/>
    <w:rsid w:val="2F1D3286"/>
    <w:rsid w:val="2F1F3C5E"/>
    <w:rsid w:val="2F5418CF"/>
    <w:rsid w:val="2F806EE6"/>
    <w:rsid w:val="2FAB6BA1"/>
    <w:rsid w:val="2FE54A41"/>
    <w:rsid w:val="3003784A"/>
    <w:rsid w:val="30087795"/>
    <w:rsid w:val="300C255C"/>
    <w:rsid w:val="3017590C"/>
    <w:rsid w:val="30181C88"/>
    <w:rsid w:val="30244B65"/>
    <w:rsid w:val="302760A3"/>
    <w:rsid w:val="303536F2"/>
    <w:rsid w:val="30437A4D"/>
    <w:rsid w:val="306B6F5C"/>
    <w:rsid w:val="30D90930"/>
    <w:rsid w:val="310B4AE2"/>
    <w:rsid w:val="3121700C"/>
    <w:rsid w:val="3134103F"/>
    <w:rsid w:val="3146756C"/>
    <w:rsid w:val="31727AE1"/>
    <w:rsid w:val="317E4FE4"/>
    <w:rsid w:val="31A62F48"/>
    <w:rsid w:val="31D46E8A"/>
    <w:rsid w:val="31E70959"/>
    <w:rsid w:val="31F0140F"/>
    <w:rsid w:val="31FE76C1"/>
    <w:rsid w:val="32343CA2"/>
    <w:rsid w:val="32727915"/>
    <w:rsid w:val="32854D96"/>
    <w:rsid w:val="328D422D"/>
    <w:rsid w:val="329816E1"/>
    <w:rsid w:val="32E270AF"/>
    <w:rsid w:val="32ED405F"/>
    <w:rsid w:val="330B57AC"/>
    <w:rsid w:val="330E4798"/>
    <w:rsid w:val="33146925"/>
    <w:rsid w:val="333D600A"/>
    <w:rsid w:val="334F3224"/>
    <w:rsid w:val="335A2EB3"/>
    <w:rsid w:val="335C1C05"/>
    <w:rsid w:val="335F0235"/>
    <w:rsid w:val="339C51CF"/>
    <w:rsid w:val="339F1141"/>
    <w:rsid w:val="33BF66C3"/>
    <w:rsid w:val="33D302EE"/>
    <w:rsid w:val="33E651FD"/>
    <w:rsid w:val="33F33F6C"/>
    <w:rsid w:val="341E122B"/>
    <w:rsid w:val="342C3B10"/>
    <w:rsid w:val="343069C2"/>
    <w:rsid w:val="343601E1"/>
    <w:rsid w:val="34846C97"/>
    <w:rsid w:val="34875478"/>
    <w:rsid w:val="34BA2C9E"/>
    <w:rsid w:val="34C21967"/>
    <w:rsid w:val="34D7194F"/>
    <w:rsid w:val="34FE4890"/>
    <w:rsid w:val="350B6F65"/>
    <w:rsid w:val="35634B73"/>
    <w:rsid w:val="35685C73"/>
    <w:rsid w:val="35A84C76"/>
    <w:rsid w:val="35DF52E3"/>
    <w:rsid w:val="35ED4080"/>
    <w:rsid w:val="35FD39EB"/>
    <w:rsid w:val="362657FD"/>
    <w:rsid w:val="362D42A4"/>
    <w:rsid w:val="36380DE4"/>
    <w:rsid w:val="36526874"/>
    <w:rsid w:val="3662662A"/>
    <w:rsid w:val="366A63F2"/>
    <w:rsid w:val="36790268"/>
    <w:rsid w:val="368B0EDA"/>
    <w:rsid w:val="368E3B80"/>
    <w:rsid w:val="36D6267C"/>
    <w:rsid w:val="36DC33F8"/>
    <w:rsid w:val="370040B3"/>
    <w:rsid w:val="371A4D67"/>
    <w:rsid w:val="37275153"/>
    <w:rsid w:val="372D7C61"/>
    <w:rsid w:val="373410F1"/>
    <w:rsid w:val="374C1ED7"/>
    <w:rsid w:val="37746359"/>
    <w:rsid w:val="37823CD5"/>
    <w:rsid w:val="37BF719F"/>
    <w:rsid w:val="38013C00"/>
    <w:rsid w:val="383733B0"/>
    <w:rsid w:val="38604672"/>
    <w:rsid w:val="386433D3"/>
    <w:rsid w:val="38671FE2"/>
    <w:rsid w:val="388621A9"/>
    <w:rsid w:val="38B70DB9"/>
    <w:rsid w:val="38B73812"/>
    <w:rsid w:val="38BF4799"/>
    <w:rsid w:val="38DA3502"/>
    <w:rsid w:val="38E93799"/>
    <w:rsid w:val="390E2B03"/>
    <w:rsid w:val="39102285"/>
    <w:rsid w:val="391A3310"/>
    <w:rsid w:val="395D2975"/>
    <w:rsid w:val="395E6161"/>
    <w:rsid w:val="398017B7"/>
    <w:rsid w:val="39836E6C"/>
    <w:rsid w:val="398F7C67"/>
    <w:rsid w:val="39911DAF"/>
    <w:rsid w:val="39A16B7F"/>
    <w:rsid w:val="39D27A18"/>
    <w:rsid w:val="39DE41B4"/>
    <w:rsid w:val="39EF10CF"/>
    <w:rsid w:val="39F92181"/>
    <w:rsid w:val="3A0162F7"/>
    <w:rsid w:val="3A1074FE"/>
    <w:rsid w:val="3A3A5487"/>
    <w:rsid w:val="3A4458A2"/>
    <w:rsid w:val="3A7D7DDE"/>
    <w:rsid w:val="3A8557E7"/>
    <w:rsid w:val="3A9152F6"/>
    <w:rsid w:val="3A9D748A"/>
    <w:rsid w:val="3AB1688F"/>
    <w:rsid w:val="3B0B2F80"/>
    <w:rsid w:val="3B134E14"/>
    <w:rsid w:val="3B3A3350"/>
    <w:rsid w:val="3B452D48"/>
    <w:rsid w:val="3B4E70B8"/>
    <w:rsid w:val="3BA92D83"/>
    <w:rsid w:val="3BAE6891"/>
    <w:rsid w:val="3BEA6FB9"/>
    <w:rsid w:val="3BF11F82"/>
    <w:rsid w:val="3C11165A"/>
    <w:rsid w:val="3C237C50"/>
    <w:rsid w:val="3C614D88"/>
    <w:rsid w:val="3C6E6B0D"/>
    <w:rsid w:val="3C96446A"/>
    <w:rsid w:val="3CA327EF"/>
    <w:rsid w:val="3CD75784"/>
    <w:rsid w:val="3CE87DDE"/>
    <w:rsid w:val="3CEF56D9"/>
    <w:rsid w:val="3D38727D"/>
    <w:rsid w:val="3D490972"/>
    <w:rsid w:val="3D555059"/>
    <w:rsid w:val="3D5E0772"/>
    <w:rsid w:val="3D650A31"/>
    <w:rsid w:val="3D721322"/>
    <w:rsid w:val="3D7E689D"/>
    <w:rsid w:val="3D843FD9"/>
    <w:rsid w:val="3DA54542"/>
    <w:rsid w:val="3E092D1D"/>
    <w:rsid w:val="3E1D1C6A"/>
    <w:rsid w:val="3E584FA2"/>
    <w:rsid w:val="3E6E6AC5"/>
    <w:rsid w:val="3E7E42BF"/>
    <w:rsid w:val="3E9951F8"/>
    <w:rsid w:val="3EB90199"/>
    <w:rsid w:val="3EE66E98"/>
    <w:rsid w:val="3EEF51FC"/>
    <w:rsid w:val="3F04597F"/>
    <w:rsid w:val="3F1B1204"/>
    <w:rsid w:val="3F283755"/>
    <w:rsid w:val="3F855321"/>
    <w:rsid w:val="3FDF6CE7"/>
    <w:rsid w:val="3FF61EE2"/>
    <w:rsid w:val="403C292B"/>
    <w:rsid w:val="404A11CA"/>
    <w:rsid w:val="405D56E8"/>
    <w:rsid w:val="406F3D88"/>
    <w:rsid w:val="40774B00"/>
    <w:rsid w:val="40911D97"/>
    <w:rsid w:val="40D77B15"/>
    <w:rsid w:val="40E87E78"/>
    <w:rsid w:val="40EC28E7"/>
    <w:rsid w:val="40ED41B5"/>
    <w:rsid w:val="410B1F8E"/>
    <w:rsid w:val="410C4F2A"/>
    <w:rsid w:val="413411AD"/>
    <w:rsid w:val="414753FF"/>
    <w:rsid w:val="41490312"/>
    <w:rsid w:val="417B7CE7"/>
    <w:rsid w:val="41820A20"/>
    <w:rsid w:val="41AB24EC"/>
    <w:rsid w:val="41B03ED5"/>
    <w:rsid w:val="41C2593A"/>
    <w:rsid w:val="41F51F86"/>
    <w:rsid w:val="42120961"/>
    <w:rsid w:val="4233534D"/>
    <w:rsid w:val="42564B20"/>
    <w:rsid w:val="42786758"/>
    <w:rsid w:val="42891016"/>
    <w:rsid w:val="42B67002"/>
    <w:rsid w:val="42EB4549"/>
    <w:rsid w:val="42F81DB0"/>
    <w:rsid w:val="43120EE0"/>
    <w:rsid w:val="432C158C"/>
    <w:rsid w:val="432E574A"/>
    <w:rsid w:val="433F6648"/>
    <w:rsid w:val="437028A5"/>
    <w:rsid w:val="43977E7C"/>
    <w:rsid w:val="43AA4B76"/>
    <w:rsid w:val="43C94FEC"/>
    <w:rsid w:val="43F7492E"/>
    <w:rsid w:val="44000A4F"/>
    <w:rsid w:val="4466664D"/>
    <w:rsid w:val="4473302F"/>
    <w:rsid w:val="449444C9"/>
    <w:rsid w:val="44963CBE"/>
    <w:rsid w:val="44C52C9E"/>
    <w:rsid w:val="44D14984"/>
    <w:rsid w:val="44DC1C5E"/>
    <w:rsid w:val="44E33A45"/>
    <w:rsid w:val="44EC5E6E"/>
    <w:rsid w:val="44FD3C66"/>
    <w:rsid w:val="4520182B"/>
    <w:rsid w:val="454B3DA1"/>
    <w:rsid w:val="45513471"/>
    <w:rsid w:val="455535E4"/>
    <w:rsid w:val="456A2E1D"/>
    <w:rsid w:val="45792566"/>
    <w:rsid w:val="45794429"/>
    <w:rsid w:val="458F4E94"/>
    <w:rsid w:val="45910961"/>
    <w:rsid w:val="45A6073F"/>
    <w:rsid w:val="45BF4622"/>
    <w:rsid w:val="45D564C4"/>
    <w:rsid w:val="45E21012"/>
    <w:rsid w:val="466C71EB"/>
    <w:rsid w:val="46B93CB4"/>
    <w:rsid w:val="46F054BF"/>
    <w:rsid w:val="46FB5923"/>
    <w:rsid w:val="471A4B2F"/>
    <w:rsid w:val="47275897"/>
    <w:rsid w:val="474326C1"/>
    <w:rsid w:val="47816CF6"/>
    <w:rsid w:val="47A053D3"/>
    <w:rsid w:val="47B14B48"/>
    <w:rsid w:val="47C54ED4"/>
    <w:rsid w:val="47F56020"/>
    <w:rsid w:val="48077637"/>
    <w:rsid w:val="48640106"/>
    <w:rsid w:val="487D4BAC"/>
    <w:rsid w:val="48843C4A"/>
    <w:rsid w:val="48A44BBF"/>
    <w:rsid w:val="48D62E7E"/>
    <w:rsid w:val="491E56D0"/>
    <w:rsid w:val="492B27E6"/>
    <w:rsid w:val="49EC6333"/>
    <w:rsid w:val="49F56D5E"/>
    <w:rsid w:val="4A084BAC"/>
    <w:rsid w:val="4A1939F0"/>
    <w:rsid w:val="4A2A5616"/>
    <w:rsid w:val="4A3B13DE"/>
    <w:rsid w:val="4A3D1D4E"/>
    <w:rsid w:val="4A3F7E37"/>
    <w:rsid w:val="4A400299"/>
    <w:rsid w:val="4A4D41E6"/>
    <w:rsid w:val="4A6618F7"/>
    <w:rsid w:val="4A733C32"/>
    <w:rsid w:val="4A736915"/>
    <w:rsid w:val="4A7F372F"/>
    <w:rsid w:val="4A8A6C4F"/>
    <w:rsid w:val="4AA916E6"/>
    <w:rsid w:val="4AC46B47"/>
    <w:rsid w:val="4AF70097"/>
    <w:rsid w:val="4B367FBC"/>
    <w:rsid w:val="4B4D739D"/>
    <w:rsid w:val="4BA76B2F"/>
    <w:rsid w:val="4BB34FB9"/>
    <w:rsid w:val="4BBF39AB"/>
    <w:rsid w:val="4BF83323"/>
    <w:rsid w:val="4C331C02"/>
    <w:rsid w:val="4C465159"/>
    <w:rsid w:val="4C4E5D89"/>
    <w:rsid w:val="4C6A17F2"/>
    <w:rsid w:val="4C775B88"/>
    <w:rsid w:val="4C9E4899"/>
    <w:rsid w:val="4CC94D2C"/>
    <w:rsid w:val="4CFF05B5"/>
    <w:rsid w:val="4D2361C8"/>
    <w:rsid w:val="4D2404A9"/>
    <w:rsid w:val="4D4909B0"/>
    <w:rsid w:val="4D79396E"/>
    <w:rsid w:val="4D9C2486"/>
    <w:rsid w:val="4DF43BC5"/>
    <w:rsid w:val="4E025BE1"/>
    <w:rsid w:val="4E3269C2"/>
    <w:rsid w:val="4E407BBB"/>
    <w:rsid w:val="4E4F502F"/>
    <w:rsid w:val="4E814DB8"/>
    <w:rsid w:val="4E97027A"/>
    <w:rsid w:val="4EA239CD"/>
    <w:rsid w:val="4EDA17BC"/>
    <w:rsid w:val="4EDE332F"/>
    <w:rsid w:val="4F0E755C"/>
    <w:rsid w:val="4F2B119C"/>
    <w:rsid w:val="4F302A36"/>
    <w:rsid w:val="4F3A160B"/>
    <w:rsid w:val="4F5D14BA"/>
    <w:rsid w:val="4F621385"/>
    <w:rsid w:val="4F743065"/>
    <w:rsid w:val="4F750263"/>
    <w:rsid w:val="4F8F35C8"/>
    <w:rsid w:val="4FA46B62"/>
    <w:rsid w:val="4FAF0B25"/>
    <w:rsid w:val="4FB9059A"/>
    <w:rsid w:val="4FC71BCD"/>
    <w:rsid w:val="4FEE492D"/>
    <w:rsid w:val="4FF30BB7"/>
    <w:rsid w:val="50365585"/>
    <w:rsid w:val="505161CB"/>
    <w:rsid w:val="505444EC"/>
    <w:rsid w:val="507620AE"/>
    <w:rsid w:val="50763168"/>
    <w:rsid w:val="50F13220"/>
    <w:rsid w:val="50F34655"/>
    <w:rsid w:val="50FC6972"/>
    <w:rsid w:val="51273C67"/>
    <w:rsid w:val="512F5C35"/>
    <w:rsid w:val="514857C4"/>
    <w:rsid w:val="515362BC"/>
    <w:rsid w:val="516B1FAB"/>
    <w:rsid w:val="51732756"/>
    <w:rsid w:val="51763165"/>
    <w:rsid w:val="517A542A"/>
    <w:rsid w:val="51BC1BF1"/>
    <w:rsid w:val="51DE35E4"/>
    <w:rsid w:val="51E06169"/>
    <w:rsid w:val="521D63D2"/>
    <w:rsid w:val="52343F27"/>
    <w:rsid w:val="5235361D"/>
    <w:rsid w:val="52441260"/>
    <w:rsid w:val="5245461E"/>
    <w:rsid w:val="52552610"/>
    <w:rsid w:val="525F3C3C"/>
    <w:rsid w:val="527B07EE"/>
    <w:rsid w:val="52834D6E"/>
    <w:rsid w:val="529102CD"/>
    <w:rsid w:val="52EA5500"/>
    <w:rsid w:val="52F04C27"/>
    <w:rsid w:val="53353571"/>
    <w:rsid w:val="536330C3"/>
    <w:rsid w:val="537A6945"/>
    <w:rsid w:val="537E5151"/>
    <w:rsid w:val="53C66EA9"/>
    <w:rsid w:val="53F01D6C"/>
    <w:rsid w:val="54905BEB"/>
    <w:rsid w:val="5494095F"/>
    <w:rsid w:val="54BB1DAF"/>
    <w:rsid w:val="54D67B68"/>
    <w:rsid w:val="54D8755D"/>
    <w:rsid w:val="54FC5C97"/>
    <w:rsid w:val="550B044A"/>
    <w:rsid w:val="551E434B"/>
    <w:rsid w:val="554C1A29"/>
    <w:rsid w:val="557B023C"/>
    <w:rsid w:val="557B4B6A"/>
    <w:rsid w:val="557D789B"/>
    <w:rsid w:val="558E575A"/>
    <w:rsid w:val="558F25E8"/>
    <w:rsid w:val="559363EF"/>
    <w:rsid w:val="55AA58EC"/>
    <w:rsid w:val="55BF2F42"/>
    <w:rsid w:val="55D63885"/>
    <w:rsid w:val="55FE4467"/>
    <w:rsid w:val="560B47A6"/>
    <w:rsid w:val="5621545D"/>
    <w:rsid w:val="562D17B1"/>
    <w:rsid w:val="563040DA"/>
    <w:rsid w:val="563041D1"/>
    <w:rsid w:val="56361D6A"/>
    <w:rsid w:val="563A5B23"/>
    <w:rsid w:val="56454562"/>
    <w:rsid w:val="565B3092"/>
    <w:rsid w:val="56DE2AED"/>
    <w:rsid w:val="56F4629D"/>
    <w:rsid w:val="570268F4"/>
    <w:rsid w:val="57202635"/>
    <w:rsid w:val="5748104C"/>
    <w:rsid w:val="57506DC2"/>
    <w:rsid w:val="57522EC6"/>
    <w:rsid w:val="57675FEE"/>
    <w:rsid w:val="57763727"/>
    <w:rsid w:val="57946605"/>
    <w:rsid w:val="57B039F8"/>
    <w:rsid w:val="57C30E97"/>
    <w:rsid w:val="57C7591B"/>
    <w:rsid w:val="57D50A77"/>
    <w:rsid w:val="57DD7F26"/>
    <w:rsid w:val="580352F5"/>
    <w:rsid w:val="58103832"/>
    <w:rsid w:val="58151FC0"/>
    <w:rsid w:val="58193B47"/>
    <w:rsid w:val="581E17AB"/>
    <w:rsid w:val="582A4461"/>
    <w:rsid w:val="58301ECE"/>
    <w:rsid w:val="585F4AFB"/>
    <w:rsid w:val="58951B22"/>
    <w:rsid w:val="58CB493D"/>
    <w:rsid w:val="58E36899"/>
    <w:rsid w:val="59033633"/>
    <w:rsid w:val="5912065B"/>
    <w:rsid w:val="591D0BDB"/>
    <w:rsid w:val="592B7916"/>
    <w:rsid w:val="59311DC7"/>
    <w:rsid w:val="59371D29"/>
    <w:rsid w:val="593770D8"/>
    <w:rsid w:val="5954010A"/>
    <w:rsid w:val="59773309"/>
    <w:rsid w:val="598509D5"/>
    <w:rsid w:val="59862F59"/>
    <w:rsid w:val="599B10DE"/>
    <w:rsid w:val="59AC4433"/>
    <w:rsid w:val="59AE65E6"/>
    <w:rsid w:val="59B03A0B"/>
    <w:rsid w:val="59B1127C"/>
    <w:rsid w:val="59D7629F"/>
    <w:rsid w:val="59DB17F3"/>
    <w:rsid w:val="59F05268"/>
    <w:rsid w:val="5A216968"/>
    <w:rsid w:val="5A792885"/>
    <w:rsid w:val="5A933B1B"/>
    <w:rsid w:val="5AB003EE"/>
    <w:rsid w:val="5AB82FFB"/>
    <w:rsid w:val="5AC775FB"/>
    <w:rsid w:val="5ACF2987"/>
    <w:rsid w:val="5AF13A85"/>
    <w:rsid w:val="5AF57C63"/>
    <w:rsid w:val="5B027052"/>
    <w:rsid w:val="5B392D8D"/>
    <w:rsid w:val="5B3D4308"/>
    <w:rsid w:val="5B5A5C96"/>
    <w:rsid w:val="5B856984"/>
    <w:rsid w:val="5BBB130B"/>
    <w:rsid w:val="5BBD040D"/>
    <w:rsid w:val="5BD136DC"/>
    <w:rsid w:val="5BE949B4"/>
    <w:rsid w:val="5C4E1B93"/>
    <w:rsid w:val="5C6B6CB0"/>
    <w:rsid w:val="5C7A6FC8"/>
    <w:rsid w:val="5CA2121D"/>
    <w:rsid w:val="5CB10A3F"/>
    <w:rsid w:val="5CB5471F"/>
    <w:rsid w:val="5CD01834"/>
    <w:rsid w:val="5D0E78A5"/>
    <w:rsid w:val="5D3124B3"/>
    <w:rsid w:val="5D3C0DF5"/>
    <w:rsid w:val="5D650D97"/>
    <w:rsid w:val="5D742D84"/>
    <w:rsid w:val="5DC96AC0"/>
    <w:rsid w:val="5E036880"/>
    <w:rsid w:val="5E11208A"/>
    <w:rsid w:val="5E440D82"/>
    <w:rsid w:val="5E6128F2"/>
    <w:rsid w:val="5E870525"/>
    <w:rsid w:val="5EAE4AF7"/>
    <w:rsid w:val="5EB464EF"/>
    <w:rsid w:val="5EE77164"/>
    <w:rsid w:val="5EF00751"/>
    <w:rsid w:val="5F023BC7"/>
    <w:rsid w:val="5F595353"/>
    <w:rsid w:val="5F6F54CB"/>
    <w:rsid w:val="5F8A5434"/>
    <w:rsid w:val="5F972989"/>
    <w:rsid w:val="5FDD4E29"/>
    <w:rsid w:val="5FDF19CF"/>
    <w:rsid w:val="5FE3417D"/>
    <w:rsid w:val="60286F46"/>
    <w:rsid w:val="602E6CA6"/>
    <w:rsid w:val="603A1F69"/>
    <w:rsid w:val="604C5CC0"/>
    <w:rsid w:val="60852AB5"/>
    <w:rsid w:val="60DE361C"/>
    <w:rsid w:val="612E7B55"/>
    <w:rsid w:val="61653E95"/>
    <w:rsid w:val="617E5CD0"/>
    <w:rsid w:val="618B2BBF"/>
    <w:rsid w:val="619B11F0"/>
    <w:rsid w:val="619E0434"/>
    <w:rsid w:val="61B12CFF"/>
    <w:rsid w:val="61E272C2"/>
    <w:rsid w:val="61E50FEF"/>
    <w:rsid w:val="62120ECC"/>
    <w:rsid w:val="62156259"/>
    <w:rsid w:val="623947D9"/>
    <w:rsid w:val="624A3E21"/>
    <w:rsid w:val="6272294D"/>
    <w:rsid w:val="627610D1"/>
    <w:rsid w:val="627F6AE0"/>
    <w:rsid w:val="62C16379"/>
    <w:rsid w:val="62C52E48"/>
    <w:rsid w:val="62C657BB"/>
    <w:rsid w:val="62D17454"/>
    <w:rsid w:val="62D30C67"/>
    <w:rsid w:val="62DF68B1"/>
    <w:rsid w:val="630D5BE1"/>
    <w:rsid w:val="631320BB"/>
    <w:rsid w:val="6334608B"/>
    <w:rsid w:val="6341139C"/>
    <w:rsid w:val="63413B99"/>
    <w:rsid w:val="635B5287"/>
    <w:rsid w:val="636D19AE"/>
    <w:rsid w:val="636D597B"/>
    <w:rsid w:val="63846BFA"/>
    <w:rsid w:val="63885853"/>
    <w:rsid w:val="63AC725B"/>
    <w:rsid w:val="63C20E00"/>
    <w:rsid w:val="63C57D4D"/>
    <w:rsid w:val="63F14095"/>
    <w:rsid w:val="63F86169"/>
    <w:rsid w:val="641A4139"/>
    <w:rsid w:val="64547A05"/>
    <w:rsid w:val="64691712"/>
    <w:rsid w:val="647E347C"/>
    <w:rsid w:val="648E3DEA"/>
    <w:rsid w:val="64CF2AF1"/>
    <w:rsid w:val="64D841A3"/>
    <w:rsid w:val="64DC68DC"/>
    <w:rsid w:val="650C7E23"/>
    <w:rsid w:val="65180E75"/>
    <w:rsid w:val="65525B43"/>
    <w:rsid w:val="657E761C"/>
    <w:rsid w:val="657F1EFE"/>
    <w:rsid w:val="659D498D"/>
    <w:rsid w:val="65AA6DBC"/>
    <w:rsid w:val="65B41B63"/>
    <w:rsid w:val="65C07AC0"/>
    <w:rsid w:val="65C32BC4"/>
    <w:rsid w:val="65E73974"/>
    <w:rsid w:val="660C5EEE"/>
    <w:rsid w:val="667C776C"/>
    <w:rsid w:val="66C657AE"/>
    <w:rsid w:val="66E56C0D"/>
    <w:rsid w:val="671442E0"/>
    <w:rsid w:val="671E7C1A"/>
    <w:rsid w:val="672F2C9D"/>
    <w:rsid w:val="6734632A"/>
    <w:rsid w:val="67533B33"/>
    <w:rsid w:val="67545AB1"/>
    <w:rsid w:val="67883420"/>
    <w:rsid w:val="67A82531"/>
    <w:rsid w:val="68734799"/>
    <w:rsid w:val="68BD5CA5"/>
    <w:rsid w:val="68C10DDD"/>
    <w:rsid w:val="68D32C3B"/>
    <w:rsid w:val="68E016C6"/>
    <w:rsid w:val="690637DB"/>
    <w:rsid w:val="690F663C"/>
    <w:rsid w:val="691913E8"/>
    <w:rsid w:val="69254412"/>
    <w:rsid w:val="692D3861"/>
    <w:rsid w:val="69575AB3"/>
    <w:rsid w:val="69A5752C"/>
    <w:rsid w:val="69B83D77"/>
    <w:rsid w:val="69C11688"/>
    <w:rsid w:val="69D8521A"/>
    <w:rsid w:val="69E702D3"/>
    <w:rsid w:val="69EB7B43"/>
    <w:rsid w:val="69FB056C"/>
    <w:rsid w:val="6A0B335F"/>
    <w:rsid w:val="6A17740F"/>
    <w:rsid w:val="6A2F365B"/>
    <w:rsid w:val="6A330F3F"/>
    <w:rsid w:val="6A3C4F1A"/>
    <w:rsid w:val="6A70552E"/>
    <w:rsid w:val="6A855036"/>
    <w:rsid w:val="6A9A4CCC"/>
    <w:rsid w:val="6AAD1C5C"/>
    <w:rsid w:val="6AB71895"/>
    <w:rsid w:val="6AB962DF"/>
    <w:rsid w:val="6ACF46C7"/>
    <w:rsid w:val="6AF477F5"/>
    <w:rsid w:val="6B007ED5"/>
    <w:rsid w:val="6B3105EC"/>
    <w:rsid w:val="6B3253BE"/>
    <w:rsid w:val="6B393120"/>
    <w:rsid w:val="6B5C443B"/>
    <w:rsid w:val="6B5F6E4F"/>
    <w:rsid w:val="6B721069"/>
    <w:rsid w:val="6B814692"/>
    <w:rsid w:val="6B831566"/>
    <w:rsid w:val="6BA71C5F"/>
    <w:rsid w:val="6BBD4020"/>
    <w:rsid w:val="6BC37A0F"/>
    <w:rsid w:val="6BC745E0"/>
    <w:rsid w:val="6BD81E95"/>
    <w:rsid w:val="6BDF2258"/>
    <w:rsid w:val="6C1E73FE"/>
    <w:rsid w:val="6C2300E5"/>
    <w:rsid w:val="6C616BB1"/>
    <w:rsid w:val="6C646418"/>
    <w:rsid w:val="6CAF492E"/>
    <w:rsid w:val="6CC12EDD"/>
    <w:rsid w:val="6CD37719"/>
    <w:rsid w:val="6CDA367C"/>
    <w:rsid w:val="6CE35160"/>
    <w:rsid w:val="6D03070B"/>
    <w:rsid w:val="6D1D5AE1"/>
    <w:rsid w:val="6D511882"/>
    <w:rsid w:val="6D9B163C"/>
    <w:rsid w:val="6D9D602B"/>
    <w:rsid w:val="6DB37C6E"/>
    <w:rsid w:val="6DB72732"/>
    <w:rsid w:val="6DBB409C"/>
    <w:rsid w:val="6DC470A7"/>
    <w:rsid w:val="6DD21B2D"/>
    <w:rsid w:val="6DE14B02"/>
    <w:rsid w:val="6DF56B1E"/>
    <w:rsid w:val="6E042338"/>
    <w:rsid w:val="6E297FFE"/>
    <w:rsid w:val="6E455AA4"/>
    <w:rsid w:val="6E563242"/>
    <w:rsid w:val="6E97515A"/>
    <w:rsid w:val="6EA54EB5"/>
    <w:rsid w:val="6EBB0121"/>
    <w:rsid w:val="6EC54E23"/>
    <w:rsid w:val="6F47486E"/>
    <w:rsid w:val="6F687C25"/>
    <w:rsid w:val="6F7454D9"/>
    <w:rsid w:val="6F8326FE"/>
    <w:rsid w:val="6F8A196D"/>
    <w:rsid w:val="6FB76097"/>
    <w:rsid w:val="6FD7261A"/>
    <w:rsid w:val="6FF94C73"/>
    <w:rsid w:val="70191254"/>
    <w:rsid w:val="703122D1"/>
    <w:rsid w:val="703B4D04"/>
    <w:rsid w:val="70450347"/>
    <w:rsid w:val="70561D94"/>
    <w:rsid w:val="7065123E"/>
    <w:rsid w:val="707B3880"/>
    <w:rsid w:val="7084752C"/>
    <w:rsid w:val="708C7398"/>
    <w:rsid w:val="70A03321"/>
    <w:rsid w:val="70AD0B12"/>
    <w:rsid w:val="70C732CD"/>
    <w:rsid w:val="70C772FB"/>
    <w:rsid w:val="710275B4"/>
    <w:rsid w:val="711274A3"/>
    <w:rsid w:val="712C0CEC"/>
    <w:rsid w:val="712D7D3E"/>
    <w:rsid w:val="71447CFF"/>
    <w:rsid w:val="71467730"/>
    <w:rsid w:val="716B0B50"/>
    <w:rsid w:val="71866342"/>
    <w:rsid w:val="71871BBF"/>
    <w:rsid w:val="71DD6C46"/>
    <w:rsid w:val="72014E8D"/>
    <w:rsid w:val="72177312"/>
    <w:rsid w:val="721A6BB0"/>
    <w:rsid w:val="72581DD4"/>
    <w:rsid w:val="7280612D"/>
    <w:rsid w:val="72816B61"/>
    <w:rsid w:val="728615BB"/>
    <w:rsid w:val="72A849D0"/>
    <w:rsid w:val="72B227C1"/>
    <w:rsid w:val="72CA7569"/>
    <w:rsid w:val="72E4478C"/>
    <w:rsid w:val="73217F71"/>
    <w:rsid w:val="735533E9"/>
    <w:rsid w:val="737A71A2"/>
    <w:rsid w:val="738E1BE2"/>
    <w:rsid w:val="73CA2BF1"/>
    <w:rsid w:val="741B1720"/>
    <w:rsid w:val="742D7D56"/>
    <w:rsid w:val="7434628D"/>
    <w:rsid w:val="746174DA"/>
    <w:rsid w:val="747B6672"/>
    <w:rsid w:val="74A7185E"/>
    <w:rsid w:val="74CE4F2E"/>
    <w:rsid w:val="74CF6774"/>
    <w:rsid w:val="74F136FE"/>
    <w:rsid w:val="74F4531C"/>
    <w:rsid w:val="75073BF9"/>
    <w:rsid w:val="75364553"/>
    <w:rsid w:val="753761EA"/>
    <w:rsid w:val="754B20A7"/>
    <w:rsid w:val="757C6909"/>
    <w:rsid w:val="7582490D"/>
    <w:rsid w:val="75AD0856"/>
    <w:rsid w:val="75B52ADE"/>
    <w:rsid w:val="75F50F9F"/>
    <w:rsid w:val="75FA354A"/>
    <w:rsid w:val="760D236C"/>
    <w:rsid w:val="7648667B"/>
    <w:rsid w:val="764A64FB"/>
    <w:rsid w:val="7664271F"/>
    <w:rsid w:val="766E4D13"/>
    <w:rsid w:val="768D66E8"/>
    <w:rsid w:val="76D43B15"/>
    <w:rsid w:val="76E41B57"/>
    <w:rsid w:val="770F51F3"/>
    <w:rsid w:val="771539C0"/>
    <w:rsid w:val="77790868"/>
    <w:rsid w:val="77C00261"/>
    <w:rsid w:val="77C85C7F"/>
    <w:rsid w:val="77CE77BD"/>
    <w:rsid w:val="77ED1656"/>
    <w:rsid w:val="77FC25D8"/>
    <w:rsid w:val="780F7309"/>
    <w:rsid w:val="781033A7"/>
    <w:rsid w:val="78166B76"/>
    <w:rsid w:val="78293A00"/>
    <w:rsid w:val="78397BEF"/>
    <w:rsid w:val="784A45E0"/>
    <w:rsid w:val="78673521"/>
    <w:rsid w:val="78886B2F"/>
    <w:rsid w:val="789769DB"/>
    <w:rsid w:val="7899791F"/>
    <w:rsid w:val="78AA248B"/>
    <w:rsid w:val="78BD4049"/>
    <w:rsid w:val="78F664DB"/>
    <w:rsid w:val="790F535A"/>
    <w:rsid w:val="79227DDB"/>
    <w:rsid w:val="79565CFD"/>
    <w:rsid w:val="797C6E69"/>
    <w:rsid w:val="79A5313F"/>
    <w:rsid w:val="79CC5DE5"/>
    <w:rsid w:val="79DD12F9"/>
    <w:rsid w:val="79FA0114"/>
    <w:rsid w:val="7A1452FC"/>
    <w:rsid w:val="7A2142E8"/>
    <w:rsid w:val="7A434353"/>
    <w:rsid w:val="7A447DB7"/>
    <w:rsid w:val="7A4F11DF"/>
    <w:rsid w:val="7A555E1E"/>
    <w:rsid w:val="7AB05FC8"/>
    <w:rsid w:val="7AB32281"/>
    <w:rsid w:val="7AFD606E"/>
    <w:rsid w:val="7AFE34CB"/>
    <w:rsid w:val="7B016CCB"/>
    <w:rsid w:val="7B386E00"/>
    <w:rsid w:val="7B3E0106"/>
    <w:rsid w:val="7B5C1053"/>
    <w:rsid w:val="7B614C1B"/>
    <w:rsid w:val="7BB53781"/>
    <w:rsid w:val="7BE0375F"/>
    <w:rsid w:val="7BE36CB4"/>
    <w:rsid w:val="7C297DA2"/>
    <w:rsid w:val="7C3134D5"/>
    <w:rsid w:val="7C411690"/>
    <w:rsid w:val="7C766E7B"/>
    <w:rsid w:val="7CCE7610"/>
    <w:rsid w:val="7CFD5D6D"/>
    <w:rsid w:val="7D1E1FDC"/>
    <w:rsid w:val="7D202BC0"/>
    <w:rsid w:val="7D407678"/>
    <w:rsid w:val="7D4E2421"/>
    <w:rsid w:val="7DB65E18"/>
    <w:rsid w:val="7DFD3DC9"/>
    <w:rsid w:val="7E1A7039"/>
    <w:rsid w:val="7E306193"/>
    <w:rsid w:val="7E3D243F"/>
    <w:rsid w:val="7E40170B"/>
    <w:rsid w:val="7E5B0E87"/>
    <w:rsid w:val="7E8276E8"/>
    <w:rsid w:val="7E9C626E"/>
    <w:rsid w:val="7EAF6D3A"/>
    <w:rsid w:val="7EC56BB8"/>
    <w:rsid w:val="7ED951AA"/>
    <w:rsid w:val="7EDE44AC"/>
    <w:rsid w:val="7F6F28A7"/>
    <w:rsid w:val="7F6F6F70"/>
    <w:rsid w:val="7F812067"/>
    <w:rsid w:val="7FA762C3"/>
    <w:rsid w:val="7FBA7711"/>
    <w:rsid w:val="7FBF465E"/>
    <w:rsid w:val="7FBF7D6C"/>
    <w:rsid w:val="7FD719DE"/>
    <w:rsid w:val="7FDD5F76"/>
    <w:rsid w:val="7FDE0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rFonts w:ascii="微软雅黑" w:hAnsi="微软雅黑" w:eastAsia="微软雅黑"/>
      <w:b/>
      <w:color w:val="000000"/>
      <w:sz w:val="32"/>
      <w:szCs w:val="32"/>
    </w:rPr>
  </w:style>
  <w:style w:type="paragraph" w:styleId="3">
    <w:name w:val="heading 2"/>
    <w:basedOn w:val="1"/>
    <w:next w:val="1"/>
    <w:link w:val="44"/>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7"/>
    <w:autoRedefine/>
    <w:qFormat/>
    <w:uiPriority w:val="0"/>
    <w:pPr>
      <w:keepNext/>
      <w:keepLines/>
      <w:spacing w:before="280" w:after="290" w:line="376" w:lineRule="auto"/>
      <w:outlineLvl w:val="3"/>
    </w:pPr>
    <w:rPr>
      <w:rFonts w:ascii="宋体" w:hAnsi="宋体"/>
      <w:b/>
      <w:bCs/>
      <w:sz w:val="28"/>
      <w:szCs w:val="28"/>
    </w:rPr>
  </w:style>
  <w:style w:type="paragraph" w:styleId="6">
    <w:name w:val="heading 5"/>
    <w:basedOn w:val="1"/>
    <w:next w:val="1"/>
    <w:link w:val="4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49"/>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50"/>
    <w:autoRedefine/>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51"/>
    <w:autoRedefine/>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2"/>
    <w:autoRedefine/>
    <w:qFormat/>
    <w:uiPriority w:val="0"/>
    <w:pPr>
      <w:keepNext/>
      <w:keepLines/>
      <w:spacing w:before="240" w:after="64" w:line="320" w:lineRule="auto"/>
      <w:outlineLvl w:val="8"/>
    </w:pPr>
    <w:rPr>
      <w:rFonts w:ascii="等线 Light" w:hAnsi="等线 Light" w:eastAsia="等线 Light"/>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style>
  <w:style w:type="paragraph" w:styleId="12">
    <w:name w:val="index 8"/>
    <w:basedOn w:val="1"/>
    <w:next w:val="1"/>
    <w:autoRedefine/>
    <w:qFormat/>
    <w:uiPriority w:val="0"/>
    <w:pPr>
      <w:ind w:left="2940"/>
    </w:pPr>
  </w:style>
  <w:style w:type="paragraph" w:styleId="13">
    <w:name w:val="Normal Indent"/>
    <w:basedOn w:val="1"/>
    <w:link w:val="53"/>
    <w:autoRedefine/>
    <w:qFormat/>
    <w:uiPriority w:val="0"/>
    <w:pPr>
      <w:ind w:firstLine="420"/>
    </w:pPr>
    <w:rPr>
      <w:szCs w:val="20"/>
    </w:rPr>
  </w:style>
  <w:style w:type="paragraph" w:styleId="14">
    <w:name w:val="Document Map"/>
    <w:basedOn w:val="1"/>
    <w:link w:val="54"/>
    <w:autoRedefine/>
    <w:unhideWhenUsed/>
    <w:qFormat/>
    <w:uiPriority w:val="0"/>
    <w:rPr>
      <w:rFonts w:ascii="宋体"/>
      <w:sz w:val="18"/>
      <w:szCs w:val="18"/>
    </w:rPr>
  </w:style>
  <w:style w:type="paragraph" w:styleId="15">
    <w:name w:val="annotation text"/>
    <w:basedOn w:val="1"/>
    <w:link w:val="55"/>
    <w:autoRedefine/>
    <w:qFormat/>
    <w:uiPriority w:val="0"/>
    <w:pPr>
      <w:jc w:val="left"/>
    </w:pPr>
  </w:style>
  <w:style w:type="paragraph" w:styleId="16">
    <w:name w:val="Body Text 3"/>
    <w:basedOn w:val="1"/>
    <w:link w:val="56"/>
    <w:autoRedefine/>
    <w:qFormat/>
    <w:uiPriority w:val="0"/>
    <w:pPr>
      <w:spacing w:line="240" w:lineRule="exact"/>
    </w:pPr>
    <w:rPr>
      <w:rFonts w:ascii="宋体" w:hAnsi="宋体"/>
      <w:color w:val="000000"/>
      <w:szCs w:val="21"/>
    </w:rPr>
  </w:style>
  <w:style w:type="paragraph" w:styleId="17">
    <w:name w:val="Body Text"/>
    <w:basedOn w:val="1"/>
    <w:link w:val="57"/>
    <w:autoRedefine/>
    <w:qFormat/>
    <w:uiPriority w:val="0"/>
    <w:pPr>
      <w:spacing w:after="120"/>
    </w:pPr>
  </w:style>
  <w:style w:type="paragraph" w:styleId="18">
    <w:name w:val="Body Text Indent"/>
    <w:basedOn w:val="1"/>
    <w:link w:val="58"/>
    <w:autoRedefine/>
    <w:unhideWhenUsed/>
    <w:qFormat/>
    <w:uiPriority w:val="0"/>
    <w:pPr>
      <w:spacing w:after="120"/>
      <w:ind w:left="420" w:leftChars="200"/>
    </w:pPr>
  </w:style>
  <w:style w:type="paragraph" w:styleId="19">
    <w:name w:val="Plain Text"/>
    <w:basedOn w:val="1"/>
    <w:next w:val="1"/>
    <w:link w:val="59"/>
    <w:autoRedefine/>
    <w:qFormat/>
    <w:uiPriority w:val="0"/>
    <w:rPr>
      <w:rFonts w:ascii="宋体" w:hAnsi="Courier New"/>
      <w:szCs w:val="20"/>
    </w:rPr>
  </w:style>
  <w:style w:type="paragraph" w:styleId="20">
    <w:name w:val="Date"/>
    <w:basedOn w:val="1"/>
    <w:next w:val="1"/>
    <w:link w:val="60"/>
    <w:autoRedefine/>
    <w:qFormat/>
    <w:uiPriority w:val="0"/>
    <w:pPr>
      <w:ind w:left="100" w:leftChars="2500"/>
    </w:pPr>
  </w:style>
  <w:style w:type="paragraph" w:styleId="21">
    <w:name w:val="Body Text Indent 2"/>
    <w:basedOn w:val="1"/>
    <w:link w:val="61"/>
    <w:autoRedefine/>
    <w:unhideWhenUsed/>
    <w:qFormat/>
    <w:uiPriority w:val="0"/>
    <w:pPr>
      <w:spacing w:after="120" w:line="480" w:lineRule="auto"/>
      <w:ind w:left="420" w:leftChars="200"/>
    </w:pPr>
    <w:rPr>
      <w:szCs w:val="20"/>
    </w:rPr>
  </w:style>
  <w:style w:type="paragraph" w:styleId="22">
    <w:name w:val="Balloon Text"/>
    <w:basedOn w:val="1"/>
    <w:link w:val="62"/>
    <w:autoRedefine/>
    <w:qFormat/>
    <w:uiPriority w:val="0"/>
    <w:rPr>
      <w:sz w:val="18"/>
      <w:szCs w:val="18"/>
    </w:rPr>
  </w:style>
  <w:style w:type="paragraph" w:styleId="23">
    <w:name w:val="footer"/>
    <w:basedOn w:val="1"/>
    <w:link w:val="63"/>
    <w:autoRedefine/>
    <w:qFormat/>
    <w:uiPriority w:val="99"/>
    <w:pPr>
      <w:tabs>
        <w:tab w:val="center" w:pos="4153"/>
        <w:tab w:val="right" w:pos="8306"/>
      </w:tabs>
      <w:snapToGrid w:val="0"/>
      <w:jc w:val="left"/>
    </w:pPr>
    <w:rPr>
      <w:sz w:val="18"/>
      <w:szCs w:val="18"/>
    </w:rPr>
  </w:style>
  <w:style w:type="paragraph" w:styleId="24">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746"/>
      </w:tabs>
      <w:ind w:firstLine="560"/>
    </w:pPr>
    <w:rPr>
      <w:rFonts w:cs="宋体" w:asciiTheme="majorEastAsia" w:hAnsiTheme="majorEastAsia" w:eastAsiaTheme="majorEastAsia"/>
      <w:kern w:val="0"/>
      <w:sz w:val="28"/>
      <w:szCs w:val="44"/>
    </w:rPr>
  </w:style>
  <w:style w:type="paragraph" w:styleId="26">
    <w:name w:val="Body Text Indent 3"/>
    <w:basedOn w:val="1"/>
    <w:link w:val="65"/>
    <w:autoRedefine/>
    <w:unhideWhenUsed/>
    <w:qFormat/>
    <w:uiPriority w:val="0"/>
    <w:pPr>
      <w:spacing w:after="120"/>
      <w:ind w:left="420" w:leftChars="200"/>
    </w:pPr>
    <w:rPr>
      <w:sz w:val="16"/>
      <w:szCs w:val="16"/>
    </w:rPr>
  </w:style>
  <w:style w:type="paragraph" w:styleId="2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66"/>
    <w:autoRedefine/>
    <w:qFormat/>
    <w:uiPriority w:val="0"/>
    <w:pPr>
      <w:spacing w:before="240" w:after="60"/>
      <w:jc w:val="center"/>
      <w:outlineLvl w:val="0"/>
    </w:pPr>
    <w:rPr>
      <w:rFonts w:ascii="Cambria" w:hAnsi="Cambria"/>
      <w:b/>
      <w:bCs/>
      <w:sz w:val="32"/>
      <w:szCs w:val="32"/>
    </w:rPr>
  </w:style>
  <w:style w:type="paragraph" w:styleId="29">
    <w:name w:val="annotation subject"/>
    <w:basedOn w:val="15"/>
    <w:next w:val="15"/>
    <w:link w:val="67"/>
    <w:autoRedefine/>
    <w:semiHidden/>
    <w:qFormat/>
    <w:uiPriority w:val="99"/>
    <w:rPr>
      <w:b/>
      <w:bCs/>
    </w:rPr>
  </w:style>
  <w:style w:type="paragraph" w:styleId="30">
    <w:name w:val="Body Text First Indent"/>
    <w:basedOn w:val="17"/>
    <w:autoRedefine/>
    <w:qFormat/>
    <w:uiPriority w:val="0"/>
    <w:pPr>
      <w:spacing w:line="360" w:lineRule="auto"/>
      <w:ind w:firstLine="643" w:firstLineChars="200"/>
    </w:pPr>
    <w:rPr>
      <w:rFonts w:ascii="Arial" w:hAnsi="Arial"/>
    </w:rPr>
  </w:style>
  <w:style w:type="paragraph" w:styleId="31">
    <w:name w:val="Body Text First Indent 2"/>
    <w:basedOn w:val="18"/>
    <w:link w:val="68"/>
    <w:autoRedefine/>
    <w:qFormat/>
    <w:uiPriority w:val="0"/>
    <w:pPr>
      <w:ind w:firstLine="420" w:firstLineChars="20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autoRedefine/>
    <w:qFormat/>
    <w:uiPriority w:val="0"/>
  </w:style>
  <w:style w:type="character" w:styleId="37">
    <w:name w:val="FollowedHyperlink"/>
    <w:autoRedefine/>
    <w:unhideWhenUsed/>
    <w:qFormat/>
    <w:uiPriority w:val="99"/>
    <w:rPr>
      <w:color w:val="800080"/>
      <w:u w:val="single"/>
    </w:rPr>
  </w:style>
  <w:style w:type="character" w:styleId="38">
    <w:name w:val="Hyperlink"/>
    <w:autoRedefine/>
    <w:qFormat/>
    <w:uiPriority w:val="99"/>
    <w:rPr>
      <w:color w:val="0000FF"/>
      <w:u w:val="single"/>
    </w:rPr>
  </w:style>
  <w:style w:type="character" w:styleId="39">
    <w:name w:val="annotation reference"/>
    <w:autoRedefine/>
    <w:qFormat/>
    <w:uiPriority w:val="0"/>
    <w:rPr>
      <w:sz w:val="21"/>
      <w:szCs w:val="21"/>
    </w:rPr>
  </w:style>
  <w:style w:type="paragraph" w:customStyle="1" w:styleId="40">
    <w:name w:val="Default"/>
    <w:basedOn w:val="1"/>
    <w:next w:val="41"/>
    <w:autoRedefine/>
    <w:qFormat/>
    <w:uiPriority w:val="99"/>
  </w:style>
  <w:style w:type="paragraph" w:customStyle="1" w:styleId="41">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2">
    <w:name w:val="TOC 标题1"/>
    <w:basedOn w:val="2"/>
    <w:next w:val="1"/>
    <w:autoRedefine/>
    <w:unhideWhenUsed/>
    <w:qFormat/>
    <w:uiPriority w:val="39"/>
  </w:style>
  <w:style w:type="paragraph" w:customStyle="1" w:styleId="43">
    <w:name w:val="样式 标题 2 + 宋体"/>
    <w:basedOn w:val="3"/>
    <w:autoRedefine/>
    <w:qFormat/>
    <w:uiPriority w:val="99"/>
    <w:pPr>
      <w:tabs>
        <w:tab w:val="left" w:pos="567"/>
      </w:tabs>
    </w:pPr>
    <w:rPr>
      <w:rFonts w:ascii="宋体" w:hAnsi="宋体"/>
      <w:sz w:val="30"/>
    </w:rPr>
  </w:style>
  <w:style w:type="character" w:customStyle="1" w:styleId="44">
    <w:name w:val="标题 2 Char"/>
    <w:link w:val="3"/>
    <w:autoRedefine/>
    <w:qFormat/>
    <w:uiPriority w:val="0"/>
    <w:rPr>
      <w:rFonts w:ascii="Cambria" w:hAnsi="Cambria" w:eastAsia="宋体" w:cs="Times New Roman"/>
      <w:b/>
      <w:bCs/>
      <w:kern w:val="2"/>
      <w:sz w:val="32"/>
      <w:szCs w:val="32"/>
    </w:rPr>
  </w:style>
  <w:style w:type="character" w:customStyle="1" w:styleId="45">
    <w:name w:val="标题 1 Char"/>
    <w:link w:val="2"/>
    <w:autoRedefine/>
    <w:qFormat/>
    <w:uiPriority w:val="0"/>
    <w:rPr>
      <w:rFonts w:ascii="微软雅黑" w:hAnsi="微软雅黑" w:eastAsia="微软雅黑" w:cs="仿宋"/>
      <w:b/>
      <w:color w:val="000000"/>
      <w:kern w:val="2"/>
      <w:sz w:val="32"/>
      <w:szCs w:val="32"/>
    </w:rPr>
  </w:style>
  <w:style w:type="character" w:customStyle="1" w:styleId="46">
    <w:name w:val="标题 3 Char"/>
    <w:link w:val="4"/>
    <w:autoRedefine/>
    <w:qFormat/>
    <w:uiPriority w:val="0"/>
    <w:rPr>
      <w:b/>
      <w:bCs/>
      <w:kern w:val="2"/>
      <w:sz w:val="32"/>
      <w:szCs w:val="32"/>
    </w:rPr>
  </w:style>
  <w:style w:type="character" w:customStyle="1" w:styleId="47">
    <w:name w:val="标题 4 Char"/>
    <w:link w:val="5"/>
    <w:autoRedefine/>
    <w:qFormat/>
    <w:uiPriority w:val="0"/>
    <w:rPr>
      <w:rFonts w:ascii="宋体" w:hAnsi="宋体" w:eastAsia="宋体" w:cs="Times New Roman"/>
      <w:b/>
      <w:bCs/>
      <w:kern w:val="2"/>
      <w:sz w:val="28"/>
      <w:szCs w:val="28"/>
    </w:rPr>
  </w:style>
  <w:style w:type="character" w:customStyle="1" w:styleId="48">
    <w:name w:val="标题 5 Char"/>
    <w:link w:val="6"/>
    <w:autoRedefine/>
    <w:qFormat/>
    <w:uiPriority w:val="0"/>
    <w:rPr>
      <w:b/>
      <w:bCs/>
      <w:kern w:val="2"/>
      <w:sz w:val="28"/>
      <w:szCs w:val="28"/>
    </w:rPr>
  </w:style>
  <w:style w:type="character" w:customStyle="1" w:styleId="49">
    <w:name w:val="标题 6 Char"/>
    <w:link w:val="7"/>
    <w:autoRedefine/>
    <w:qFormat/>
    <w:uiPriority w:val="0"/>
    <w:rPr>
      <w:rFonts w:ascii="Arial" w:hAnsi="Arial" w:eastAsia="黑体"/>
      <w:b/>
      <w:bCs/>
      <w:kern w:val="2"/>
      <w:sz w:val="24"/>
      <w:szCs w:val="24"/>
    </w:rPr>
  </w:style>
  <w:style w:type="character" w:customStyle="1" w:styleId="50">
    <w:name w:val="标题 7 Char"/>
    <w:link w:val="8"/>
    <w:autoRedefine/>
    <w:semiHidden/>
    <w:qFormat/>
    <w:uiPriority w:val="0"/>
    <w:rPr>
      <w:b/>
      <w:bCs/>
      <w:kern w:val="2"/>
      <w:sz w:val="24"/>
      <w:szCs w:val="24"/>
    </w:rPr>
  </w:style>
  <w:style w:type="character" w:customStyle="1" w:styleId="51">
    <w:name w:val="标题 8 Char"/>
    <w:link w:val="9"/>
    <w:autoRedefine/>
    <w:semiHidden/>
    <w:qFormat/>
    <w:uiPriority w:val="0"/>
    <w:rPr>
      <w:rFonts w:ascii="等线 Light" w:hAnsi="等线 Light" w:eastAsia="等线 Light" w:cs="Times New Roman"/>
      <w:kern w:val="2"/>
      <w:sz w:val="24"/>
      <w:szCs w:val="24"/>
    </w:rPr>
  </w:style>
  <w:style w:type="character" w:customStyle="1" w:styleId="52">
    <w:name w:val="标题 9 Char"/>
    <w:link w:val="10"/>
    <w:autoRedefine/>
    <w:semiHidden/>
    <w:qFormat/>
    <w:uiPriority w:val="0"/>
    <w:rPr>
      <w:rFonts w:ascii="等线 Light" w:hAnsi="等线 Light" w:eastAsia="等线 Light" w:cs="Times New Roman"/>
      <w:kern w:val="2"/>
      <w:sz w:val="21"/>
      <w:szCs w:val="21"/>
    </w:rPr>
  </w:style>
  <w:style w:type="character" w:customStyle="1" w:styleId="53">
    <w:name w:val="正文缩进 Char"/>
    <w:link w:val="13"/>
    <w:autoRedefine/>
    <w:qFormat/>
    <w:locked/>
    <w:uiPriority w:val="0"/>
    <w:rPr>
      <w:rFonts w:eastAsia="宋体"/>
      <w:kern w:val="2"/>
      <w:sz w:val="21"/>
      <w:lang w:val="en-US" w:eastAsia="zh-CN" w:bidi="ar-SA"/>
    </w:rPr>
  </w:style>
  <w:style w:type="character" w:customStyle="1" w:styleId="54">
    <w:name w:val="文档结构图 Char1"/>
    <w:link w:val="14"/>
    <w:autoRedefine/>
    <w:semiHidden/>
    <w:qFormat/>
    <w:uiPriority w:val="0"/>
    <w:rPr>
      <w:rFonts w:ascii="宋体"/>
      <w:kern w:val="2"/>
      <w:sz w:val="18"/>
      <w:szCs w:val="18"/>
    </w:rPr>
  </w:style>
  <w:style w:type="character" w:customStyle="1" w:styleId="55">
    <w:name w:val="批注文字 Char"/>
    <w:link w:val="15"/>
    <w:autoRedefine/>
    <w:qFormat/>
    <w:uiPriority w:val="0"/>
    <w:rPr>
      <w:kern w:val="2"/>
      <w:sz w:val="21"/>
      <w:szCs w:val="24"/>
    </w:rPr>
  </w:style>
  <w:style w:type="character" w:customStyle="1" w:styleId="56">
    <w:name w:val="正文文本 3 Char"/>
    <w:link w:val="16"/>
    <w:autoRedefine/>
    <w:qFormat/>
    <w:uiPriority w:val="0"/>
    <w:rPr>
      <w:rFonts w:ascii="宋体" w:hAnsi="宋体"/>
      <w:color w:val="000000"/>
      <w:kern w:val="2"/>
      <w:sz w:val="21"/>
      <w:szCs w:val="21"/>
    </w:rPr>
  </w:style>
  <w:style w:type="character" w:customStyle="1" w:styleId="57">
    <w:name w:val="正文文本 Char"/>
    <w:link w:val="17"/>
    <w:autoRedefine/>
    <w:qFormat/>
    <w:uiPriority w:val="0"/>
    <w:rPr>
      <w:kern w:val="2"/>
      <w:sz w:val="21"/>
      <w:szCs w:val="24"/>
    </w:rPr>
  </w:style>
  <w:style w:type="character" w:customStyle="1" w:styleId="58">
    <w:name w:val="正文文本缩进 Char1"/>
    <w:link w:val="18"/>
    <w:autoRedefine/>
    <w:semiHidden/>
    <w:qFormat/>
    <w:uiPriority w:val="0"/>
    <w:rPr>
      <w:kern w:val="2"/>
      <w:sz w:val="21"/>
      <w:szCs w:val="24"/>
    </w:rPr>
  </w:style>
  <w:style w:type="character" w:customStyle="1" w:styleId="59">
    <w:name w:val="纯文本 Char"/>
    <w:link w:val="19"/>
    <w:autoRedefine/>
    <w:qFormat/>
    <w:uiPriority w:val="0"/>
    <w:rPr>
      <w:rFonts w:ascii="宋体" w:hAnsi="Courier New" w:eastAsia="宋体"/>
      <w:kern w:val="2"/>
      <w:sz w:val="21"/>
      <w:lang w:val="en-US" w:eastAsia="zh-CN" w:bidi="ar-SA"/>
    </w:rPr>
  </w:style>
  <w:style w:type="character" w:customStyle="1" w:styleId="60">
    <w:name w:val="日期 Char"/>
    <w:link w:val="20"/>
    <w:autoRedefine/>
    <w:qFormat/>
    <w:uiPriority w:val="0"/>
    <w:rPr>
      <w:kern w:val="2"/>
      <w:sz w:val="21"/>
      <w:szCs w:val="24"/>
    </w:rPr>
  </w:style>
  <w:style w:type="character" w:customStyle="1" w:styleId="61">
    <w:name w:val="正文文本缩进 2 Char"/>
    <w:link w:val="21"/>
    <w:autoRedefine/>
    <w:qFormat/>
    <w:uiPriority w:val="0"/>
    <w:rPr>
      <w:kern w:val="2"/>
      <w:sz w:val="21"/>
    </w:rPr>
  </w:style>
  <w:style w:type="character" w:customStyle="1" w:styleId="62">
    <w:name w:val="批注框文本 Char"/>
    <w:link w:val="22"/>
    <w:autoRedefine/>
    <w:qFormat/>
    <w:uiPriority w:val="0"/>
    <w:rPr>
      <w:kern w:val="2"/>
      <w:sz w:val="18"/>
      <w:szCs w:val="18"/>
    </w:rPr>
  </w:style>
  <w:style w:type="character" w:customStyle="1" w:styleId="63">
    <w:name w:val="页脚 Char"/>
    <w:link w:val="23"/>
    <w:autoRedefine/>
    <w:qFormat/>
    <w:uiPriority w:val="99"/>
    <w:rPr>
      <w:kern w:val="2"/>
      <w:sz w:val="18"/>
      <w:szCs w:val="18"/>
    </w:rPr>
  </w:style>
  <w:style w:type="character" w:customStyle="1" w:styleId="64">
    <w:name w:val="页眉 Char"/>
    <w:link w:val="24"/>
    <w:autoRedefine/>
    <w:qFormat/>
    <w:uiPriority w:val="0"/>
    <w:rPr>
      <w:kern w:val="2"/>
      <w:sz w:val="18"/>
      <w:szCs w:val="18"/>
    </w:rPr>
  </w:style>
  <w:style w:type="character" w:customStyle="1" w:styleId="65">
    <w:name w:val="正文文本缩进 3 Char"/>
    <w:link w:val="26"/>
    <w:autoRedefine/>
    <w:qFormat/>
    <w:uiPriority w:val="0"/>
    <w:rPr>
      <w:kern w:val="2"/>
      <w:sz w:val="16"/>
      <w:szCs w:val="16"/>
    </w:rPr>
  </w:style>
  <w:style w:type="character" w:customStyle="1" w:styleId="66">
    <w:name w:val="标题 Char"/>
    <w:link w:val="28"/>
    <w:autoRedefine/>
    <w:qFormat/>
    <w:uiPriority w:val="0"/>
    <w:rPr>
      <w:rFonts w:ascii="Cambria" w:hAnsi="Cambria" w:cs="Times New Roman"/>
      <w:b/>
      <w:bCs/>
      <w:kern w:val="2"/>
      <w:sz w:val="32"/>
      <w:szCs w:val="32"/>
    </w:rPr>
  </w:style>
  <w:style w:type="character" w:customStyle="1" w:styleId="67">
    <w:name w:val="批注主题 Char"/>
    <w:link w:val="29"/>
    <w:autoRedefine/>
    <w:semiHidden/>
    <w:qFormat/>
    <w:uiPriority w:val="99"/>
    <w:rPr>
      <w:b/>
      <w:bCs/>
      <w:kern w:val="2"/>
      <w:sz w:val="21"/>
      <w:szCs w:val="24"/>
    </w:rPr>
  </w:style>
  <w:style w:type="character" w:customStyle="1" w:styleId="68">
    <w:name w:val="正文首行缩进 2 Char"/>
    <w:basedOn w:val="58"/>
    <w:link w:val="31"/>
    <w:autoRedefine/>
    <w:qFormat/>
    <w:uiPriority w:val="0"/>
  </w:style>
  <w:style w:type="character" w:customStyle="1" w:styleId="69">
    <w:name w:val="font21"/>
    <w:autoRedefine/>
    <w:qFormat/>
    <w:uiPriority w:val="0"/>
    <w:rPr>
      <w:rFonts w:hint="default" w:ascii="Times New Roman" w:hAnsi="Times New Roman" w:cs="Times New Roman"/>
      <w:color w:val="000000"/>
      <w:sz w:val="18"/>
      <w:szCs w:val="18"/>
      <w:u w:val="none"/>
    </w:rPr>
  </w:style>
  <w:style w:type="character" w:customStyle="1" w:styleId="70">
    <w:name w:val="列出段落 Char"/>
    <w:link w:val="71"/>
    <w:autoRedefine/>
    <w:qFormat/>
    <w:locked/>
    <w:uiPriority w:val="34"/>
    <w:rPr>
      <w:kern w:val="2"/>
      <w:sz w:val="21"/>
      <w:szCs w:val="24"/>
    </w:rPr>
  </w:style>
  <w:style w:type="paragraph" w:customStyle="1" w:styleId="71">
    <w:name w:val="列出段落2"/>
    <w:basedOn w:val="1"/>
    <w:link w:val="70"/>
    <w:autoRedefine/>
    <w:unhideWhenUsed/>
    <w:qFormat/>
    <w:uiPriority w:val="34"/>
    <w:pPr>
      <w:ind w:firstLine="420" w:firstLineChars="200"/>
    </w:pPr>
  </w:style>
  <w:style w:type="character" w:customStyle="1" w:styleId="72">
    <w:name w:val="fontstyle11"/>
    <w:autoRedefine/>
    <w:qFormat/>
    <w:uiPriority w:val="0"/>
    <w:rPr>
      <w:rFonts w:hint="eastAsia" w:ascii="宋体" w:hAnsi="宋体" w:eastAsia="宋体"/>
      <w:color w:val="000000"/>
      <w:sz w:val="22"/>
      <w:szCs w:val="22"/>
    </w:rPr>
  </w:style>
  <w:style w:type="character" w:customStyle="1" w:styleId="73">
    <w:name w:val="纯文本 Char2"/>
    <w:autoRedefine/>
    <w:qFormat/>
    <w:uiPriority w:val="0"/>
    <w:rPr>
      <w:rFonts w:ascii="宋体" w:hAnsi="Courier New" w:cs="Courier New"/>
      <w:kern w:val="2"/>
      <w:sz w:val="21"/>
      <w:szCs w:val="21"/>
    </w:rPr>
  </w:style>
  <w:style w:type="character" w:customStyle="1" w:styleId="74">
    <w:name w:val="正文缩进 Char1"/>
    <w:autoRedefine/>
    <w:qFormat/>
    <w:locked/>
    <w:uiPriority w:val="0"/>
    <w:rPr>
      <w:rFonts w:eastAsia="宋体"/>
      <w:kern w:val="2"/>
      <w:sz w:val="21"/>
      <w:lang w:val="en-US" w:eastAsia="zh-CN" w:bidi="ar-SA"/>
    </w:rPr>
  </w:style>
  <w:style w:type="character" w:customStyle="1" w:styleId="75">
    <w:name w:val="标题 1 Char1"/>
    <w:autoRedefine/>
    <w:qFormat/>
    <w:uiPriority w:val="0"/>
    <w:rPr>
      <w:b/>
      <w:bCs/>
      <w:kern w:val="44"/>
      <w:sz w:val="44"/>
      <w:szCs w:val="44"/>
    </w:rPr>
  </w:style>
  <w:style w:type="character" w:customStyle="1" w:styleId="76">
    <w:name w:val="批注文字 Char1"/>
    <w:autoRedefine/>
    <w:qFormat/>
    <w:uiPriority w:val="0"/>
    <w:rPr>
      <w:rFonts w:ascii="Times New Roman" w:hAnsi="Times New Roman"/>
      <w:kern w:val="2"/>
      <w:sz w:val="21"/>
      <w:szCs w:val="24"/>
    </w:rPr>
  </w:style>
  <w:style w:type="character" w:customStyle="1" w:styleId="77">
    <w:name w:val="Char Char1"/>
    <w:autoRedefine/>
    <w:qFormat/>
    <w:uiPriority w:val="0"/>
    <w:rPr>
      <w:rFonts w:eastAsia="宋体"/>
      <w:kern w:val="2"/>
      <w:sz w:val="21"/>
      <w:szCs w:val="24"/>
      <w:lang w:val="en-US" w:eastAsia="zh-CN" w:bidi="ar-SA"/>
    </w:rPr>
  </w:style>
  <w:style w:type="character" w:customStyle="1" w:styleId="78">
    <w:name w:val="标准正文 Char"/>
    <w:link w:val="79"/>
    <w:autoRedefine/>
    <w:qFormat/>
    <w:locked/>
    <w:uiPriority w:val="0"/>
    <w:rPr>
      <w:rFonts w:ascii="宋体" w:hAnsi="宋体"/>
      <w:kern w:val="2"/>
      <w:sz w:val="24"/>
      <w:szCs w:val="22"/>
    </w:rPr>
  </w:style>
  <w:style w:type="paragraph" w:customStyle="1" w:styleId="79">
    <w:name w:val="标准正文"/>
    <w:basedOn w:val="1"/>
    <w:link w:val="78"/>
    <w:autoRedefine/>
    <w:qFormat/>
    <w:uiPriority w:val="0"/>
    <w:pPr>
      <w:spacing w:line="360" w:lineRule="auto"/>
      <w:ind w:firstLine="420" w:firstLineChars="200"/>
    </w:pPr>
    <w:rPr>
      <w:rFonts w:ascii="宋体" w:hAnsi="宋体"/>
      <w:sz w:val="24"/>
      <w:szCs w:val="22"/>
    </w:rPr>
  </w:style>
  <w:style w:type="character" w:customStyle="1" w:styleId="80">
    <w:name w:val="font71"/>
    <w:autoRedefine/>
    <w:qFormat/>
    <w:uiPriority w:val="0"/>
    <w:rPr>
      <w:rFonts w:hint="eastAsia" w:ascii="宋体" w:hAnsi="宋体" w:eastAsia="宋体" w:cs="宋体"/>
      <w:color w:val="000000"/>
      <w:sz w:val="21"/>
      <w:szCs w:val="21"/>
      <w:u w:val="none"/>
    </w:rPr>
  </w:style>
  <w:style w:type="character" w:customStyle="1" w:styleId="81">
    <w:name w:val="正文文本缩进 Char"/>
    <w:link w:val="82"/>
    <w:autoRedefine/>
    <w:qFormat/>
    <w:uiPriority w:val="0"/>
    <w:rPr>
      <w:kern w:val="2"/>
      <w:sz w:val="21"/>
      <w:szCs w:val="24"/>
    </w:rPr>
  </w:style>
  <w:style w:type="paragraph" w:customStyle="1" w:styleId="82">
    <w:name w:val="正文文本缩进1"/>
    <w:basedOn w:val="1"/>
    <w:next w:val="18"/>
    <w:link w:val="81"/>
    <w:autoRedefine/>
    <w:qFormat/>
    <w:uiPriority w:val="0"/>
    <w:pPr>
      <w:spacing w:after="120"/>
      <w:ind w:left="420" w:leftChars="200"/>
    </w:pPr>
  </w:style>
  <w:style w:type="character" w:customStyle="1" w:styleId="83">
    <w:name w:val="bookmark-item"/>
    <w:basedOn w:val="34"/>
    <w:autoRedefine/>
    <w:qFormat/>
    <w:uiPriority w:val="0"/>
  </w:style>
  <w:style w:type="character" w:customStyle="1" w:styleId="84">
    <w:name w:val="标题 9 Char1"/>
    <w:autoRedefine/>
    <w:semiHidden/>
    <w:qFormat/>
    <w:uiPriority w:val="0"/>
    <w:rPr>
      <w:rFonts w:ascii="Cambria" w:hAnsi="Cambria" w:eastAsia="宋体" w:cs="Times New Roman"/>
      <w:kern w:val="2"/>
      <w:sz w:val="21"/>
      <w:szCs w:val="21"/>
    </w:rPr>
  </w:style>
  <w:style w:type="character" w:customStyle="1" w:styleId="85">
    <w:name w:val="正文文本 Char1"/>
    <w:autoRedefine/>
    <w:semiHidden/>
    <w:qFormat/>
    <w:locked/>
    <w:uiPriority w:val="0"/>
    <w:rPr>
      <w:kern w:val="2"/>
      <w:sz w:val="21"/>
      <w:szCs w:val="24"/>
    </w:rPr>
  </w:style>
  <w:style w:type="character" w:customStyle="1" w:styleId="86">
    <w:name w:val="Char Char5"/>
    <w:autoRedefine/>
    <w:qFormat/>
    <w:locked/>
    <w:uiPriority w:val="0"/>
    <w:rPr>
      <w:rFonts w:cs="Times New Roman"/>
      <w:sz w:val="21"/>
      <w:szCs w:val="21"/>
    </w:rPr>
  </w:style>
  <w:style w:type="character" w:customStyle="1" w:styleId="87">
    <w:name w:val="文档结构图 Char"/>
    <w:link w:val="88"/>
    <w:autoRedefine/>
    <w:semiHidden/>
    <w:qFormat/>
    <w:uiPriority w:val="99"/>
    <w:rPr>
      <w:rFonts w:ascii="宋体" w:eastAsia="宋体"/>
      <w:kern w:val="2"/>
      <w:sz w:val="18"/>
      <w:szCs w:val="18"/>
    </w:rPr>
  </w:style>
  <w:style w:type="paragraph" w:customStyle="1" w:styleId="88">
    <w:name w:val="文档结构图1"/>
    <w:basedOn w:val="1"/>
    <w:next w:val="14"/>
    <w:link w:val="87"/>
    <w:autoRedefine/>
    <w:unhideWhenUsed/>
    <w:qFormat/>
    <w:uiPriority w:val="99"/>
    <w:rPr>
      <w:rFonts w:ascii="宋体"/>
      <w:sz w:val="18"/>
      <w:szCs w:val="18"/>
    </w:rPr>
  </w:style>
  <w:style w:type="character" w:customStyle="1" w:styleId="89">
    <w:name w:val="正文文本缩进 字符1"/>
    <w:autoRedefine/>
    <w:semiHidden/>
    <w:qFormat/>
    <w:uiPriority w:val="99"/>
  </w:style>
  <w:style w:type="character" w:customStyle="1" w:styleId="90">
    <w:name w:val="纯文本 Char1"/>
    <w:autoRedefine/>
    <w:qFormat/>
    <w:uiPriority w:val="0"/>
    <w:rPr>
      <w:rFonts w:ascii="宋体" w:hAnsi="Courier New"/>
      <w:kern w:val="2"/>
      <w:sz w:val="21"/>
    </w:rPr>
  </w:style>
  <w:style w:type="character" w:customStyle="1" w:styleId="91">
    <w:name w:val="正文文本缩进 3 字符"/>
    <w:autoRedefine/>
    <w:semiHidden/>
    <w:qFormat/>
    <w:uiPriority w:val="99"/>
    <w:rPr>
      <w:sz w:val="16"/>
      <w:szCs w:val="16"/>
    </w:rPr>
  </w:style>
  <w:style w:type="character" w:customStyle="1" w:styleId="92">
    <w:name w:val="普通文字 Char Char2"/>
    <w:autoRedefine/>
    <w:qFormat/>
    <w:uiPriority w:val="0"/>
    <w:rPr>
      <w:rFonts w:ascii="宋体" w:hAnsi="Courier New" w:eastAsia="宋体" w:cs="Courier New"/>
      <w:szCs w:val="21"/>
    </w:rPr>
  </w:style>
  <w:style w:type="character" w:customStyle="1" w:styleId="93">
    <w:name w:val="Char Char"/>
    <w:autoRedefine/>
    <w:qFormat/>
    <w:locked/>
    <w:uiPriority w:val="0"/>
    <w:rPr>
      <w:rFonts w:ascii="宋体" w:hAnsi="宋体" w:eastAsia="宋体"/>
      <w:kern w:val="2"/>
      <w:sz w:val="21"/>
      <w:szCs w:val="24"/>
      <w:lang w:val="en-US" w:eastAsia="zh-CN" w:bidi="ar-SA"/>
    </w:rPr>
  </w:style>
  <w:style w:type="character" w:customStyle="1" w:styleId="94">
    <w:name w:val="标题 8 Char1"/>
    <w:autoRedefine/>
    <w:semiHidden/>
    <w:qFormat/>
    <w:uiPriority w:val="0"/>
    <w:rPr>
      <w:rFonts w:ascii="Cambria" w:hAnsi="Cambria" w:eastAsia="宋体" w:cs="Times New Roman"/>
      <w:kern w:val="2"/>
      <w:sz w:val="24"/>
      <w:szCs w:val="24"/>
    </w:rPr>
  </w:style>
  <w:style w:type="character" w:customStyle="1" w:styleId="95">
    <w:name w:val="正文缩进2字符 Char"/>
    <w:link w:val="96"/>
    <w:autoRedefine/>
    <w:qFormat/>
    <w:locked/>
    <w:uiPriority w:val="0"/>
    <w:rPr>
      <w:rFonts w:ascii="Calibri" w:hAnsi="Calibri" w:eastAsia="宋体" w:cs="Times New Roman"/>
      <w:kern w:val="2"/>
      <w:sz w:val="24"/>
      <w:szCs w:val="24"/>
    </w:rPr>
  </w:style>
  <w:style w:type="paragraph" w:customStyle="1" w:styleId="96">
    <w:name w:val="正文缩进2字符"/>
    <w:basedOn w:val="1"/>
    <w:next w:val="1"/>
    <w:link w:val="95"/>
    <w:autoRedefine/>
    <w:qFormat/>
    <w:uiPriority w:val="0"/>
    <w:pPr>
      <w:spacing w:line="360" w:lineRule="auto"/>
      <w:ind w:firstLine="480" w:firstLineChars="200"/>
    </w:pPr>
    <w:rPr>
      <w:rFonts w:ascii="Calibri" w:hAnsi="Calibri"/>
      <w:sz w:val="24"/>
    </w:rPr>
  </w:style>
  <w:style w:type="character" w:customStyle="1" w:styleId="97">
    <w:name w:val="标题 4 Char1"/>
    <w:autoRedefine/>
    <w:semiHidden/>
    <w:qFormat/>
    <w:uiPriority w:val="0"/>
    <w:rPr>
      <w:rFonts w:ascii="Cambria" w:hAnsi="Cambria" w:eastAsia="宋体" w:cs="Times New Roman"/>
      <w:b/>
      <w:bCs/>
      <w:kern w:val="2"/>
      <w:sz w:val="28"/>
      <w:szCs w:val="28"/>
    </w:rPr>
  </w:style>
  <w:style w:type="character" w:customStyle="1" w:styleId="98">
    <w:name w:val="font51"/>
    <w:autoRedefine/>
    <w:qFormat/>
    <w:uiPriority w:val="0"/>
    <w:rPr>
      <w:rFonts w:hint="eastAsia" w:ascii="宋体" w:hAnsi="宋体" w:eastAsia="宋体" w:cs="宋体"/>
      <w:color w:val="000000"/>
      <w:sz w:val="18"/>
      <w:szCs w:val="18"/>
      <w:u w:val="none"/>
    </w:rPr>
  </w:style>
  <w:style w:type="character" w:customStyle="1" w:styleId="99">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100">
    <w:name w:val="标书4级 Char"/>
    <w:link w:val="101"/>
    <w:autoRedefine/>
    <w:qFormat/>
    <w:uiPriority w:val="0"/>
    <w:rPr>
      <w:rFonts w:ascii="宋体" w:hAnsi="宋体"/>
      <w:b/>
      <w:bCs/>
      <w:kern w:val="2"/>
      <w:sz w:val="28"/>
      <w:szCs w:val="28"/>
    </w:rPr>
  </w:style>
  <w:style w:type="paragraph" w:customStyle="1" w:styleId="101">
    <w:name w:val="标书4级"/>
    <w:basedOn w:val="5"/>
    <w:link w:val="100"/>
    <w:autoRedefine/>
    <w:qFormat/>
    <w:uiPriority w:val="0"/>
  </w:style>
  <w:style w:type="character" w:customStyle="1" w:styleId="102">
    <w:name w:val="font41"/>
    <w:autoRedefine/>
    <w:qFormat/>
    <w:uiPriority w:val="0"/>
    <w:rPr>
      <w:rFonts w:hint="eastAsia" w:ascii="宋体" w:hAnsi="宋体" w:eastAsia="宋体" w:cs="宋体"/>
      <w:color w:val="FF0000"/>
      <w:sz w:val="18"/>
      <w:szCs w:val="18"/>
      <w:u w:val="none"/>
    </w:rPr>
  </w:style>
  <w:style w:type="character" w:customStyle="1" w:styleId="103">
    <w:name w:val="纯文本 Char3"/>
    <w:autoRedefine/>
    <w:qFormat/>
    <w:uiPriority w:val="0"/>
    <w:rPr>
      <w:rFonts w:ascii="宋体" w:hAnsi="Courier New" w:eastAsia="宋体"/>
      <w:kern w:val="2"/>
      <w:sz w:val="21"/>
      <w:lang w:val="en-US" w:eastAsia="zh-CN" w:bidi="ar-SA"/>
    </w:rPr>
  </w:style>
  <w:style w:type="character" w:customStyle="1" w:styleId="104">
    <w:name w:val="普通文字 Char Char3"/>
    <w:autoRedefine/>
    <w:qFormat/>
    <w:uiPriority w:val="0"/>
    <w:rPr>
      <w:rFonts w:ascii="宋体" w:hAnsi="Courier New"/>
      <w:kern w:val="2"/>
      <w:sz w:val="21"/>
    </w:rPr>
  </w:style>
  <w:style w:type="character" w:customStyle="1" w:styleId="105">
    <w:name w:val="Char Char10"/>
    <w:autoRedefine/>
    <w:qFormat/>
    <w:uiPriority w:val="0"/>
    <w:rPr>
      <w:rFonts w:eastAsia="宋体"/>
      <w:kern w:val="2"/>
      <w:sz w:val="21"/>
      <w:szCs w:val="24"/>
      <w:lang w:val="en-US" w:eastAsia="zh-CN" w:bidi="ar-SA"/>
    </w:rPr>
  </w:style>
  <w:style w:type="character" w:customStyle="1" w:styleId="106">
    <w:name w:val="无间隔 Char"/>
    <w:link w:val="107"/>
    <w:autoRedefine/>
    <w:qFormat/>
    <w:uiPriority w:val="1"/>
    <w:rPr>
      <w:rFonts w:ascii="Calibri" w:hAnsi="Calibri"/>
      <w:kern w:val="2"/>
      <w:sz w:val="21"/>
      <w:szCs w:val="22"/>
      <w:lang w:val="en-US" w:eastAsia="zh-CN" w:bidi="ar-SA"/>
    </w:rPr>
  </w:style>
  <w:style w:type="paragraph" w:customStyle="1" w:styleId="107">
    <w:name w:val="无间隔1"/>
    <w:link w:val="106"/>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8">
    <w:name w:val="正文文本 (2)_"/>
    <w:link w:val="109"/>
    <w:autoRedefine/>
    <w:qFormat/>
    <w:locked/>
    <w:uiPriority w:val="0"/>
    <w:rPr>
      <w:rFonts w:ascii="MingLiU" w:hAnsi="MingLiU" w:eastAsia="MingLiU" w:cs="MingLiU"/>
      <w:sz w:val="22"/>
      <w:shd w:val="clear" w:color="auto" w:fill="FFFFFF"/>
    </w:rPr>
  </w:style>
  <w:style w:type="paragraph" w:customStyle="1" w:styleId="109">
    <w:name w:val="正文文本 (2)5"/>
    <w:basedOn w:val="1"/>
    <w:link w:val="108"/>
    <w:autoRedefine/>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10">
    <w:name w:val="mh-con"/>
    <w:basedOn w:val="34"/>
    <w:autoRedefine/>
    <w:qFormat/>
    <w:uiPriority w:val="0"/>
  </w:style>
  <w:style w:type="character" w:customStyle="1" w:styleId="111">
    <w:name w:val="A15"/>
    <w:autoRedefine/>
    <w:qFormat/>
    <w:uiPriority w:val="0"/>
    <w:rPr>
      <w:rFonts w:ascii="Times New Roman" w:hAnsi="Times New Roman"/>
      <w:color w:val="000000"/>
      <w:sz w:val="14"/>
      <w:szCs w:val="14"/>
    </w:rPr>
  </w:style>
  <w:style w:type="character" w:customStyle="1" w:styleId="112">
    <w:name w:val="apple-converted-space"/>
    <w:autoRedefine/>
    <w:qFormat/>
    <w:uiPriority w:val="0"/>
  </w:style>
  <w:style w:type="character" w:customStyle="1" w:styleId="113">
    <w:name w:val="副章标题 Char"/>
    <w:link w:val="114"/>
    <w:autoRedefine/>
    <w:qFormat/>
    <w:uiPriority w:val="0"/>
    <w:rPr>
      <w:rFonts w:hAnsi="微软雅黑"/>
      <w:b/>
      <w:color w:val="000000"/>
      <w:sz w:val="36"/>
      <w:szCs w:val="36"/>
    </w:rPr>
  </w:style>
  <w:style w:type="paragraph" w:customStyle="1" w:styleId="114">
    <w:name w:val="副章标题"/>
    <w:basedOn w:val="1"/>
    <w:link w:val="113"/>
    <w:autoRedefine/>
    <w:qFormat/>
    <w:uiPriority w:val="0"/>
    <w:pPr>
      <w:outlineLvl w:val="1"/>
    </w:pPr>
    <w:rPr>
      <w:rFonts w:hAnsi="微软雅黑"/>
      <w:b/>
      <w:color w:val="000000"/>
      <w:kern w:val="0"/>
      <w:sz w:val="36"/>
      <w:szCs w:val="36"/>
    </w:rPr>
  </w:style>
  <w:style w:type="character" w:customStyle="1" w:styleId="115">
    <w:name w:val="Char Char3"/>
    <w:autoRedefine/>
    <w:qFormat/>
    <w:uiPriority w:val="0"/>
    <w:rPr>
      <w:rFonts w:ascii="宋体" w:hAnsi="Courier New" w:eastAsia="宋体"/>
      <w:kern w:val="2"/>
      <w:sz w:val="21"/>
      <w:lang w:val="en-US" w:eastAsia="zh-CN" w:bidi="ar-SA"/>
    </w:rPr>
  </w:style>
  <w:style w:type="character" w:customStyle="1" w:styleId="116">
    <w:name w:val="普通文字 Char Char5"/>
    <w:autoRedefine/>
    <w:qFormat/>
    <w:uiPriority w:val="0"/>
    <w:rPr>
      <w:rFonts w:ascii="宋体" w:hAnsi="Courier New" w:eastAsia="宋体"/>
      <w:szCs w:val="21"/>
      <w:lang w:bidi="ar-SA"/>
    </w:rPr>
  </w:style>
  <w:style w:type="paragraph" w:customStyle="1" w:styleId="117">
    <w:name w:val="标题 41"/>
    <w:basedOn w:val="1"/>
    <w:next w:val="1"/>
    <w:autoRedefine/>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118">
    <w:name w:val="_Style 5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_Style 29"/>
    <w:basedOn w:val="1"/>
    <w:autoRedefine/>
    <w:qFormat/>
    <w:uiPriority w:val="0"/>
    <w:rPr>
      <w:rFonts w:ascii="Tahoma" w:hAnsi="Tahoma"/>
      <w:sz w:val="24"/>
      <w:szCs w:val="20"/>
    </w:rPr>
  </w:style>
  <w:style w:type="paragraph" w:customStyle="1" w:styleId="120">
    <w:name w:val="mh-nam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WPSOffice手动目录 1"/>
    <w:autoRedefine/>
    <w:qFormat/>
    <w:uiPriority w:val="0"/>
    <w:rPr>
      <w:rFonts w:ascii="Times New Roman" w:hAnsi="Times New Roman" w:eastAsia="宋体" w:cs="Times New Roman"/>
      <w:lang w:val="en-US" w:eastAsia="zh-CN" w:bidi="ar-SA"/>
    </w:rPr>
  </w:style>
  <w:style w:type="paragraph" w:customStyle="1" w:styleId="122">
    <w:name w:val="目录 41"/>
    <w:basedOn w:val="1"/>
    <w:next w:val="1"/>
    <w:autoRedefine/>
    <w:unhideWhenUsed/>
    <w:qFormat/>
    <w:uiPriority w:val="39"/>
    <w:pPr>
      <w:ind w:left="630"/>
      <w:jc w:val="left"/>
    </w:pPr>
    <w:rPr>
      <w:rFonts w:ascii="等线" w:hAnsi="等线" w:eastAsia="等线"/>
      <w:sz w:val="18"/>
      <w:szCs w:val="18"/>
    </w:rPr>
  </w:style>
  <w:style w:type="paragraph" w:customStyle="1" w:styleId="123">
    <w:name w:val="Numbered List"/>
    <w:autoRedefine/>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 w:type="paragraph" w:customStyle="1" w:styleId="124">
    <w:name w:val="目录 91"/>
    <w:basedOn w:val="1"/>
    <w:next w:val="1"/>
    <w:autoRedefine/>
    <w:unhideWhenUsed/>
    <w:qFormat/>
    <w:uiPriority w:val="39"/>
    <w:pPr>
      <w:ind w:left="1680"/>
      <w:jc w:val="left"/>
    </w:pPr>
    <w:rPr>
      <w:rFonts w:ascii="等线" w:hAnsi="等线" w:eastAsia="等线"/>
      <w:sz w:val="18"/>
      <w:szCs w:val="18"/>
    </w:rPr>
  </w:style>
  <w:style w:type="paragraph" w:customStyle="1" w:styleId="125">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小四正文 + 首行缩进:  2 字符 段前: 0.5 行"/>
    <w:basedOn w:val="1"/>
    <w:autoRedefine/>
    <w:qFormat/>
    <w:uiPriority w:val="0"/>
    <w:pPr>
      <w:spacing w:beforeLines="50" w:line="360" w:lineRule="auto"/>
      <w:ind w:firstLine="200" w:firstLineChars="200"/>
    </w:pPr>
    <w:rPr>
      <w:rFonts w:ascii="宋体" w:hAnsi="宋体"/>
      <w:sz w:val="24"/>
      <w:szCs w:val="20"/>
    </w:rPr>
  </w:style>
  <w:style w:type="paragraph" w:customStyle="1" w:styleId="128">
    <w:name w:val="*正文"/>
    <w:basedOn w:val="1"/>
    <w:autoRedefine/>
    <w:qFormat/>
    <w:uiPriority w:val="0"/>
    <w:pPr>
      <w:widowControl/>
      <w:ind w:firstLine="200" w:firstLineChars="200"/>
      <w:jc w:val="left"/>
    </w:pPr>
    <w:rPr>
      <w:rFonts w:ascii="仿宋_GB2312" w:hAnsi="Calibri" w:eastAsia="仿宋_GB2312"/>
      <w:kern w:val="0"/>
      <w:sz w:val="24"/>
      <w:szCs w:val="28"/>
    </w:rPr>
  </w:style>
  <w:style w:type="paragraph" w:customStyle="1" w:styleId="129">
    <w:name w:val="目录 81"/>
    <w:basedOn w:val="1"/>
    <w:next w:val="1"/>
    <w:autoRedefine/>
    <w:unhideWhenUsed/>
    <w:qFormat/>
    <w:uiPriority w:val="39"/>
    <w:pPr>
      <w:ind w:left="1470"/>
      <w:jc w:val="left"/>
    </w:pPr>
    <w:rPr>
      <w:rFonts w:ascii="等线" w:hAnsi="等线" w:eastAsia="等线"/>
      <w:sz w:val="18"/>
      <w:szCs w:val="18"/>
    </w:rPr>
  </w:style>
  <w:style w:type="paragraph" w:customStyle="1" w:styleId="130">
    <w:name w:val="_Style 36"/>
    <w:basedOn w:val="1"/>
    <w:autoRedefine/>
    <w:qFormat/>
    <w:uiPriority w:val="0"/>
    <w:rPr>
      <w:rFonts w:ascii="Tahoma" w:hAnsi="Tahoma"/>
      <w:sz w:val="24"/>
      <w:szCs w:val="20"/>
    </w:rPr>
  </w:style>
  <w:style w:type="paragraph" w:customStyle="1" w:styleId="131">
    <w:name w:val="标题 91"/>
    <w:basedOn w:val="1"/>
    <w:next w:val="1"/>
    <w:autoRedefine/>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Cs w:val="21"/>
    </w:rPr>
  </w:style>
  <w:style w:type="paragraph" w:customStyle="1" w:styleId="132">
    <w:name w:val="Char Char8"/>
    <w:basedOn w:val="1"/>
    <w:autoRedefine/>
    <w:qFormat/>
    <w:uiPriority w:val="0"/>
    <w:rPr>
      <w:rFonts w:ascii="Tahoma" w:hAnsi="Tahoma" w:eastAsia="Times New Roman"/>
      <w:kern w:val="0"/>
      <w:sz w:val="24"/>
      <w:szCs w:val="20"/>
    </w:rPr>
  </w:style>
  <w:style w:type="paragraph" w:customStyle="1" w:styleId="133">
    <w:name w:val="1"/>
    <w:basedOn w:val="1"/>
    <w:next w:val="19"/>
    <w:autoRedefine/>
    <w:qFormat/>
    <w:uiPriority w:val="0"/>
    <w:rPr>
      <w:rFonts w:ascii="宋体" w:hAnsi="Courier New"/>
      <w:szCs w:val="20"/>
    </w:rPr>
  </w:style>
  <w:style w:type="paragraph" w:customStyle="1" w:styleId="134">
    <w:name w:val="表格文本"/>
    <w:basedOn w:val="1"/>
    <w:autoRedefine/>
    <w:qFormat/>
    <w:uiPriority w:val="0"/>
    <w:pPr>
      <w:jc w:val="center"/>
    </w:pPr>
    <w:rPr>
      <w:rFonts w:ascii="Calibri" w:hAnsi="Calibri"/>
      <w:sz w:val="24"/>
      <w:szCs w:val="22"/>
    </w:rPr>
  </w:style>
  <w:style w:type="paragraph" w:customStyle="1" w:styleId="135">
    <w:name w:val="p0"/>
    <w:basedOn w:val="1"/>
    <w:autoRedefine/>
    <w:qFormat/>
    <w:uiPriority w:val="0"/>
    <w:pPr>
      <w:widowControl/>
    </w:pPr>
    <w:rPr>
      <w:kern w:val="0"/>
      <w:szCs w:val="21"/>
    </w:rPr>
  </w:style>
  <w:style w:type="paragraph" w:customStyle="1" w:styleId="136">
    <w:name w:val="列表段落1"/>
    <w:basedOn w:val="1"/>
    <w:autoRedefine/>
    <w:qFormat/>
    <w:uiPriority w:val="34"/>
    <w:pPr>
      <w:spacing w:beforeLines="50" w:afterLines="50"/>
      <w:ind w:firstLine="420" w:firstLineChars="200"/>
    </w:pPr>
    <w:rPr>
      <w:rFonts w:ascii="Calibri" w:hAnsi="Calibri"/>
      <w:sz w:val="24"/>
      <w:szCs w:val="22"/>
    </w:rPr>
  </w:style>
  <w:style w:type="paragraph" w:styleId="137">
    <w:name w:val="List Paragraph"/>
    <w:basedOn w:val="1"/>
    <w:autoRedefine/>
    <w:qFormat/>
    <w:uiPriority w:val="34"/>
    <w:pPr>
      <w:autoSpaceDE w:val="0"/>
      <w:autoSpaceDN w:val="0"/>
      <w:ind w:left="569" w:firstLine="419"/>
      <w:jc w:val="left"/>
    </w:pPr>
    <w:rPr>
      <w:rFonts w:ascii="宋体" w:hAnsi="宋体" w:cs="宋体"/>
      <w:kern w:val="0"/>
      <w:sz w:val="22"/>
      <w:szCs w:val="22"/>
      <w:lang w:val="zh-CN" w:bidi="zh-CN"/>
    </w:rPr>
  </w:style>
  <w:style w:type="paragraph" w:customStyle="1" w:styleId="138">
    <w:name w:val="目录 61"/>
    <w:basedOn w:val="1"/>
    <w:next w:val="1"/>
    <w:autoRedefine/>
    <w:unhideWhenUsed/>
    <w:qFormat/>
    <w:uiPriority w:val="39"/>
    <w:pPr>
      <w:ind w:left="1050"/>
      <w:jc w:val="left"/>
    </w:pPr>
    <w:rPr>
      <w:rFonts w:ascii="等线" w:hAnsi="等线" w:eastAsia="等线"/>
      <w:sz w:val="18"/>
      <w:szCs w:val="18"/>
    </w:rPr>
  </w:style>
  <w:style w:type="paragraph" w:customStyle="1" w:styleId="139">
    <w:name w:val="mh-promp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标题 81"/>
    <w:basedOn w:val="1"/>
    <w:next w:val="1"/>
    <w:autoRedefine/>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 w:val="24"/>
    </w:rPr>
  </w:style>
  <w:style w:type="paragraph" w:customStyle="1" w:styleId="141">
    <w:name w:val="无间隔1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2">
    <w:name w:val="Char"/>
    <w:basedOn w:val="1"/>
    <w:autoRedefine/>
    <w:qFormat/>
    <w:uiPriority w:val="0"/>
  </w:style>
  <w:style w:type="paragraph" w:customStyle="1" w:styleId="143">
    <w:name w:val="目录 11"/>
    <w:basedOn w:val="1"/>
    <w:next w:val="1"/>
    <w:autoRedefine/>
    <w:unhideWhenUsed/>
    <w:qFormat/>
    <w:uiPriority w:val="39"/>
    <w:pPr>
      <w:spacing w:before="120" w:after="120"/>
      <w:jc w:val="left"/>
    </w:pPr>
    <w:rPr>
      <w:rFonts w:ascii="等线" w:hAnsi="等线" w:eastAsia="等线"/>
      <w:b/>
      <w:bCs/>
      <w:caps/>
      <w:sz w:val="20"/>
      <w:szCs w:val="20"/>
    </w:rPr>
  </w:style>
  <w:style w:type="paragraph" w:customStyle="1" w:styleId="144">
    <w:name w:val="列出段落1"/>
    <w:basedOn w:val="1"/>
    <w:autoRedefine/>
    <w:qFormat/>
    <w:uiPriority w:val="34"/>
    <w:pPr>
      <w:ind w:firstLine="420" w:firstLineChars="200"/>
    </w:pPr>
  </w:style>
  <w:style w:type="paragraph" w:customStyle="1" w:styleId="145">
    <w:name w:val="标题 11"/>
    <w:basedOn w:val="1"/>
    <w:next w:val="1"/>
    <w:autoRedefine/>
    <w:qFormat/>
    <w:uiPriority w:val="0"/>
    <w:pPr>
      <w:keepNext/>
      <w:keepLines/>
      <w:pageBreakBefore/>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146">
    <w:name w:val="目录 71"/>
    <w:basedOn w:val="1"/>
    <w:next w:val="1"/>
    <w:autoRedefine/>
    <w:unhideWhenUsed/>
    <w:qFormat/>
    <w:uiPriority w:val="39"/>
    <w:pPr>
      <w:ind w:left="1260"/>
      <w:jc w:val="left"/>
    </w:pPr>
    <w:rPr>
      <w:rFonts w:ascii="等线" w:hAnsi="等线" w:eastAsia="等线"/>
      <w:sz w:val="18"/>
      <w:szCs w:val="18"/>
    </w:rPr>
  </w:style>
  <w:style w:type="paragraph" w:customStyle="1" w:styleId="147">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48">
    <w:name w:val="表格标题"/>
    <w:basedOn w:val="134"/>
    <w:autoRedefine/>
    <w:qFormat/>
    <w:uiPriority w:val="0"/>
    <w:pPr>
      <w:spacing w:line="360" w:lineRule="auto"/>
    </w:pPr>
    <w:rPr>
      <w:b/>
    </w:rPr>
  </w:style>
  <w:style w:type="paragraph" w:customStyle="1" w:styleId="149">
    <w:name w:val="标准正文 S"/>
    <w:basedOn w:val="1"/>
    <w:autoRedefine/>
    <w:qFormat/>
    <w:uiPriority w:val="0"/>
    <w:pPr>
      <w:spacing w:beforeLines="50" w:afterLines="50" w:line="360" w:lineRule="auto"/>
      <w:ind w:firstLine="480"/>
      <w:jc w:val="left"/>
    </w:pPr>
    <w:rPr>
      <w:rFonts w:ascii="Calibri" w:hAnsi="Calibri"/>
      <w:sz w:val="24"/>
    </w:rPr>
  </w:style>
  <w:style w:type="paragraph" w:customStyle="1" w:styleId="150">
    <w:name w:val="题注1"/>
    <w:basedOn w:val="1"/>
    <w:next w:val="1"/>
    <w:autoRedefine/>
    <w:unhideWhenUsed/>
    <w:qFormat/>
    <w:uiPriority w:val="0"/>
    <w:pPr>
      <w:keepNext/>
      <w:spacing w:line="360" w:lineRule="auto"/>
      <w:jc w:val="center"/>
    </w:pPr>
    <w:rPr>
      <w:rFonts w:ascii="Cambria" w:hAnsi="Cambria"/>
      <w:b/>
      <w:color w:val="000000"/>
      <w:szCs w:val="20"/>
    </w:rPr>
  </w:style>
  <w:style w:type="paragraph" w:customStyle="1" w:styleId="151">
    <w:name w:val="目录 31"/>
    <w:basedOn w:val="1"/>
    <w:next w:val="1"/>
    <w:autoRedefine/>
    <w:unhideWhenUsed/>
    <w:qFormat/>
    <w:uiPriority w:val="39"/>
    <w:pPr>
      <w:ind w:left="420"/>
      <w:jc w:val="left"/>
    </w:pPr>
    <w:rPr>
      <w:rFonts w:ascii="等线" w:hAnsi="等线" w:eastAsia="等线"/>
      <w:i/>
      <w:iCs/>
      <w:sz w:val="20"/>
      <w:szCs w:val="20"/>
    </w:rPr>
  </w:style>
  <w:style w:type="paragraph" w:customStyle="1" w:styleId="152">
    <w:name w:val="目录 21"/>
    <w:basedOn w:val="1"/>
    <w:next w:val="1"/>
    <w:autoRedefine/>
    <w:unhideWhenUsed/>
    <w:qFormat/>
    <w:uiPriority w:val="39"/>
    <w:pPr>
      <w:tabs>
        <w:tab w:val="right" w:leader="dot" w:pos="9742"/>
      </w:tabs>
      <w:spacing w:line="240" w:lineRule="exact"/>
      <w:ind w:left="210"/>
      <w:jc w:val="left"/>
    </w:pPr>
    <w:rPr>
      <w:rFonts w:ascii="等线" w:hAnsi="等线" w:eastAsia="等线"/>
      <w:smallCaps/>
      <w:sz w:val="20"/>
      <w:szCs w:val="20"/>
    </w:rPr>
  </w:style>
  <w:style w:type="paragraph" w:customStyle="1" w:styleId="153">
    <w:name w:val="目录 51"/>
    <w:basedOn w:val="1"/>
    <w:next w:val="1"/>
    <w:autoRedefine/>
    <w:unhideWhenUsed/>
    <w:qFormat/>
    <w:uiPriority w:val="39"/>
    <w:pPr>
      <w:ind w:left="840"/>
      <w:jc w:val="left"/>
    </w:pPr>
    <w:rPr>
      <w:rFonts w:ascii="等线" w:hAnsi="等线" w:eastAsia="等线"/>
      <w:sz w:val="18"/>
      <w:szCs w:val="18"/>
    </w:rPr>
  </w:style>
  <w:style w:type="paragraph" w:customStyle="1" w:styleId="154">
    <w:name w:val="3 级标题"/>
    <w:basedOn w:val="4"/>
    <w:autoRedefine/>
    <w:qFormat/>
    <w:uiPriority w:val="0"/>
    <w:pPr>
      <w:spacing w:before="120" w:after="120" w:line="360" w:lineRule="auto"/>
      <w:ind w:left="567" w:right="27" w:rightChars="13" w:hanging="567"/>
      <w:jc w:val="left"/>
    </w:pPr>
    <w:rPr>
      <w:sz w:val="28"/>
    </w:rPr>
  </w:style>
  <w:style w:type="paragraph" w:customStyle="1" w:styleId="155">
    <w:name w:val="Table Paragraph"/>
    <w:basedOn w:val="1"/>
    <w:autoRedefine/>
    <w:qFormat/>
    <w:uiPriority w:val="1"/>
    <w:pPr>
      <w:autoSpaceDE w:val="0"/>
      <w:autoSpaceDN w:val="0"/>
      <w:jc w:val="left"/>
    </w:pPr>
    <w:rPr>
      <w:rFonts w:ascii="宋体" w:hAnsi="宋体" w:cs="宋体"/>
      <w:kern w:val="0"/>
      <w:sz w:val="22"/>
      <w:szCs w:val="22"/>
      <w:lang w:val="zh-CN" w:bidi="zh-CN"/>
    </w:rPr>
  </w:style>
  <w:style w:type="table" w:customStyle="1" w:styleId="156">
    <w:name w:val="网格型1"/>
    <w:basedOn w:val="3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2"/>
    <w:basedOn w:val="32"/>
    <w:autoRedefine/>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Normal"/>
    <w:autoRedefine/>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9">
    <w:name w:val="0luhp正文"/>
    <w:autoRedefine/>
    <w:qFormat/>
    <w:uiPriority w:val="0"/>
    <w:pPr>
      <w:widowControl w:val="0"/>
      <w:spacing w:line="440" w:lineRule="exact"/>
      <w:ind w:firstLine="560" w:firstLineChars="200"/>
      <w:jc w:val="both"/>
    </w:pPr>
    <w:rPr>
      <w:rFonts w:ascii="Times New Roman" w:hAnsi="Times New Roman" w:eastAsia="仿宋_GB2312" w:cs="Times New Roman"/>
      <w:sz w:val="28"/>
      <w:szCs w:val="21"/>
      <w:lang w:val="en-US" w:eastAsia="zh-CN" w:bidi="ar-SA"/>
    </w:rPr>
  </w:style>
  <w:style w:type="paragraph" w:customStyle="1" w:styleId="160">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37398</Words>
  <Characters>40118</Characters>
  <Lines>322</Lines>
  <Paragraphs>90</Paragraphs>
  <TotalTime>14</TotalTime>
  <ScaleCrop>false</ScaleCrop>
  <LinksUpToDate>false</LinksUpToDate>
  <CharactersWithSpaces>42996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2023-10-16T08:10:00Z</dcterms:created>
  <dc:creator>微软用户</dc:creator>
  <cp:lastModifiedBy>O_O优雅君！</cp:lastModifiedBy>
  <cp:lastPrinted>2023-10-18T03:31:00Z</cp:lastPrinted>
  <dcterms:modified xsi:type="dcterms:W3CDTF">2024-05-31T14:52:10Z</dcterms:modified>
  <dc:title>医疗设备采购</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1FB053183D5143DD9A9DA5C434157E4F_13</vt:lpwstr>
  </property>
</Properties>
</file>