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hint="eastAsia" w:ascii="宋体" w:hAnsi="宋体" w:cs="宋体"/>
          <w:color w:val="000000" w:themeColor="text1"/>
          <w:sz w:val="48"/>
          <w:szCs w:val="48"/>
          <w:highlight w:val="none"/>
          <w14:textFill>
            <w14:solidFill>
              <w14:schemeClr w14:val="tx1"/>
            </w14:solidFill>
          </w14:textFill>
        </w:rPr>
      </w:pPr>
      <w:r>
        <w:rPr>
          <w:rFonts w:hint="eastAsia" w:ascii="华文新魏" w:hAnsi="Courier New" w:eastAsia="华文新魏"/>
          <w:b/>
          <w:bCs/>
          <w:color w:val="000000" w:themeColor="text1"/>
          <w:kern w:val="0"/>
          <w:sz w:val="68"/>
          <w:szCs w:val="68"/>
          <w:highlight w:val="none"/>
          <w:lang w:eastAsia="zh-CN"/>
          <w14:textFill>
            <w14:solidFill>
              <w14:schemeClr w14:val="tx1"/>
            </w14:solidFill>
          </w14:textFill>
        </w:rPr>
        <w:t>广西嘉弘项目管理有限公司</w:t>
      </w:r>
      <w:r>
        <w:rPr>
          <w:rFonts w:hint="eastAsia" w:ascii="华文新魏" w:hAnsi="Courier New" w:eastAsia="华文新魏"/>
          <w:b/>
          <w:bCs/>
          <w:color w:val="000000" w:themeColor="text1"/>
          <w:kern w:val="0"/>
          <w:sz w:val="68"/>
          <w:szCs w:val="68"/>
          <w:highlight w:val="none"/>
          <w14:textFill>
            <w14:solidFill>
              <w14:schemeClr w14:val="tx1"/>
            </w14:solidFill>
          </w14:textFill>
        </w:rPr>
        <w:cr/>
      </w:r>
    </w:p>
    <w:p>
      <w:pPr>
        <w:jc w:val="center"/>
        <w:rPr>
          <w:rFonts w:hint="eastAsia" w:ascii="宋体" w:hAnsi="宋体" w:cs="宋体"/>
          <w:color w:val="000000" w:themeColor="text1"/>
          <w:sz w:val="72"/>
          <w:highlight w:val="none"/>
          <w14:textFill>
            <w14:solidFill>
              <w14:schemeClr w14:val="tx1"/>
            </w14:solidFill>
          </w14:textFill>
        </w:rPr>
      </w:pPr>
      <w:r>
        <w:rPr>
          <w:rFonts w:hint="eastAsia" w:ascii="宋体" w:hAnsi="宋体" w:cs="宋体"/>
          <w:color w:val="000000" w:themeColor="text1"/>
          <w:sz w:val="72"/>
          <w:highlight w:val="none"/>
          <w14:textFill>
            <w14:solidFill>
              <w14:schemeClr w14:val="tx1"/>
            </w14:solidFill>
          </w14:textFill>
        </w:rPr>
        <w:cr/>
      </w:r>
    </w:p>
    <w:p>
      <w:pPr>
        <w:spacing w:line="1400" w:lineRule="exact"/>
        <w:jc w:val="center"/>
        <w:rPr>
          <w:rFonts w:hint="eastAsia" w:ascii="楷体" w:hAnsi="楷体" w:eastAsia="楷体" w:cs="楷体"/>
          <w:b/>
          <w:color w:val="000000" w:themeColor="text1"/>
          <w:spacing w:val="60"/>
          <w:sz w:val="96"/>
          <w:szCs w:val="96"/>
          <w:highlight w:val="none"/>
          <w14:textFill>
            <w14:solidFill>
              <w14:schemeClr w14:val="tx1"/>
            </w14:solidFill>
          </w14:textFill>
        </w:rPr>
      </w:pPr>
      <w:r>
        <w:rPr>
          <w:rFonts w:hint="eastAsia" w:ascii="楷体" w:hAnsi="楷体" w:eastAsia="楷体" w:cs="楷体"/>
          <w:b/>
          <w:color w:val="000000" w:themeColor="text1"/>
          <w:spacing w:val="60"/>
          <w:sz w:val="96"/>
          <w:szCs w:val="96"/>
          <w:highlight w:val="none"/>
          <w14:textFill>
            <w14:solidFill>
              <w14:schemeClr w14:val="tx1"/>
            </w14:solidFill>
          </w14:textFill>
        </w:rPr>
        <w:t>竞争性磋商文件</w:t>
      </w:r>
    </w:p>
    <w:p>
      <w:pPr>
        <w:pStyle w:val="21"/>
        <w:ind w:firstLine="3990" w:firstLineChars="1900"/>
        <w:rPr>
          <w:rFonts w:hint="eastAsia" w:hAnsi="宋体" w:cs="宋体"/>
          <w:color w:val="000000" w:themeColor="text1"/>
          <w:highlight w:val="none"/>
          <w14:textFill>
            <w14:solidFill>
              <w14:schemeClr w14:val="tx1"/>
            </w14:solidFill>
          </w14:textFill>
        </w:rPr>
      </w:pPr>
    </w:p>
    <w:p>
      <w:pPr>
        <w:jc w:val="center"/>
        <w:rPr>
          <w:rFonts w:hint="eastAsia" w:ascii="宋体" w:hAnsi="宋体" w:cs="宋体"/>
          <w:b/>
          <w:bCs/>
          <w:color w:val="000000" w:themeColor="text1"/>
          <w:spacing w:val="40"/>
          <w:sz w:val="32"/>
          <w:highlight w:val="none"/>
          <w14:textFill>
            <w14:solidFill>
              <w14:schemeClr w14:val="tx1"/>
            </w14:solidFill>
          </w14:textFill>
        </w:rPr>
      </w:pPr>
    </w:p>
    <w:p>
      <w:pPr>
        <w:rPr>
          <w:rFonts w:hint="eastAsia" w:ascii="宋体" w:hAnsi="宋体" w:cs="宋体"/>
          <w:b/>
          <w:bCs/>
          <w:color w:val="000000" w:themeColor="text1"/>
          <w:spacing w:val="40"/>
          <w:sz w:val="32"/>
          <w:highlight w:val="none"/>
          <w14:textFill>
            <w14:solidFill>
              <w14:schemeClr w14:val="tx1"/>
            </w14:solidFill>
          </w14:textFill>
        </w:rPr>
      </w:pPr>
    </w:p>
    <w:p>
      <w:pPr>
        <w:pStyle w:val="5"/>
        <w:rPr>
          <w:rFonts w:hint="eastAsia" w:ascii="宋体" w:hAnsi="宋体" w:cs="宋体"/>
          <w:b/>
          <w:bCs/>
          <w:color w:val="000000" w:themeColor="text1"/>
          <w:spacing w:val="40"/>
          <w:sz w:val="32"/>
          <w:highlight w:val="none"/>
          <w14:textFill>
            <w14:solidFill>
              <w14:schemeClr w14:val="tx1"/>
            </w14:solidFill>
          </w14:textFill>
        </w:rPr>
      </w:pPr>
    </w:p>
    <w:p>
      <w:pPr>
        <w:rPr>
          <w:rFonts w:hint="eastAsia"/>
          <w:color w:val="000000" w:themeColor="text1"/>
          <w14:textFill>
            <w14:solidFill>
              <w14:schemeClr w14:val="tx1"/>
            </w14:solidFill>
          </w14:textFill>
        </w:rPr>
      </w:pPr>
    </w:p>
    <w:p>
      <w:pPr>
        <w:tabs>
          <w:tab w:val="left" w:pos="8400"/>
          <w:tab w:val="left" w:pos="9240"/>
        </w:tabs>
        <w:ind w:left="1906" w:right="397" w:rightChars="189" w:hanging="1906" w:hangingChars="500"/>
        <w:jc w:val="center"/>
        <w:rPr>
          <w:rFonts w:hint="eastAsia" w:ascii="宋体" w:hAnsi="宋体" w:cs="宋体"/>
          <w:b/>
          <w:bCs/>
          <w:color w:val="000000" w:themeColor="text1"/>
          <w:spacing w:val="40"/>
          <w:sz w:val="30"/>
          <w:szCs w:val="30"/>
          <w:highlight w:val="none"/>
          <w:lang w:eastAsia="zh-CN"/>
          <w14:textFill>
            <w14:solidFill>
              <w14:schemeClr w14:val="tx1"/>
            </w14:solidFill>
          </w14:textFill>
        </w:rPr>
      </w:pPr>
      <w:r>
        <w:rPr>
          <w:rFonts w:hint="eastAsia" w:ascii="宋体" w:hAnsi="宋体" w:cs="宋体"/>
          <w:b/>
          <w:bCs/>
          <w:color w:val="000000" w:themeColor="text1"/>
          <w:spacing w:val="40"/>
          <w:sz w:val="30"/>
          <w:szCs w:val="30"/>
          <w:highlight w:val="none"/>
          <w14:textFill>
            <w14:solidFill>
              <w14:schemeClr w14:val="tx1"/>
            </w14:solidFill>
          </w14:textFill>
        </w:rPr>
        <w:t>项目名称：</w:t>
      </w:r>
      <w:r>
        <w:rPr>
          <w:rFonts w:hint="eastAsia" w:ascii="宋体" w:hAnsi="宋体" w:cs="宋体"/>
          <w:b/>
          <w:bCs/>
          <w:color w:val="000000" w:themeColor="text1"/>
          <w:spacing w:val="40"/>
          <w:sz w:val="30"/>
          <w:szCs w:val="30"/>
          <w:highlight w:val="none"/>
          <w:lang w:eastAsia="zh-CN"/>
          <w14:textFill>
            <w14:solidFill>
              <w14:schemeClr w14:val="tx1"/>
            </w14:solidFill>
          </w14:textFill>
        </w:rPr>
        <w:t>桂林市秀峰区2024年老旧小区改造</w:t>
      </w:r>
    </w:p>
    <w:p>
      <w:pPr>
        <w:tabs>
          <w:tab w:val="left" w:pos="8400"/>
          <w:tab w:val="left" w:pos="9240"/>
        </w:tabs>
        <w:ind w:right="397" w:rightChars="189" w:firstLine="2668" w:firstLineChars="700"/>
        <w:jc w:val="both"/>
        <w:rPr>
          <w:rFonts w:hint="eastAsia" w:ascii="宋体" w:hAnsi="宋体" w:eastAsia="宋体" w:cs="宋体"/>
          <w:b/>
          <w:bCs/>
          <w:color w:val="000000" w:themeColor="text1"/>
          <w:spacing w:val="40"/>
          <w:sz w:val="30"/>
          <w:szCs w:val="30"/>
          <w:highlight w:val="none"/>
          <w:lang w:eastAsia="zh-CN"/>
          <w14:textFill>
            <w14:solidFill>
              <w14:schemeClr w14:val="tx1"/>
            </w14:solidFill>
          </w14:textFill>
        </w:rPr>
      </w:pPr>
      <w:r>
        <w:rPr>
          <w:rFonts w:hint="eastAsia" w:ascii="宋体" w:hAnsi="宋体" w:cs="宋体"/>
          <w:b/>
          <w:bCs/>
          <w:color w:val="000000" w:themeColor="text1"/>
          <w:spacing w:val="40"/>
          <w:sz w:val="30"/>
          <w:szCs w:val="30"/>
          <w:highlight w:val="none"/>
          <w:lang w:eastAsia="zh-CN"/>
          <w14:textFill>
            <w14:solidFill>
              <w14:schemeClr w14:val="tx1"/>
            </w14:solidFill>
          </w14:textFill>
        </w:rPr>
        <w:t>工程设计</w:t>
      </w:r>
    </w:p>
    <w:p>
      <w:pPr>
        <w:tabs>
          <w:tab w:val="left" w:pos="8400"/>
          <w:tab w:val="left" w:pos="9240"/>
        </w:tabs>
        <w:ind w:right="397" w:rightChars="189" w:firstLine="762" w:firstLineChars="200"/>
        <w:rPr>
          <w:rFonts w:hint="eastAsia" w:ascii="宋体" w:hAnsi="宋体" w:eastAsia="宋体" w:cs="宋体"/>
          <w:b/>
          <w:bCs/>
          <w:color w:val="000000" w:themeColor="text1"/>
          <w:spacing w:val="40"/>
          <w:sz w:val="30"/>
          <w:szCs w:val="30"/>
          <w:highlight w:val="none"/>
          <w:lang w:eastAsia="zh-CN"/>
          <w14:textFill>
            <w14:solidFill>
              <w14:schemeClr w14:val="tx1"/>
            </w14:solidFill>
          </w14:textFill>
        </w:rPr>
      </w:pPr>
      <w:r>
        <w:rPr>
          <w:rFonts w:hint="eastAsia" w:ascii="宋体" w:hAnsi="宋体" w:cs="宋体"/>
          <w:b/>
          <w:bCs/>
          <w:color w:val="000000" w:themeColor="text1"/>
          <w:spacing w:val="40"/>
          <w:sz w:val="30"/>
          <w:szCs w:val="30"/>
          <w:highlight w:val="none"/>
          <w14:textFill>
            <w14:solidFill>
              <w14:schemeClr w14:val="tx1"/>
            </w14:solidFill>
          </w14:textFill>
        </w:rPr>
        <w:t>项目编号：</w:t>
      </w:r>
      <w:r>
        <w:rPr>
          <w:rFonts w:hint="eastAsia" w:ascii="宋体" w:hAnsi="宋体" w:cs="宋体"/>
          <w:b/>
          <w:bCs/>
          <w:color w:val="000000" w:themeColor="text1"/>
          <w:spacing w:val="40"/>
          <w:sz w:val="30"/>
          <w:szCs w:val="30"/>
          <w:highlight w:val="none"/>
          <w:lang w:eastAsia="zh-CN"/>
          <w14:textFill>
            <w14:solidFill>
              <w14:schemeClr w14:val="tx1"/>
            </w14:solidFill>
          </w14:textFill>
        </w:rPr>
        <w:t>GLZC2024-C3-990684-GXJH</w:t>
      </w:r>
    </w:p>
    <w:p>
      <w:pPr>
        <w:pStyle w:val="5"/>
        <w:rPr>
          <w:rFonts w:hint="eastAsia" w:ascii="宋体" w:hAnsi="宋体" w:cs="宋体"/>
          <w:b/>
          <w:bCs/>
          <w:color w:val="000000" w:themeColor="text1"/>
          <w:spacing w:val="6"/>
          <w:sz w:val="32"/>
          <w:highlight w:val="none"/>
          <w14:textFill>
            <w14:solidFill>
              <w14:schemeClr w14:val="tx1"/>
            </w14:solidFill>
          </w14:textFill>
        </w:rPr>
      </w:pPr>
    </w:p>
    <w:p>
      <w:pPr>
        <w:rPr>
          <w:rFonts w:hint="eastAsia" w:ascii="宋体" w:hAnsi="宋体" w:cs="宋体"/>
          <w:b/>
          <w:bCs/>
          <w:color w:val="000000" w:themeColor="text1"/>
          <w:spacing w:val="6"/>
          <w:sz w:val="32"/>
          <w:highlight w:val="none"/>
          <w14:textFill>
            <w14:solidFill>
              <w14:schemeClr w14:val="tx1"/>
            </w14:solidFill>
          </w14:textFill>
        </w:rPr>
      </w:pPr>
    </w:p>
    <w:p>
      <w:pPr>
        <w:pStyle w:val="5"/>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0"/>
          <w:highlight w:val="none"/>
          <w:lang w:val="en-US" w:eastAsia="zh-CN" w:bidi="ar-SA"/>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1049655</wp:posOffset>
                </wp:positionH>
                <wp:positionV relativeFrom="paragraph">
                  <wp:posOffset>8106410</wp:posOffset>
                </wp:positionV>
                <wp:extent cx="5894070" cy="635"/>
                <wp:effectExtent l="0" t="23495" r="11430" b="33020"/>
                <wp:wrapNone/>
                <wp:docPr id="5" name="直接连接符 10"/>
                <wp:cNvGraphicFramePr/>
                <a:graphic xmlns:a="http://schemas.openxmlformats.org/drawingml/2006/main">
                  <a:graphicData uri="http://schemas.microsoft.com/office/word/2010/wordprocessingShape">
                    <wps:wsp>
                      <wps:cNvCnPr/>
                      <wps:spPr>
                        <a:xfrm>
                          <a:off x="0" y="0"/>
                          <a:ext cx="5894070" cy="635"/>
                        </a:xfrm>
                        <a:prstGeom prst="line">
                          <a:avLst/>
                        </a:prstGeom>
                        <a:ln w="47625" cap="flat" cmpd="thinThick">
                          <a:solidFill>
                            <a:srgbClr val="000000"/>
                          </a:solidFill>
                          <a:prstDash val="solid"/>
                          <a:headEnd type="none" w="med" len="med"/>
                          <a:tailEnd type="none" w="med" len="med"/>
                        </a:ln>
                      </wps:spPr>
                      <wps:bodyPr upright="1"/>
                    </wps:wsp>
                  </a:graphicData>
                </a:graphic>
              </wp:anchor>
            </w:drawing>
          </mc:Choice>
          <mc:Fallback>
            <w:pict>
              <v:line id="直接连接符 10" o:spid="_x0000_s1026" o:spt="20" style="position:absolute;left:0pt;margin-left:82.65pt;margin-top:638.3pt;height:0.05pt;width:464.1pt;z-index:251663360;mso-width-relative:page;mso-height-relative:page;" filled="f" stroked="t" coordsize="21600,21600" o:gfxdata="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vjDJ2wAAAA4BAAAPAAAAAAAAAAEAIAAAACIAAABkcnMvZG93&#10;bnJldi54bWxQSwECFAAUAAAACACHTuJAQJD1Gf0BAADuAwAADgAAAAAAAAABACAAAAAqAQAAZHJz&#10;L2Uyb0RvYy54bWxQSwUGAAAAAAYABgBZAQAAmQUAAAAA&#10;">
                <v:fill on="f" focussize="0,0"/>
                <v:stroke weight="3.75pt" color="#000000" linestyle="thinThick" joinstyle="round"/>
                <v:imagedata o:title=""/>
                <o:lock v:ext="edit" aspectratio="f"/>
              </v:line>
            </w:pict>
          </mc:Fallback>
        </mc:AlternateContent>
      </w:r>
      <w:r>
        <w:rPr>
          <w:rFonts w:hint="eastAsia" w:ascii="宋体" w:hAnsi="宋体" w:eastAsia="宋体" w:cs="宋体"/>
          <w:color w:val="000000" w:themeColor="text1"/>
          <w:kern w:val="2"/>
          <w:sz w:val="21"/>
          <w:szCs w:val="20"/>
          <w:highlight w:val="none"/>
          <w:lang w:val="en-US" w:eastAsia="zh-CN" w:bidi="ar-SA"/>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897255</wp:posOffset>
                </wp:positionH>
                <wp:positionV relativeFrom="paragraph">
                  <wp:posOffset>7954010</wp:posOffset>
                </wp:positionV>
                <wp:extent cx="5894070" cy="635"/>
                <wp:effectExtent l="0" t="0" r="0" b="0"/>
                <wp:wrapNone/>
                <wp:docPr id="4" name="直接连接符 9"/>
                <wp:cNvGraphicFramePr/>
                <a:graphic xmlns:a="http://schemas.openxmlformats.org/drawingml/2006/main">
                  <a:graphicData uri="http://schemas.microsoft.com/office/word/2010/wordprocessingShape">
                    <wps:wsp>
                      <wps:cNvCnPr/>
                      <wps:spPr>
                        <a:xfrm>
                          <a:off x="0" y="0"/>
                          <a:ext cx="5894070" cy="635"/>
                        </a:xfrm>
                        <a:prstGeom prst="line">
                          <a:avLst/>
                        </a:prstGeom>
                        <a:ln w="25400" cap="flat" cmpd="sng">
                          <a:solidFill>
                            <a:srgbClr val="4F81BD"/>
                          </a:solidFill>
                          <a:prstDash val="solid"/>
                          <a:headEnd type="none" w="med" len="med"/>
                          <a:tailEnd type="none" w="med" len="med"/>
                        </a:ln>
                      </wps:spPr>
                      <wps:bodyPr upright="1"/>
                    </wps:wsp>
                  </a:graphicData>
                </a:graphic>
              </wp:anchor>
            </w:drawing>
          </mc:Choice>
          <mc:Fallback>
            <w:pict>
              <v:line id="直接连接符 9" o:spid="_x0000_s1026" o:spt="20" style="position:absolute;left:0pt;margin-left:70.65pt;margin-top:626.3pt;height:0.05pt;width:464.1pt;z-index:251662336;mso-width-relative:page;mso-height-relative:page;" filled="f" stroked="t" coordsize="21600,21600" o:gfxdata="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Xz2D2AAAAA4BAAAPAAAAAAAAAAEAIAAAACIAAABkcnMvZG93bnJldi54&#10;bWxQSwECFAAUAAAACACHTuJAyQm0KPoBAADnAwAADgAAAAAAAAABACAAAAAnAQAAZHJzL2Uyb0Rv&#10;Yy54bWxQSwUGAAAAAAYABgBZAQAAkwUAAAAA&#10;">
                <v:fill on="f" focussize="0,0"/>
                <v:stroke weight="2pt" color="#4F81BD" joinstyle="round"/>
                <v:imagedata o:title=""/>
                <o:lock v:ext="edit" aspectratio="f"/>
              </v:line>
            </w:pict>
          </mc:Fallback>
        </mc:AlternateContent>
      </w:r>
    </w:p>
    <w:p>
      <w:pPr>
        <w:pStyle w:val="5"/>
        <w:rPr>
          <w:rFonts w:hint="eastAsia" w:ascii="宋体" w:hAnsi="宋体" w:eastAsia="宋体" w:cs="宋体"/>
          <w:color w:val="000000" w:themeColor="text1"/>
          <w:highlight w:val="none"/>
          <w14:textFill>
            <w14:solidFill>
              <w14:schemeClr w14:val="tx1"/>
            </w14:solidFill>
          </w14:textFill>
        </w:rPr>
      </w:pPr>
    </w:p>
    <w:p>
      <w:pPr>
        <w:pStyle w:val="5"/>
        <w:rPr>
          <w:rFonts w:hint="eastAsia" w:ascii="宋体" w:hAnsi="宋体" w:eastAsia="宋体" w:cs="宋体"/>
          <w:color w:val="000000" w:themeColor="text1"/>
          <w:highlight w:val="none"/>
          <w14:textFill>
            <w14:solidFill>
              <w14:schemeClr w14:val="tx1"/>
            </w14:solidFill>
          </w14:textFill>
        </w:rPr>
      </w:pPr>
    </w:p>
    <w:p>
      <w:pPr>
        <w:pStyle w:val="5"/>
        <w:rPr>
          <w:rFonts w:hint="eastAsia" w:ascii="宋体" w:hAnsi="宋体" w:eastAsia="宋体" w:cs="宋体"/>
          <w:color w:val="000000" w:themeColor="text1"/>
          <w:highlight w:val="none"/>
          <w14:textFill>
            <w14:solidFill>
              <w14:schemeClr w14:val="tx1"/>
            </w14:solidFill>
          </w14:textFill>
        </w:rPr>
      </w:pPr>
    </w:p>
    <w:p>
      <w:pPr>
        <w:pStyle w:val="5"/>
        <w:rPr>
          <w:rFonts w:hint="eastAsia"/>
          <w:color w:val="000000" w:themeColor="text1"/>
          <w14:textFill>
            <w14:solidFill>
              <w14:schemeClr w14:val="tx1"/>
            </w14:solidFill>
          </w14:textFill>
        </w:rPr>
      </w:pPr>
      <w:r>
        <w:rPr>
          <w:rFonts w:hint="eastAsia" w:ascii="宋体" w:hAnsi="宋体" w:eastAsia="宋体" w:cs="宋体"/>
          <w:color w:val="000000" w:themeColor="text1"/>
          <w:kern w:val="2"/>
          <w:sz w:val="21"/>
          <w:szCs w:val="20"/>
          <w:highlight w:val="none"/>
          <w:lang w:val="en-US" w:eastAsia="zh-CN" w:bidi="ar-SA"/>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897255</wp:posOffset>
                </wp:positionH>
                <wp:positionV relativeFrom="paragraph">
                  <wp:posOffset>7954010</wp:posOffset>
                </wp:positionV>
                <wp:extent cx="5894070" cy="635"/>
                <wp:effectExtent l="0" t="0" r="0" b="0"/>
                <wp:wrapNone/>
                <wp:docPr id="3" name="直接连接符 7"/>
                <wp:cNvGraphicFramePr/>
                <a:graphic xmlns:a="http://schemas.openxmlformats.org/drawingml/2006/main">
                  <a:graphicData uri="http://schemas.microsoft.com/office/word/2010/wordprocessingShape">
                    <wps:wsp>
                      <wps:cNvCnPr/>
                      <wps:spPr>
                        <a:xfrm>
                          <a:off x="0" y="0"/>
                          <a:ext cx="5894070" cy="635"/>
                        </a:xfrm>
                        <a:prstGeom prst="line">
                          <a:avLst/>
                        </a:prstGeom>
                        <a:ln w="25400" cap="flat" cmpd="sng">
                          <a:solidFill>
                            <a:srgbClr val="4F81BD"/>
                          </a:solidFill>
                          <a:prstDash val="solid"/>
                          <a:headEnd type="none" w="med" len="med"/>
                          <a:tailEnd type="none" w="med" len="med"/>
                        </a:ln>
                      </wps:spPr>
                      <wps:bodyPr upright="1"/>
                    </wps:wsp>
                  </a:graphicData>
                </a:graphic>
              </wp:anchor>
            </w:drawing>
          </mc:Choice>
          <mc:Fallback>
            <w:pict>
              <v:line id="直接连接符 7" o:spid="_x0000_s1026" o:spt="20" style="position:absolute;left:0pt;margin-left:70.65pt;margin-top:626.3pt;height:0.05pt;width:464.1pt;z-index:251661312;mso-width-relative:page;mso-height-relative:page;" filled="f" stroked="t" coordsize="21600,21600" o:gfxdata="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l89g9gAAAAOAQAADwAAAAAAAAABACAAAAAiAAAAZHJzL2Rvd25yZXYu&#10;eG1sUEsBAhQAFAAAAAgAh07iQEgrMrf7AQAA5wMAAA4AAAAAAAAAAQAgAAAAJwEAAGRycy9lMm9E&#10;b2MueG1sUEsFBgAAAAAGAAYAWQEAAJQFAAAAAA==&#10;">
                <v:fill on="f" focussize="0,0"/>
                <v:stroke weight="2pt" color="#4F81BD" joinstyle="round"/>
                <v:imagedata o:title=""/>
                <o:lock v:ext="edit" aspectratio="f"/>
              </v:line>
            </w:pict>
          </mc:Fallback>
        </mc:AlternateContent>
      </w:r>
    </w:p>
    <w:p>
      <w:pPr>
        <w:rPr>
          <w:rFonts w:hint="eastAsia" w:ascii="宋体" w:hAnsi="宋体" w:cs="宋体"/>
          <w:color w:val="000000" w:themeColor="text1"/>
          <w:highlight w:val="none"/>
          <w14:textFill>
            <w14:solidFill>
              <w14:schemeClr w14:val="tx1"/>
            </w14:solidFill>
          </w14:textFill>
        </w:rPr>
      </w:pPr>
    </w:p>
    <w:p>
      <w:pPr>
        <w:jc w:val="center"/>
        <w:rPr>
          <w:rFonts w:hint="eastAsia" w:ascii="宋体" w:hAnsi="宋体" w:cs="宋体"/>
          <w:b/>
          <w:bCs/>
          <w:color w:val="000000" w:themeColor="text1"/>
          <w:kern w:val="0"/>
          <w:sz w:val="30"/>
          <w:szCs w:val="30"/>
          <w:highlight w:val="none"/>
          <w14:textFill>
            <w14:solidFill>
              <w14:schemeClr w14:val="tx1"/>
            </w14:solidFill>
          </w14:textFill>
        </w:rPr>
      </w:pPr>
      <w:r>
        <w:rPr>
          <w:rFonts w:hint="eastAsia" w:ascii="宋体" w:hAnsi="宋体" w:cs="宋体"/>
          <w:b/>
          <w:bCs/>
          <w:color w:val="000000" w:themeColor="text1"/>
          <w:kern w:val="0"/>
          <w:sz w:val="30"/>
          <w:szCs w:val="30"/>
          <w:highlight w:val="none"/>
          <w14:textFill>
            <w14:solidFill>
              <w14:schemeClr w14:val="tx1"/>
            </w14:solidFill>
          </w14:textFill>
        </w:rPr>
        <w:t>采购代理机构：</w:t>
      </w:r>
      <w:r>
        <w:rPr>
          <w:rFonts w:hint="eastAsia" w:ascii="宋体" w:hAnsi="宋体" w:cs="宋体"/>
          <w:b/>
          <w:bCs/>
          <w:color w:val="000000" w:themeColor="text1"/>
          <w:kern w:val="0"/>
          <w:sz w:val="30"/>
          <w:szCs w:val="30"/>
          <w:highlight w:val="none"/>
          <w:lang w:eastAsia="zh-CN"/>
          <w14:textFill>
            <w14:solidFill>
              <w14:schemeClr w14:val="tx1"/>
            </w14:solidFill>
          </w14:textFill>
        </w:rPr>
        <w:t>广西嘉弘项目管理有限公司</w:t>
      </w:r>
      <w:r>
        <w:rPr>
          <w:rFonts w:hint="eastAsia" w:ascii="宋体" w:hAnsi="宋体" w:cs="宋体"/>
          <w:b/>
          <w:bCs/>
          <w:color w:val="000000" w:themeColor="text1"/>
          <w:kern w:val="0"/>
          <w:sz w:val="30"/>
          <w:szCs w:val="30"/>
          <w:highlight w:val="none"/>
          <w14:textFill>
            <w14:solidFill>
              <w14:schemeClr w14:val="tx1"/>
            </w14:solidFill>
          </w14:textFill>
        </w:rPr>
        <w:cr/>
      </w:r>
      <w:r>
        <w:rPr>
          <w:rFonts w:hint="eastAsia" w:ascii="宋体" w:hAnsi="宋体" w:cs="宋体"/>
          <w:b/>
          <w:bCs/>
          <w:color w:val="000000" w:themeColor="text1"/>
          <w:kern w:val="0"/>
          <w:sz w:val="30"/>
          <w:szCs w:val="30"/>
          <w:highlight w:val="none"/>
          <w14:textFill>
            <w14:solidFill>
              <w14:schemeClr w14:val="tx1"/>
            </w14:solidFill>
          </w14:textFill>
        </w:rPr>
        <w:t>2024年0</w:t>
      </w:r>
      <w:r>
        <w:rPr>
          <w:rFonts w:hint="eastAsia" w:ascii="宋体" w:hAnsi="宋体" w:cs="宋体"/>
          <w:b/>
          <w:bCs/>
          <w:color w:val="000000" w:themeColor="text1"/>
          <w:kern w:val="0"/>
          <w:sz w:val="30"/>
          <w:szCs w:val="30"/>
          <w:highlight w:val="none"/>
          <w:lang w:val="en-US" w:eastAsia="zh-CN"/>
          <w14:textFill>
            <w14:solidFill>
              <w14:schemeClr w14:val="tx1"/>
            </w14:solidFill>
          </w14:textFill>
        </w:rPr>
        <w:t>8</w:t>
      </w:r>
      <w:r>
        <w:rPr>
          <w:rFonts w:hint="eastAsia" w:ascii="宋体" w:hAnsi="宋体" w:cs="宋体"/>
          <w:b/>
          <w:bCs/>
          <w:color w:val="000000" w:themeColor="text1"/>
          <w:kern w:val="0"/>
          <w:sz w:val="30"/>
          <w:szCs w:val="30"/>
          <w:highlight w:val="none"/>
          <w14:textFill>
            <w14:solidFill>
              <w14:schemeClr w14:val="tx1"/>
            </w14:solidFill>
          </w14:textFill>
        </w:rPr>
        <w:t>月</w:t>
      </w:r>
    </w:p>
    <w:p>
      <w:pPr>
        <w:pStyle w:val="75"/>
        <w:spacing w:line="360" w:lineRule="exact"/>
        <w:jc w:val="center"/>
        <w:rPr>
          <w:rFonts w:ascii="Arial" w:hAnsi="Arial" w:eastAsia="宋体" w:cs="Arial"/>
          <w:color w:val="000000" w:themeColor="text1"/>
          <w:highlight w:val="none"/>
          <w:lang w:val="zh-CN"/>
          <w14:textFill>
            <w14:solidFill>
              <w14:schemeClr w14:val="tx1"/>
            </w14:solidFill>
          </w14:textFill>
        </w:rPr>
        <w:sectPr>
          <w:headerReference r:id="rId3" w:type="default"/>
          <w:pgSz w:w="11906" w:h="16838"/>
          <w:pgMar w:top="1440" w:right="1080" w:bottom="1440" w:left="1080" w:header="851" w:footer="992" w:gutter="0"/>
          <w:cols w:space="720" w:num="1"/>
          <w:docGrid w:type="lines" w:linePitch="312" w:charSpace="0"/>
        </w:sectPr>
      </w:pPr>
    </w:p>
    <w:p>
      <w:pPr>
        <w:jc w:val="center"/>
        <w:rPr>
          <w:rFonts w:ascii="Arial" w:hAnsi="Arial" w:cs="Arial"/>
          <w:b/>
          <w:bCs/>
          <w:color w:val="000000" w:themeColor="text1"/>
          <w:sz w:val="40"/>
          <w:szCs w:val="48"/>
          <w:highlight w:val="none"/>
          <w14:textFill>
            <w14:solidFill>
              <w14:schemeClr w14:val="tx1"/>
            </w14:solidFill>
          </w14:textFill>
        </w:rPr>
      </w:pPr>
      <w:r>
        <w:rPr>
          <w:rFonts w:ascii="Arial" w:hAnsi="Arial" w:cs="Arial"/>
          <w:b/>
          <w:bCs/>
          <w:color w:val="000000" w:themeColor="text1"/>
          <w:sz w:val="40"/>
          <w:szCs w:val="48"/>
          <w:highlight w:val="none"/>
          <w14:textFill>
            <w14:solidFill>
              <w14:schemeClr w14:val="tx1"/>
            </w14:solidFill>
          </w14:textFill>
        </w:rPr>
        <w:t>目</w:t>
      </w:r>
      <w:r>
        <w:rPr>
          <w:rFonts w:hint="eastAsia" w:ascii="Arial" w:hAnsi="Arial" w:cs="Arial"/>
          <w:b/>
          <w:bCs/>
          <w:color w:val="000000" w:themeColor="text1"/>
          <w:sz w:val="40"/>
          <w:szCs w:val="48"/>
          <w:highlight w:val="none"/>
          <w:lang w:val="en-US" w:eastAsia="zh-CN"/>
          <w14:textFill>
            <w14:solidFill>
              <w14:schemeClr w14:val="tx1"/>
            </w14:solidFill>
          </w14:textFill>
        </w:rPr>
        <w:t xml:space="preserve"> </w:t>
      </w:r>
      <w:r>
        <w:rPr>
          <w:rFonts w:ascii="Arial" w:hAnsi="Arial" w:cs="Arial"/>
          <w:b/>
          <w:bCs/>
          <w:color w:val="000000" w:themeColor="text1"/>
          <w:sz w:val="40"/>
          <w:szCs w:val="48"/>
          <w:highlight w:val="none"/>
          <w14:textFill>
            <w14:solidFill>
              <w14:schemeClr w14:val="tx1"/>
            </w14:solidFill>
          </w14:textFill>
        </w:rPr>
        <w:t xml:space="preserve"> 录</w:t>
      </w:r>
    </w:p>
    <w:p>
      <w:pPr>
        <w:spacing w:line="360" w:lineRule="auto"/>
        <w:rPr>
          <w:rFonts w:ascii="Arial" w:hAnsi="Arial" w:cs="Arial"/>
          <w:color w:val="000000" w:themeColor="text1"/>
          <w:sz w:val="28"/>
          <w:szCs w:val="28"/>
          <w:highlight w:val="none"/>
          <w14:textFill>
            <w14:solidFill>
              <w14:schemeClr w14:val="tx1"/>
            </w14:solidFill>
          </w14:textFill>
        </w:rPr>
      </w:pPr>
    </w:p>
    <w:p>
      <w:pPr>
        <w:pStyle w:val="27"/>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TOC \o "1-3" \h \u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_Toc4150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第一章  竞争性磋商公告</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_Toc4150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1</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pPr>
        <w:pStyle w:val="27"/>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_Toc19220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bCs/>
          <w:color w:val="000000" w:themeColor="text1"/>
          <w:kern w:val="44"/>
          <w:sz w:val="28"/>
          <w:szCs w:val="28"/>
          <w:highlight w:val="none"/>
          <w14:textFill>
            <w14:solidFill>
              <w14:schemeClr w14:val="tx1"/>
            </w14:solidFill>
          </w14:textFill>
        </w:rPr>
        <w:t>第二章  供应商须知</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_Toc19220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4</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pPr>
        <w:pStyle w:val="27"/>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_Toc88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第三章  采购需求</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_Toc88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21</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pPr>
        <w:pStyle w:val="27"/>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_Toc7344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bCs/>
          <w:color w:val="000000" w:themeColor="text1"/>
          <w:sz w:val="28"/>
          <w:szCs w:val="28"/>
          <w:highlight w:val="none"/>
          <w14:textFill>
            <w14:solidFill>
              <w14:schemeClr w14:val="tx1"/>
            </w14:solidFill>
          </w14:textFill>
        </w:rPr>
        <w:t>第四章  评审办法</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_Toc7344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25</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pPr>
        <w:pStyle w:val="27"/>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_Toc25587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bCs/>
          <w:color w:val="000000" w:themeColor="text1"/>
          <w:sz w:val="28"/>
          <w:szCs w:val="28"/>
          <w:highlight w:val="none"/>
          <w14:textFill>
            <w14:solidFill>
              <w14:schemeClr w14:val="tx1"/>
            </w14:solidFill>
          </w14:textFill>
        </w:rPr>
        <w:t>第五章  合同条款及格式</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_Toc25587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29</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pPr>
        <w:pStyle w:val="27"/>
        <w:tabs>
          <w:tab w:val="right" w:leader="dot" w:pos="9746"/>
        </w:tabs>
        <w:spacing w:line="600" w:lineRule="auto"/>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HYPERLINK \l _Toc23685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第六章  响应文件（格式）</w:t>
      </w:r>
      <w:r>
        <w:rPr>
          <w:rFonts w:hint="eastAsia" w:ascii="宋体" w:hAnsi="宋体" w:cs="宋体"/>
          <w:color w:val="000000" w:themeColor="text1"/>
          <w:sz w:val="28"/>
          <w:szCs w:val="28"/>
          <w:highlight w:val="none"/>
          <w14:textFill>
            <w14:solidFill>
              <w14:schemeClr w14:val="tx1"/>
            </w14:solidFill>
          </w14:textFill>
        </w:rPr>
        <w:tab/>
      </w:r>
      <w:r>
        <w:rPr>
          <w:rFonts w:hint="eastAsia" w:ascii="宋体" w:hAnsi="宋体" w:cs="宋体"/>
          <w:color w:val="000000" w:themeColor="text1"/>
          <w:sz w:val="28"/>
          <w:szCs w:val="28"/>
          <w:highlight w:val="none"/>
          <w14:textFill>
            <w14:solidFill>
              <w14:schemeClr w14:val="tx1"/>
            </w14:solidFill>
          </w14:textFill>
        </w:rPr>
        <w:fldChar w:fldCharType="begin"/>
      </w:r>
      <w:r>
        <w:rPr>
          <w:rFonts w:hint="eastAsia" w:ascii="宋体" w:hAnsi="宋体" w:cs="宋体"/>
          <w:color w:val="000000" w:themeColor="text1"/>
          <w:sz w:val="28"/>
          <w:szCs w:val="28"/>
          <w:highlight w:val="none"/>
          <w14:textFill>
            <w14:solidFill>
              <w14:schemeClr w14:val="tx1"/>
            </w14:solidFill>
          </w14:textFill>
        </w:rPr>
        <w:instrText xml:space="preserve"> PAGEREF _Toc23685 \h </w:instrText>
      </w:r>
      <w:r>
        <w:rPr>
          <w:rFonts w:hint="eastAsia" w:ascii="宋体" w:hAnsi="宋体" w:cs="宋体"/>
          <w:color w:val="000000" w:themeColor="text1"/>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35</w:t>
      </w:r>
      <w:r>
        <w:rPr>
          <w:rFonts w:hint="eastAsia" w:ascii="宋体" w:hAnsi="宋体" w:cs="宋体"/>
          <w:color w:val="000000" w:themeColor="text1"/>
          <w:sz w:val="28"/>
          <w:szCs w:val="28"/>
          <w:highlight w:val="none"/>
          <w14:textFill>
            <w14:solidFill>
              <w14:schemeClr w14:val="tx1"/>
            </w14:solidFill>
          </w14:textFill>
        </w:rPr>
        <w:fldChar w:fldCharType="end"/>
      </w:r>
      <w:r>
        <w:rPr>
          <w:rFonts w:hint="eastAsia" w:ascii="宋体" w:hAnsi="宋体" w:cs="宋体"/>
          <w:color w:val="000000" w:themeColor="text1"/>
          <w:sz w:val="28"/>
          <w:szCs w:val="28"/>
          <w:highlight w:val="none"/>
          <w14:textFill>
            <w14:solidFill>
              <w14:schemeClr w14:val="tx1"/>
            </w14:solidFill>
          </w14:textFill>
        </w:rPr>
        <w:fldChar w:fldCharType="end"/>
      </w:r>
    </w:p>
    <w:p>
      <w:pPr>
        <w:spacing w:line="600" w:lineRule="auto"/>
        <w:outlineLvl w:val="0"/>
        <w:rPr>
          <w:rFonts w:ascii="Arial" w:hAnsi="Arial" w:cs="Arial"/>
          <w:color w:val="000000" w:themeColor="text1"/>
          <w:sz w:val="72"/>
          <w:szCs w:val="72"/>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5443"/>
        </w:tabs>
        <w:jc w:val="left"/>
        <w:rPr>
          <w:color w:val="000000" w:themeColor="text1"/>
          <w:highlight w:val="none"/>
          <w14:textFill>
            <w14:solidFill>
              <w14:schemeClr w14:val="tx1"/>
            </w14:solidFill>
          </w14:textFill>
        </w:rPr>
        <w:sectPr>
          <w:pgSz w:w="11906" w:h="16838"/>
          <w:pgMar w:top="1440" w:right="1080" w:bottom="1440" w:left="1080" w:header="851" w:footer="992" w:gutter="0"/>
          <w:pgNumType w:start="1"/>
          <w:cols w:space="720" w:num="1"/>
          <w:docGrid w:type="lines" w:linePitch="312" w:charSpace="0"/>
        </w:sectPr>
      </w:pPr>
      <w:r>
        <w:rPr>
          <w:rFonts w:hint="eastAsia"/>
          <w:color w:val="000000" w:themeColor="text1"/>
          <w:highlight w:val="none"/>
          <w14:textFill>
            <w14:solidFill>
              <w14:schemeClr w14:val="tx1"/>
            </w14:solidFill>
          </w14:textFill>
        </w:rPr>
        <w:tab/>
      </w:r>
    </w:p>
    <w:p>
      <w:pPr>
        <w:pStyle w:val="3"/>
        <w:rPr>
          <w:rFonts w:hint="eastAsia"/>
          <w:color w:val="000000" w:themeColor="text1"/>
          <w:highlight w:val="none"/>
          <w14:textFill>
            <w14:solidFill>
              <w14:schemeClr w14:val="tx1"/>
            </w14:solidFill>
          </w14:textFill>
        </w:rPr>
        <w:sectPr>
          <w:headerReference r:id="rId4" w:type="default"/>
          <w:footerReference r:id="rId5" w:type="default"/>
          <w:type w:val="continuous"/>
          <w:pgSz w:w="11906" w:h="16838"/>
          <w:pgMar w:top="1440" w:right="1080" w:bottom="1440" w:left="1080" w:header="851" w:footer="992" w:gutter="0"/>
          <w:cols w:space="720" w:num="1"/>
          <w:docGrid w:type="lines" w:linePitch="312" w:charSpace="0"/>
        </w:sectPr>
      </w:pPr>
      <w:bookmarkStart w:id="0" w:name="_Toc35393789"/>
      <w:bookmarkStart w:id="1" w:name="_Toc28359001"/>
      <w:bookmarkStart w:id="2" w:name="_Toc4150"/>
    </w:p>
    <w:p>
      <w:pPr>
        <w:pStyle w:val="3"/>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第一章  竞争性磋商</w:t>
      </w:r>
      <w:r>
        <w:rPr>
          <w:color w:val="000000" w:themeColor="text1"/>
          <w:highlight w:val="none"/>
          <w14:textFill>
            <w14:solidFill>
              <w14:schemeClr w14:val="tx1"/>
            </w14:solidFill>
          </w14:textFill>
        </w:rPr>
        <w:t>公告</w:t>
      </w:r>
      <w:bookmarkEnd w:id="0"/>
      <w:bookmarkEnd w:id="1"/>
      <w:bookmarkEnd w:id="2"/>
    </w:p>
    <w:p>
      <w:pPr>
        <w:pBdr>
          <w:top w:val="single" w:color="auto" w:sz="4" w:space="1"/>
          <w:left w:val="single" w:color="auto" w:sz="4" w:space="4"/>
          <w:bottom w:val="single" w:color="auto" w:sz="4" w:space="1"/>
          <w:right w:val="single" w:color="auto" w:sz="4" w:space="4"/>
        </w:pBd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eastAsia="zh-CN"/>
          <w14:textFill>
            <w14:solidFill>
              <w14:schemeClr w14:val="tx1"/>
            </w14:solidFill>
          </w14:textFill>
        </w:rPr>
        <w:t>桂林市秀峰区2024年老旧小区改造工程设计</w:t>
      </w:r>
      <w:r>
        <w:rPr>
          <w:rFonts w:hint="eastAsia" w:ascii="宋体" w:hAnsi="宋体" w:eastAsia="宋体" w:cs="宋体"/>
          <w:color w:val="000000" w:themeColor="text1"/>
          <w:szCs w:val="21"/>
          <w:highlight w:val="none"/>
          <w14:textFill>
            <w14:solidFill>
              <w14:schemeClr w14:val="tx1"/>
            </w14:solidFill>
          </w14:textFill>
        </w:rPr>
        <w:t>项目的潜在供应商应在</w:t>
      </w:r>
      <w:r>
        <w:rPr>
          <w:rFonts w:hint="eastAsia" w:ascii="宋体" w:hAnsi="宋体" w:eastAsia="宋体" w:cs="宋体"/>
          <w:color w:val="000000" w:themeColor="text1"/>
          <w:szCs w:val="21"/>
          <w:highlight w:val="none"/>
          <w:u w:val="single"/>
          <w14:textFill>
            <w14:solidFill>
              <w14:schemeClr w14:val="tx1"/>
            </w14:solidFill>
          </w14:textFill>
        </w:rPr>
        <w:t>广西政府采购云平台https://www.gcy.zfcg.gxzf.gov.cn/</w:t>
      </w:r>
      <w:r>
        <w:rPr>
          <w:rFonts w:hint="eastAsia" w:ascii="宋体" w:hAnsi="宋体" w:eastAsia="宋体" w:cs="宋体"/>
          <w:color w:val="000000" w:themeColor="text1"/>
          <w:szCs w:val="21"/>
          <w:highlight w:val="none"/>
          <w14:textFill>
            <w14:solidFill>
              <w14:schemeClr w14:val="tx1"/>
            </w14:solidFill>
          </w14:textFill>
        </w:rPr>
        <w:t>获取磋商文件，并于</w:t>
      </w:r>
      <w:r>
        <w:rPr>
          <w:rFonts w:hint="eastAsia" w:ascii="宋体" w:hAnsi="宋体" w:eastAsia="宋体" w:cs="宋体"/>
          <w:color w:val="000000" w:themeColor="text1"/>
          <w:szCs w:val="21"/>
          <w:highlight w:val="none"/>
          <w:u w:val="single"/>
          <w14:textFill>
            <w14:solidFill>
              <w14:schemeClr w14:val="tx1"/>
            </w14:solidFill>
          </w14:textFill>
        </w:rPr>
        <w:t>2024年</w:t>
      </w:r>
      <w:r>
        <w:rPr>
          <w:rFonts w:hint="eastAsia" w:ascii="宋体" w:hAnsi="宋体" w:cs="宋体"/>
          <w:color w:val="000000" w:themeColor="text1"/>
          <w:szCs w:val="21"/>
          <w:highlight w:val="none"/>
          <w:u w:val="single"/>
          <w:lang w:val="en-US" w:eastAsia="zh-CN"/>
          <w14:textFill>
            <w14:solidFill>
              <w14:schemeClr w14:val="tx1"/>
            </w14:solidFill>
          </w14:textFill>
        </w:rPr>
        <w:t>08</w:t>
      </w:r>
      <w:r>
        <w:rPr>
          <w:rFonts w:hint="eastAsia" w:ascii="宋体" w:hAnsi="宋体" w:eastAsia="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19</w:t>
      </w:r>
      <w:r>
        <w:rPr>
          <w:rFonts w:hint="eastAsia" w:ascii="宋体" w:hAnsi="宋体" w:eastAsia="宋体" w:cs="宋体"/>
          <w:color w:val="000000" w:themeColor="text1"/>
          <w:szCs w:val="21"/>
          <w:highlight w:val="none"/>
          <w:u w:val="single"/>
          <w14:textFill>
            <w14:solidFill>
              <w14:schemeClr w14:val="tx1"/>
            </w14:solidFill>
          </w14:textFill>
        </w:rPr>
        <w:t>日</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09</w:t>
      </w:r>
      <w:r>
        <w:rPr>
          <w:rFonts w:hint="eastAsia" w:ascii="宋体" w:hAnsi="宋体" w:eastAsia="宋体" w:cs="宋体"/>
          <w:bCs/>
          <w:color w:val="000000" w:themeColor="text1"/>
          <w:szCs w:val="21"/>
          <w:highlight w:val="none"/>
          <w:u w:val="single"/>
          <w14:textFill>
            <w14:solidFill>
              <w14:schemeClr w14:val="tx1"/>
            </w14:solidFill>
          </w14:textFill>
        </w:rPr>
        <w:t>点</w:t>
      </w:r>
      <w:r>
        <w:rPr>
          <w:rFonts w:hint="eastAsia" w:ascii="宋体" w:hAnsi="宋体" w:eastAsia="宋体" w:cs="宋体"/>
          <w:bCs/>
          <w:color w:val="000000" w:themeColor="text1"/>
          <w:szCs w:val="21"/>
          <w:highlight w:val="none"/>
          <w:u w:val="single"/>
          <w:lang w:val="en-US" w:eastAsia="zh-CN"/>
          <w14:textFill>
            <w14:solidFill>
              <w14:schemeClr w14:val="tx1"/>
            </w14:solidFill>
          </w14:textFill>
        </w:rPr>
        <w:t>30</w:t>
      </w:r>
      <w:r>
        <w:rPr>
          <w:rFonts w:hint="eastAsia" w:ascii="宋体" w:hAnsi="宋体" w:eastAsia="宋体" w:cs="宋体"/>
          <w:bCs/>
          <w:color w:val="000000" w:themeColor="text1"/>
          <w:szCs w:val="21"/>
          <w:highlight w:val="none"/>
          <w:u w:val="single"/>
          <w14:textFill>
            <w14:solidFill>
              <w14:schemeClr w14:val="tx1"/>
            </w14:solidFill>
          </w14:textFill>
        </w:rPr>
        <w:t>分（</w:t>
      </w:r>
      <w:r>
        <w:rPr>
          <w:rFonts w:hint="eastAsia" w:ascii="宋体" w:hAnsi="宋体" w:eastAsia="宋体" w:cs="宋体"/>
          <w:bCs/>
          <w:color w:val="000000" w:themeColor="text1"/>
          <w:szCs w:val="21"/>
          <w:highlight w:val="none"/>
          <w14:textFill>
            <w14:solidFill>
              <w14:schemeClr w14:val="tx1"/>
            </w14:solidFill>
          </w14:textFill>
        </w:rPr>
        <w:t>北京时间）前递交响应文件</w:t>
      </w:r>
      <w:r>
        <w:rPr>
          <w:rFonts w:hint="eastAsia" w:ascii="宋体" w:hAnsi="宋体" w:eastAsia="宋体" w:cs="宋体"/>
          <w:color w:val="000000" w:themeColor="text1"/>
          <w:szCs w:val="21"/>
          <w:highlight w:val="none"/>
          <w14:textFill>
            <w14:solidFill>
              <w14:schemeClr w14:val="tx1"/>
            </w14:solidFill>
          </w14:textFill>
        </w:rPr>
        <w:t>。</w:t>
      </w:r>
    </w:p>
    <w:p>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bookmarkStart w:id="3" w:name="_Toc28359002"/>
      <w:bookmarkStart w:id="4" w:name="_Toc35393790"/>
      <w:bookmarkStart w:id="5" w:name="_Toc28359079"/>
      <w:bookmarkStart w:id="6" w:name="_Toc35393621"/>
      <w:bookmarkStart w:id="7" w:name="_Hlk24379207"/>
      <w:r>
        <w:rPr>
          <w:rFonts w:hint="eastAsia" w:ascii="宋体" w:hAnsi="宋体" w:eastAsia="宋体" w:cs="宋体"/>
          <w:b/>
          <w:bCs/>
          <w:color w:val="000000" w:themeColor="text1"/>
          <w:szCs w:val="21"/>
          <w:highlight w:val="none"/>
          <w14:textFill>
            <w14:solidFill>
              <w14:schemeClr w14:val="tx1"/>
            </w14:solidFill>
          </w14:textFill>
        </w:rPr>
        <w:t>一、项目基本情况</w:t>
      </w:r>
      <w:bookmarkEnd w:id="3"/>
      <w:bookmarkEnd w:id="4"/>
      <w:bookmarkEnd w:id="5"/>
      <w:bookmarkEnd w:id="6"/>
    </w:p>
    <w:p>
      <w:pPr>
        <w:pStyle w:val="57"/>
        <w:wordWrap/>
        <w:snapToGrid/>
        <w:spacing w:line="440" w:lineRule="exact"/>
        <w:ind w:firstLine="42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项目编号：</w:t>
      </w:r>
      <w:r>
        <w:rPr>
          <w:rFonts w:hint="eastAsia" w:ascii="宋体" w:hAnsi="宋体" w:eastAsia="宋体" w:cs="宋体"/>
          <w:color w:val="000000" w:themeColor="text1"/>
          <w:kern w:val="2"/>
          <w:sz w:val="21"/>
          <w:szCs w:val="21"/>
          <w:highlight w:val="none"/>
          <w:lang w:eastAsia="zh-CN"/>
          <w14:textFill>
            <w14:solidFill>
              <w14:schemeClr w14:val="tx1"/>
            </w14:solidFill>
          </w14:textFill>
        </w:rPr>
        <w:t>GLZC2024-C3-990684-GXJH</w:t>
      </w:r>
    </w:p>
    <w:p>
      <w:pPr>
        <w:pStyle w:val="57"/>
        <w:wordWrap/>
        <w:snapToGrid/>
        <w:spacing w:line="440" w:lineRule="exact"/>
        <w:ind w:firstLine="420"/>
        <w:jc w:val="both"/>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项目名称：</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桂林市秀峰区2024年老旧小区改造工程设计</w:t>
      </w:r>
    </w:p>
    <w:p>
      <w:pPr>
        <w:pStyle w:val="57"/>
        <w:wordWrap/>
        <w:snapToGrid/>
        <w:spacing w:line="440" w:lineRule="exact"/>
        <w:ind w:firstLine="42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采购方式：竞争性磋商</w:t>
      </w:r>
    </w:p>
    <w:p>
      <w:pPr>
        <w:pStyle w:val="57"/>
        <w:wordWrap/>
        <w:snapToGrid/>
        <w:spacing w:line="440" w:lineRule="exact"/>
        <w:ind w:firstLine="42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预算总金额（元）：9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2"/>
          <w:sz w:val="21"/>
          <w:szCs w:val="21"/>
          <w:highlight w:val="none"/>
          <w14:textFill>
            <w14:solidFill>
              <w14:schemeClr w14:val="tx1"/>
            </w14:solidFill>
          </w14:textFill>
        </w:rPr>
        <w:t>0000.00</w:t>
      </w:r>
    </w:p>
    <w:p>
      <w:pPr>
        <w:pStyle w:val="57"/>
        <w:wordWrap/>
        <w:snapToGrid/>
        <w:spacing w:line="440" w:lineRule="exact"/>
        <w:ind w:firstLine="42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采购需求：</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标项名称:</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桂林市秀峰区2024年老旧小区改造工程设计</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数量:1</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预算金额（元）:9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2"/>
          <w:sz w:val="21"/>
          <w:szCs w:val="21"/>
          <w:highlight w:val="none"/>
          <w14:textFill>
            <w14:solidFill>
              <w14:schemeClr w14:val="tx1"/>
            </w14:solidFill>
          </w14:textFill>
        </w:rPr>
        <w:t>0000.00</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简要规格描述或项目基本概况介绍、用途：具体详见竞争性磋商文件。</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最高限价（如有）：/</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合同履约期限：</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初步</w:t>
      </w:r>
      <w:r>
        <w:rPr>
          <w:rFonts w:hint="eastAsia" w:ascii="宋体" w:hAnsi="宋体" w:eastAsia="宋体" w:cs="宋体"/>
          <w:color w:val="000000" w:themeColor="text1"/>
          <w:kern w:val="2"/>
          <w:sz w:val="21"/>
          <w:szCs w:val="21"/>
          <w:highlight w:val="none"/>
          <w14:textFill>
            <w14:solidFill>
              <w14:schemeClr w14:val="tx1"/>
            </w14:solidFill>
          </w14:textFill>
        </w:rPr>
        <w:t>设计</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含概算编制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签订合同之日起</w:t>
      </w:r>
      <w:r>
        <w:rPr>
          <w:rFonts w:hint="eastAsia" w:ascii="宋体" w:hAnsi="宋体" w:eastAsia="宋体" w:cs="宋体"/>
          <w:color w:val="000000" w:themeColor="text1"/>
          <w:kern w:val="2"/>
          <w:sz w:val="21"/>
          <w:szCs w:val="21"/>
          <w:highlight w:val="none"/>
          <w14:textFill>
            <w14:solidFill>
              <w14:schemeClr w14:val="tx1"/>
            </w14:solidFill>
          </w14:textFill>
        </w:rPr>
        <w:t>15日历天完成；施工图设计：</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初步设计批复后20</w:t>
      </w:r>
      <w:r>
        <w:rPr>
          <w:rFonts w:hint="eastAsia" w:ascii="宋体" w:hAnsi="宋体" w:eastAsia="宋体" w:cs="宋体"/>
          <w:color w:val="000000" w:themeColor="text1"/>
          <w:kern w:val="2"/>
          <w:sz w:val="21"/>
          <w:szCs w:val="21"/>
          <w:highlight w:val="none"/>
          <w14:textFill>
            <w14:solidFill>
              <w14:schemeClr w14:val="tx1"/>
            </w14:solidFill>
          </w14:textFill>
        </w:rPr>
        <w:t>日历天内完成。</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本标项（否）接受联合体投标</w:t>
      </w:r>
    </w:p>
    <w:bookmarkEnd w:id="7"/>
    <w:p>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bookmarkStart w:id="8" w:name="_Toc28359080"/>
      <w:bookmarkStart w:id="9" w:name="_Toc35393791"/>
      <w:bookmarkStart w:id="10" w:name="_Toc28359003"/>
      <w:bookmarkStart w:id="11" w:name="_Toc35393622"/>
      <w:r>
        <w:rPr>
          <w:rFonts w:hint="eastAsia" w:ascii="宋体" w:hAnsi="宋体" w:eastAsia="宋体" w:cs="宋体"/>
          <w:b/>
          <w:bCs/>
          <w:color w:val="000000" w:themeColor="text1"/>
          <w:szCs w:val="21"/>
          <w:highlight w:val="none"/>
          <w14:textFill>
            <w14:solidFill>
              <w14:schemeClr w14:val="tx1"/>
            </w14:solidFill>
          </w14:textFill>
        </w:rPr>
        <w:t>二、申请人的资格要求：</w:t>
      </w:r>
      <w:bookmarkEnd w:id="8"/>
      <w:bookmarkEnd w:id="9"/>
      <w:bookmarkEnd w:id="10"/>
      <w:bookmarkEnd w:id="11"/>
    </w:p>
    <w:p>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1.满足《中华人民共和国政府采购法》第二十二条规定；</w:t>
      </w:r>
    </w:p>
    <w:p>
      <w:pPr>
        <w:wordWrap/>
        <w:snapToGrid/>
        <w:spacing w:line="440" w:lineRule="exact"/>
        <w:ind w:firstLine="420" w:firstLineChars="200"/>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bookmarkStart w:id="12" w:name="_Toc28359004"/>
      <w:bookmarkStart w:id="13" w:name="_Toc28359081"/>
      <w:r>
        <w:rPr>
          <w:rFonts w:hint="eastAsia" w:ascii="宋体" w:hAnsi="宋体" w:eastAsia="宋体" w:cs="宋体"/>
          <w:color w:val="000000" w:themeColor="text1"/>
          <w:szCs w:val="21"/>
          <w:highlight w:val="none"/>
          <w14:textFill>
            <w14:solidFill>
              <w14:schemeClr w14:val="tx1"/>
            </w14:solidFill>
          </w14:textFill>
        </w:rPr>
        <w:t>.落实政府采购政策需满足的资格要求：</w:t>
      </w:r>
      <w:r>
        <w:rPr>
          <w:rFonts w:hint="eastAsia" w:ascii="宋体" w:hAnsi="宋体" w:eastAsia="宋体" w:cs="宋体"/>
          <w:color w:val="000000" w:themeColor="text1"/>
          <w:szCs w:val="21"/>
          <w:highlight w:val="none"/>
          <w:lang w:val="en-US" w:eastAsia="zh-CN"/>
          <w14:textFill>
            <w14:solidFill>
              <w14:schemeClr w14:val="tx1"/>
            </w14:solidFill>
          </w14:textFill>
        </w:rPr>
        <w:t>无</w:t>
      </w:r>
    </w:p>
    <w:p>
      <w:pPr>
        <w:wordWrap/>
        <w:snapToGrid/>
        <w:spacing w:line="440" w:lineRule="exact"/>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3.本项目的特定资格要求：供应商须</w:t>
      </w:r>
      <w:r>
        <w:rPr>
          <w:rFonts w:hint="eastAsia" w:ascii="宋体" w:hAnsi="宋体" w:eastAsia="宋体" w:cs="宋体"/>
          <w:color w:val="000000" w:themeColor="text1"/>
          <w:szCs w:val="21"/>
          <w:highlight w:val="none"/>
          <w:lang w:val="en-US" w:eastAsia="zh-CN"/>
          <w14:textFill>
            <w14:solidFill>
              <w14:schemeClr w14:val="tx1"/>
            </w14:solidFill>
          </w14:textFill>
        </w:rPr>
        <w:t>具备</w:t>
      </w:r>
      <w:r>
        <w:rPr>
          <w:rFonts w:hint="eastAsia" w:ascii="宋体" w:hAnsi="宋体" w:eastAsia="宋体" w:cs="宋体"/>
          <w:color w:val="000000" w:themeColor="text1"/>
          <w:szCs w:val="21"/>
          <w:highlight w:val="none"/>
          <w14:textFill>
            <w14:solidFill>
              <w14:schemeClr w14:val="tx1"/>
            </w14:solidFill>
          </w14:textFill>
        </w:rPr>
        <w:t>工程设计综合资质</w:t>
      </w:r>
      <w:r>
        <w:rPr>
          <w:rFonts w:hint="eastAsia" w:ascii="宋体" w:hAnsi="宋体" w:eastAsia="宋体" w:cs="宋体"/>
          <w:color w:val="000000" w:themeColor="text1"/>
          <w:szCs w:val="21"/>
          <w:highlight w:val="none"/>
          <w:lang w:val="en-US" w:eastAsia="zh-CN"/>
          <w14:textFill>
            <w14:solidFill>
              <w14:schemeClr w14:val="tx1"/>
            </w14:solidFill>
          </w14:textFill>
        </w:rPr>
        <w:t>或</w:t>
      </w:r>
      <w:r>
        <w:rPr>
          <w:rFonts w:hint="eastAsia" w:ascii="宋体" w:hAnsi="宋体" w:eastAsia="宋体" w:cs="宋体"/>
          <w:color w:val="000000" w:themeColor="text1"/>
          <w:szCs w:val="21"/>
          <w:highlight w:val="none"/>
          <w14:textFill>
            <w14:solidFill>
              <w14:schemeClr w14:val="tx1"/>
            </w14:solidFill>
          </w14:textFill>
        </w:rPr>
        <w:t>同时具备建筑行业</w:t>
      </w:r>
      <w:r>
        <w:rPr>
          <w:rFonts w:hint="eastAsia" w:ascii="宋体" w:hAnsi="宋体" w:eastAsia="宋体" w:cs="宋体"/>
          <w:color w:val="000000" w:themeColor="text1"/>
          <w:szCs w:val="21"/>
          <w:highlight w:val="none"/>
          <w:lang w:val="en-US" w:eastAsia="zh-CN"/>
          <w14:textFill>
            <w14:solidFill>
              <w14:schemeClr w14:val="tx1"/>
            </w14:solidFill>
          </w14:textFill>
        </w:rPr>
        <w:t>乙级及以上资质（或</w:t>
      </w:r>
      <w:r>
        <w:rPr>
          <w:rFonts w:hint="eastAsia" w:ascii="宋体" w:hAnsi="宋体" w:eastAsia="宋体" w:cs="宋体"/>
          <w:color w:val="000000" w:themeColor="text1"/>
          <w:szCs w:val="21"/>
          <w:highlight w:val="none"/>
          <w14:textFill>
            <w14:solidFill>
              <w14:schemeClr w14:val="tx1"/>
            </w14:solidFill>
          </w14:textFill>
        </w:rPr>
        <w:t>建筑工程</w:t>
      </w:r>
      <w:r>
        <w:rPr>
          <w:rFonts w:hint="eastAsia" w:ascii="宋体" w:hAnsi="宋体" w:eastAsia="宋体" w:cs="宋体"/>
          <w:color w:val="000000" w:themeColor="text1"/>
          <w:szCs w:val="21"/>
          <w:highlight w:val="none"/>
          <w:lang w:val="en-US" w:eastAsia="zh-CN"/>
          <w14:textFill>
            <w14:solidFill>
              <w14:schemeClr w14:val="tx1"/>
            </w14:solidFill>
          </w14:textFill>
        </w:rPr>
        <w:t>专业</w:t>
      </w:r>
      <w:r>
        <w:rPr>
          <w:rFonts w:hint="eastAsia" w:ascii="宋体" w:hAnsi="宋体" w:eastAsia="宋体" w:cs="宋体"/>
          <w:color w:val="000000" w:themeColor="text1"/>
          <w:szCs w:val="21"/>
          <w:highlight w:val="none"/>
          <w14:textFill>
            <w14:solidFill>
              <w14:schemeClr w14:val="tx1"/>
            </w14:solidFill>
          </w14:textFill>
        </w:rPr>
        <w:t>丙级及以上资质</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及市政行业（给水工程、排水工程、道路工程）设计丙级及以上资质或市政行业（燃气工程、轨道交通工程除外）乙级及以上资质；拟派项目负责人须具备</w:t>
      </w:r>
      <w:r>
        <w:rPr>
          <w:rFonts w:hint="eastAsia" w:ascii="宋体" w:hAnsi="宋体" w:cs="宋体"/>
          <w:color w:val="000000" w:themeColor="text1"/>
          <w:szCs w:val="21"/>
          <w:highlight w:val="none"/>
          <w:lang w:val="en-US" w:eastAsia="zh-CN"/>
          <w14:textFill>
            <w14:solidFill>
              <w14:schemeClr w14:val="tx1"/>
            </w14:solidFill>
          </w14:textFill>
        </w:rPr>
        <w:t>道路与桥梁高级</w:t>
      </w:r>
      <w:r>
        <w:rPr>
          <w:rFonts w:hint="eastAsia" w:ascii="宋体" w:hAnsi="宋体" w:eastAsia="宋体" w:cs="宋体"/>
          <w:color w:val="000000" w:themeColor="text1"/>
          <w:szCs w:val="21"/>
          <w:highlight w:val="none"/>
          <w14:textFill>
            <w14:solidFill>
              <w14:schemeClr w14:val="tx1"/>
            </w14:solidFill>
          </w14:textFill>
        </w:rPr>
        <w:t>工程师及以上职称（必须为</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单位注册人员）。</w:t>
      </w:r>
    </w:p>
    <w:p>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bookmarkStart w:id="14" w:name="_Toc35393623"/>
      <w:bookmarkStart w:id="15" w:name="_Toc35393792"/>
      <w:r>
        <w:rPr>
          <w:rFonts w:hint="eastAsia" w:ascii="宋体" w:hAnsi="宋体" w:eastAsia="宋体" w:cs="宋体"/>
          <w:b/>
          <w:bCs/>
          <w:color w:val="000000" w:themeColor="text1"/>
          <w:szCs w:val="21"/>
          <w:highlight w:val="none"/>
          <w14:textFill>
            <w14:solidFill>
              <w14:schemeClr w14:val="tx1"/>
            </w14:solidFill>
          </w14:textFill>
        </w:rPr>
        <w:t>三、</w:t>
      </w:r>
      <w:bookmarkEnd w:id="12"/>
      <w:bookmarkEnd w:id="13"/>
      <w:bookmarkEnd w:id="14"/>
      <w:bookmarkEnd w:id="15"/>
      <w:r>
        <w:rPr>
          <w:rFonts w:hint="eastAsia" w:ascii="宋体" w:hAnsi="宋体" w:eastAsia="宋体" w:cs="宋体"/>
          <w:b/>
          <w:bCs/>
          <w:color w:val="000000" w:themeColor="text1"/>
          <w:szCs w:val="21"/>
          <w:highlight w:val="none"/>
          <w14:textFill>
            <w14:solidFill>
              <w14:schemeClr w14:val="tx1"/>
            </w14:solidFill>
          </w14:textFill>
        </w:rPr>
        <w:t>获取采购文件</w:t>
      </w:r>
    </w:p>
    <w:p>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bookmarkStart w:id="16" w:name="_Toc28359005"/>
      <w:bookmarkStart w:id="17" w:name="_Toc35393793"/>
      <w:bookmarkStart w:id="18" w:name="_Toc28359082"/>
      <w:bookmarkStart w:id="19" w:name="_Toc35393624"/>
      <w:r>
        <w:rPr>
          <w:rFonts w:hint="eastAsia" w:ascii="宋体" w:hAnsi="宋体" w:eastAsia="宋体" w:cs="宋体"/>
          <w:color w:val="000000" w:themeColor="text1"/>
          <w:szCs w:val="21"/>
          <w:highlight w:val="none"/>
          <w14:textFill>
            <w14:solidFill>
              <w14:schemeClr w14:val="tx1"/>
            </w14:solidFill>
          </w14:textFill>
        </w:rPr>
        <w:t>时间：自发布公告之时至磋商截止时间止。</w:t>
      </w:r>
    </w:p>
    <w:p>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地点（网址）：广西政府采购云平台（https://www.gcy.zfcg.gxzf.gov.cn/）。</w:t>
      </w:r>
    </w:p>
    <w:p>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方式：潜在供应商应登录广西政府采购云平台https://www.gcy.zfcg.gxzf.gov.cn/在线申请获取采购文件（进入“项目采购”应用，在获取采购文件菜单中选择项目，申请获取采购文件）。</w:t>
      </w:r>
    </w:p>
    <w:p>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售价（元）：0。</w:t>
      </w:r>
    </w:p>
    <w:p>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四、</w:t>
      </w:r>
      <w:bookmarkEnd w:id="16"/>
      <w:bookmarkEnd w:id="17"/>
      <w:bookmarkEnd w:id="18"/>
      <w:bookmarkEnd w:id="19"/>
      <w:r>
        <w:rPr>
          <w:rFonts w:hint="eastAsia" w:ascii="宋体" w:hAnsi="宋体" w:eastAsia="宋体" w:cs="宋体"/>
          <w:b/>
          <w:bCs/>
          <w:color w:val="000000" w:themeColor="text1"/>
          <w:szCs w:val="21"/>
          <w:highlight w:val="none"/>
          <w14:textFill>
            <w14:solidFill>
              <w14:schemeClr w14:val="tx1"/>
            </w14:solidFill>
          </w14:textFill>
        </w:rPr>
        <w:t>响应文件递交</w:t>
      </w:r>
    </w:p>
    <w:p>
      <w:pPr>
        <w:wordWrap/>
        <w:snapToGrid/>
        <w:spacing w:line="440" w:lineRule="exact"/>
        <w:ind w:firstLine="420" w:firstLineChars="200"/>
        <w:textAlignment w:val="auto"/>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截止时间：2024年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09</w:t>
      </w:r>
      <w:r>
        <w:rPr>
          <w:rFonts w:hint="eastAsia" w:ascii="宋体" w:hAnsi="宋体" w:eastAsia="宋体" w:cs="宋体"/>
          <w:color w:val="000000" w:themeColor="text1"/>
          <w:szCs w:val="21"/>
          <w:highlight w:val="none"/>
          <w:shd w:val="clear" w:color="auto" w:fill="FFFFFF"/>
          <w14:textFill>
            <w14:solidFill>
              <w14:schemeClr w14:val="tx1"/>
            </w14:solidFill>
          </w14:textFill>
        </w:rPr>
        <w:t>点30分（北京时间）</w:t>
      </w:r>
    </w:p>
    <w:p>
      <w:pPr>
        <w:wordWrap/>
        <w:snapToGrid/>
        <w:spacing w:line="440" w:lineRule="exact"/>
        <w:ind w:firstLine="420" w:firstLineChars="200"/>
        <w:textAlignment w:val="auto"/>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地点（网址）：通过广西政府采购云平台实行在线响应。</w:t>
      </w:r>
    </w:p>
    <w:p>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bookmarkStart w:id="20" w:name="_Toc28359084"/>
      <w:bookmarkStart w:id="21" w:name="_Toc28359007"/>
      <w:bookmarkStart w:id="22" w:name="_Toc35393625"/>
      <w:bookmarkStart w:id="23" w:name="_Toc35393794"/>
      <w:r>
        <w:rPr>
          <w:rFonts w:hint="eastAsia" w:ascii="宋体" w:hAnsi="宋体" w:eastAsia="宋体" w:cs="宋体"/>
          <w:b/>
          <w:bCs/>
          <w:color w:val="000000" w:themeColor="text1"/>
          <w:szCs w:val="21"/>
          <w:highlight w:val="none"/>
          <w14:textFill>
            <w14:solidFill>
              <w14:schemeClr w14:val="tx1"/>
            </w14:solidFill>
          </w14:textFill>
        </w:rPr>
        <w:t>五、响应文件开启</w:t>
      </w:r>
    </w:p>
    <w:p>
      <w:pPr>
        <w:wordWrap/>
        <w:snapToGrid/>
        <w:spacing w:line="440" w:lineRule="exact"/>
        <w:ind w:firstLine="420" w:firstLineChars="200"/>
        <w:textAlignment w:val="auto"/>
        <w:rPr>
          <w:rFonts w:hint="eastAsia" w:ascii="宋体" w:hAnsi="宋体" w:eastAsia="宋体" w:cs="宋体"/>
          <w:color w:val="000000" w:themeColor="text1"/>
          <w:szCs w:val="21"/>
          <w:highlight w:val="none"/>
          <w:shd w:val="clear" w:color="auto" w:fill="FFFFFF"/>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开启时间：2024年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08</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09</w:t>
      </w:r>
      <w:r>
        <w:rPr>
          <w:rFonts w:hint="eastAsia" w:ascii="宋体" w:hAnsi="宋体" w:eastAsia="宋体" w:cs="宋体"/>
          <w:color w:val="000000" w:themeColor="text1"/>
          <w:szCs w:val="21"/>
          <w:highlight w:val="none"/>
          <w:shd w:val="clear" w:color="auto" w:fill="FFFFFF"/>
          <w14:textFill>
            <w14:solidFill>
              <w14:schemeClr w14:val="tx1"/>
            </w14:solidFill>
          </w14:textFill>
        </w:rPr>
        <w:t>点30分（北京时间）</w:t>
      </w:r>
    </w:p>
    <w:p>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shd w:val="clear" w:color="auto" w:fill="FFFFFF"/>
          <w14:textFill>
            <w14:solidFill>
              <w14:schemeClr w14:val="tx1"/>
            </w14:solidFill>
          </w14:textFill>
        </w:rPr>
        <w:t>地点：通过</w:t>
      </w:r>
      <w:r>
        <w:rPr>
          <w:rFonts w:hint="eastAsia" w:ascii="宋体" w:hAnsi="宋体" w:eastAsia="宋体" w:cs="宋体"/>
          <w:color w:val="000000" w:themeColor="text1"/>
          <w:szCs w:val="21"/>
          <w:highlight w:val="none"/>
          <w:lang w:val="en-US" w:eastAsia="zh-CN"/>
          <w14:textFill>
            <w14:solidFill>
              <w14:schemeClr w14:val="tx1"/>
            </w14:solidFill>
          </w14:textFill>
        </w:rPr>
        <w:t>广西政府采购云</w:t>
      </w:r>
      <w:r>
        <w:rPr>
          <w:rFonts w:hint="eastAsia" w:ascii="宋体" w:hAnsi="宋体" w:eastAsia="宋体" w:cs="宋体"/>
          <w:color w:val="000000" w:themeColor="text1"/>
          <w:szCs w:val="21"/>
          <w:highlight w:val="none"/>
          <w:shd w:val="clear" w:color="auto" w:fill="FFFFFF"/>
          <w14:textFill>
            <w14:solidFill>
              <w14:schemeClr w14:val="tx1"/>
            </w14:solidFill>
          </w14:textFill>
        </w:rPr>
        <w:t>平台实行在线解密开启。</w:t>
      </w:r>
    </w:p>
    <w:p>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六、公告期限</w:t>
      </w:r>
      <w:bookmarkEnd w:id="20"/>
      <w:bookmarkEnd w:id="21"/>
      <w:bookmarkEnd w:id="22"/>
      <w:bookmarkEnd w:id="23"/>
    </w:p>
    <w:p>
      <w:pPr>
        <w:wordWrap/>
        <w:snapToGrid/>
        <w:spacing w:line="440" w:lineRule="exact"/>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自本公告发布之日起</w:t>
      </w:r>
      <w:r>
        <w:rPr>
          <w:rFonts w:hint="eastAsia" w:ascii="宋体" w:hAnsi="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个工作日。</w:t>
      </w:r>
    </w:p>
    <w:p>
      <w:pPr>
        <w:wordWrap/>
        <w:snapToGrid/>
        <w:spacing w:line="440" w:lineRule="exact"/>
        <w:textAlignment w:val="auto"/>
        <w:rPr>
          <w:rFonts w:hint="eastAsia" w:ascii="宋体" w:hAnsi="宋体" w:eastAsia="宋体" w:cs="宋体"/>
          <w:b/>
          <w:bCs/>
          <w:color w:val="000000" w:themeColor="text1"/>
          <w:highlight w:val="none"/>
          <w14:textFill>
            <w14:solidFill>
              <w14:schemeClr w14:val="tx1"/>
            </w14:solidFill>
          </w14:textFill>
        </w:rPr>
      </w:pPr>
      <w:bookmarkStart w:id="24" w:name="_Toc35393795"/>
      <w:bookmarkStart w:id="25" w:name="_Toc35393626"/>
      <w:r>
        <w:rPr>
          <w:rFonts w:hint="eastAsia" w:ascii="宋体" w:hAnsi="宋体" w:eastAsia="宋体" w:cs="宋体"/>
          <w:b/>
          <w:bCs/>
          <w:color w:val="000000" w:themeColor="text1"/>
          <w:szCs w:val="21"/>
          <w:highlight w:val="none"/>
          <w14:textFill>
            <w14:solidFill>
              <w14:schemeClr w14:val="tx1"/>
            </w14:solidFill>
          </w14:textFill>
        </w:rPr>
        <w:t>七、其他补充事宜</w:t>
      </w:r>
      <w:bookmarkEnd w:id="24"/>
      <w:bookmarkEnd w:id="25"/>
    </w:p>
    <w:p>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1.本项目信息发布媒体：中国政府采购网（http://www.ccgp.gov.cn）、广西壮族自治区政府采购网（http://zfcg.gxzf.gov.cn）、桂林市政府采购网（http://zfcg.czj.guilin.gov.cn）。</w:t>
      </w:r>
    </w:p>
    <w:p>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2.本项目需要落实的政府采购政策：</w:t>
      </w:r>
    </w:p>
    <w:p>
      <w:pPr>
        <w:wordWrap/>
        <w:snapToGrid/>
        <w:spacing w:line="44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（1）本项目</w:t>
      </w:r>
      <w:r>
        <w:rPr>
          <w:rFonts w:hint="eastAsia" w:ascii="宋体" w:hAnsi="宋体" w:eastAsia="宋体" w:cs="宋体"/>
          <w:color w:val="000000" w:themeColor="text1"/>
          <w:szCs w:val="21"/>
          <w:highlight w:val="none"/>
          <w:lang w:val="en-US" w:eastAsia="zh-CN"/>
          <w14:textFill>
            <w14:solidFill>
              <w14:schemeClr w14:val="tx1"/>
            </w14:solidFill>
          </w14:textFill>
        </w:rPr>
        <w:t>非</w:t>
      </w:r>
      <w:r>
        <w:rPr>
          <w:rFonts w:hint="eastAsia" w:ascii="宋体" w:hAnsi="宋体" w:eastAsia="宋体" w:cs="宋体"/>
          <w:color w:val="000000" w:themeColor="text1"/>
          <w:szCs w:val="21"/>
          <w:highlight w:val="none"/>
          <w14:textFill>
            <w14:solidFill>
              <w14:schemeClr w14:val="tx1"/>
            </w14:solidFill>
          </w14:textFill>
        </w:rPr>
        <w:t>专门面向中小企业采购的项目；</w:t>
      </w:r>
    </w:p>
    <w:p>
      <w:pPr>
        <w:wordWrap/>
        <w:snapToGrid/>
        <w:spacing w:line="44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（2）政府采购支持监狱企业发展；</w:t>
      </w:r>
    </w:p>
    <w:p>
      <w:pPr>
        <w:wordWrap/>
        <w:snapToGrid/>
        <w:spacing w:line="44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（3）政府采购促进残疾人就业政策；</w:t>
      </w:r>
    </w:p>
    <w:p>
      <w:pPr>
        <w:wordWrap/>
        <w:snapToGrid/>
        <w:spacing w:line="44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（4）政府采购支持采用本国产品的政策；</w:t>
      </w:r>
    </w:p>
    <w:p>
      <w:pPr>
        <w:wordWrap/>
        <w:snapToGrid/>
        <w:spacing w:line="440" w:lineRule="exact"/>
        <w:ind w:firstLine="42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（5）优先采购节能产品、环境标志产品。</w:t>
      </w:r>
    </w:p>
    <w:p>
      <w:pPr>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3.项目所属行业：</w:t>
      </w:r>
      <w:r>
        <w:rPr>
          <w:rFonts w:hint="eastAsia" w:ascii="宋体" w:hAnsi="宋体" w:eastAsia="宋体" w:cs="宋体"/>
          <w:color w:val="000000" w:themeColor="text1"/>
          <w:szCs w:val="21"/>
          <w:highlight w:val="none"/>
          <w:u w:val="single"/>
          <w14:textFill>
            <w14:solidFill>
              <w14:schemeClr w14:val="tx1"/>
            </w14:solidFill>
          </w14:textFill>
        </w:rPr>
        <w:t>其他末列明行业</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bookmarkStart w:id="26" w:name="_Toc28359008"/>
      <w:bookmarkStart w:id="27" w:name="_Toc28359085"/>
      <w:bookmarkStart w:id="28" w:name="_Toc35393796"/>
      <w:bookmarkStart w:id="29" w:name="_Toc35393627"/>
      <w:r>
        <w:rPr>
          <w:rFonts w:hint="eastAsia" w:ascii="宋体" w:hAnsi="宋体" w:eastAsia="宋体" w:cs="宋体"/>
          <w:color w:val="000000" w:themeColor="text1"/>
          <w:kern w:val="2"/>
          <w:sz w:val="21"/>
          <w:szCs w:val="21"/>
          <w:highlight w:val="none"/>
          <w14:textFill>
            <w14:solidFill>
              <w14:schemeClr w14:val="tx1"/>
            </w14:solidFill>
          </w14:textFill>
        </w:rPr>
        <w:t>4.在线响应（电子响应）说明</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本项目通过广西政府采购云平台实行在线响应（电子响应），供应商需要先安装“广西政府采购云平台电子交易客户端”，并按照本磋商文件和广西政府采购云平台的要求，通过“广西政府采购云平台电子交易客户端”编制并加密响应文件。供应商未按规定编制并加密的响应文件，广西政府采购云平台将予以拒收。</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广西政府采购云平台电子交易客户端”请自行前往广西政府采购网下载并安装（广西政府采购网（访问地址http://zfcg.gxzf.gov.cn/）—办事服务—下载专区）；电子响应具体操作流程参考《政府采购项目电子交易管理操作指南-供应商》；在使用广西政府采购云平台投标客户端时，建议使用WIN7及以上操作系统，通过广西政府采购云平台参与在线响应时如遇平台技术问题详询400-881-7190或95763。</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为确保网上操作合法、有效和安全，磋商供应商应当在磋商截止时间前完成在“政府采购云平台”的身份认证，确保在电子响应过程中能够对相关数据电文进行加密和使用电子签章。使用“广西政府采购云平台电子交易客户端”需要提前申领CA数字证书，申领流程请自行前往广西政府采购云平台网站进行查阅；（完成CA数字证书办理预计一周左右，建议供应商获取竞争性磋商文件后立即办理。）</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磋商供应商应当在磋商截止时间前，将生成的“电子磋商响应文件”上传递交至广西政府采购云平台。响应文件递交截止时间前可以撤回电子磋商响应文件。补充或者修改电子磋商响应文件的，应当先行撤回原文件，补充、修改后重新传输递交，磋商响应文件递交截止时间前未完成传输的，视为撤回磋商响应文件。</w:t>
      </w:r>
    </w:p>
    <w:p>
      <w:pPr>
        <w:pStyle w:val="57"/>
        <w:wordWrap/>
        <w:snapToGrid/>
        <w:spacing w:line="440" w:lineRule="exact"/>
        <w:ind w:firstLine="420" w:firstLineChars="20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（4）本项目需要磋商供应商代表在截标当天截标后，按磋商小组要求及时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登录</w:t>
      </w:r>
      <w:r>
        <w:rPr>
          <w:rFonts w:hint="eastAsia" w:ascii="宋体" w:hAnsi="宋体" w:eastAsia="宋体" w:cs="宋体"/>
          <w:color w:val="000000" w:themeColor="text1"/>
          <w:kern w:val="2"/>
          <w:sz w:val="21"/>
          <w:szCs w:val="21"/>
          <w:highlight w:val="none"/>
          <w14:textFill>
            <w14:solidFill>
              <w14:schemeClr w14:val="tx1"/>
            </w14:solidFill>
          </w14:textFill>
        </w:rPr>
        <w:t>广西政府采购云平台等候在线磋商及提交最后报价。</w:t>
      </w:r>
    </w:p>
    <w:p>
      <w:pPr>
        <w:pStyle w:val="57"/>
        <w:wordWrap/>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p>
    <w:p>
      <w:pPr>
        <w:wordWrap/>
        <w:snapToGrid/>
        <w:spacing w:line="44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八、对本次采购提出询问，请按以下方式联系。</w:t>
      </w:r>
      <w:bookmarkEnd w:id="26"/>
      <w:bookmarkEnd w:id="27"/>
      <w:bookmarkEnd w:id="28"/>
      <w:bookmarkEnd w:id="29"/>
    </w:p>
    <w:p>
      <w:pPr>
        <w:widowControl/>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1.采购人信息</w:t>
      </w:r>
    </w:p>
    <w:p>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lang w:eastAsia="zh-CN"/>
          <w14:textFill>
            <w14:solidFill>
              <w14:schemeClr w14:val="tx1"/>
            </w14:solidFill>
          </w14:textFill>
        </w:rPr>
        <w:t>桂林市秀峰区住房和城乡建设局</w:t>
      </w:r>
    </w:p>
    <w:p>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bookmarkStart w:id="30" w:name="_Toc28359086"/>
      <w:bookmarkStart w:id="31" w:name="_Toc28359009"/>
      <w:r>
        <w:rPr>
          <w:rFonts w:hint="eastAsia" w:ascii="宋体" w:hAnsi="宋体" w:eastAsia="宋体" w:cs="宋体"/>
          <w:color w:val="000000" w:themeColor="text1"/>
          <w:szCs w:val="21"/>
          <w:highlight w:val="none"/>
          <w14:textFill>
            <w14:solidFill>
              <w14:schemeClr w14:val="tx1"/>
            </w14:solidFill>
          </w14:textFill>
        </w:rPr>
        <w:t xml:space="preserve">地址： </w:t>
      </w:r>
      <w:r>
        <w:rPr>
          <w:rFonts w:hint="eastAsia" w:ascii="宋体" w:hAnsi="宋体" w:eastAsia="宋体" w:cs="宋体"/>
          <w:color w:val="000000" w:themeColor="text1"/>
          <w:szCs w:val="21"/>
          <w:highlight w:val="none"/>
          <w:lang w:eastAsia="zh-CN"/>
          <w14:textFill>
            <w14:solidFill>
              <w14:schemeClr w14:val="tx1"/>
            </w14:solidFill>
          </w14:textFill>
        </w:rPr>
        <w:t>秀峰区中隐路31-2号孵化中心B座三层</w:t>
      </w:r>
    </w:p>
    <w:p>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r>
        <w:rPr>
          <w:rFonts w:hint="eastAsia" w:ascii="宋体" w:hAnsi="宋体" w:eastAsia="宋体" w:cs="宋体"/>
          <w:color w:val="000000" w:themeColor="text1"/>
          <w:szCs w:val="21"/>
          <w:highlight w:val="none"/>
          <w:lang w:eastAsia="zh-CN"/>
          <w14:textFill>
            <w14:solidFill>
              <w14:schemeClr w14:val="tx1"/>
            </w14:solidFill>
          </w14:textFill>
        </w:rPr>
        <w:t>刘工</w:t>
      </w:r>
    </w:p>
    <w:p>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r>
        <w:rPr>
          <w:rFonts w:hint="eastAsia" w:ascii="宋体" w:hAnsi="宋体" w:eastAsia="宋体" w:cs="宋体"/>
          <w:color w:val="000000" w:themeColor="text1"/>
          <w:szCs w:val="21"/>
          <w:highlight w:val="none"/>
          <w:lang w:eastAsia="zh-CN"/>
          <w14:textFill>
            <w14:solidFill>
              <w14:schemeClr w14:val="tx1"/>
            </w14:solidFill>
          </w14:textFill>
        </w:rPr>
        <w:t>0773-2852840</w:t>
      </w:r>
    </w:p>
    <w:p>
      <w:pPr>
        <w:widowControl/>
        <w:wordWrap/>
        <w:snapToGrid/>
        <w:spacing w:line="44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2.采购代理机构信息</w:t>
      </w:r>
      <w:bookmarkEnd w:id="30"/>
      <w:bookmarkEnd w:id="31"/>
    </w:p>
    <w:p>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名称：</w:t>
      </w:r>
      <w:r>
        <w:rPr>
          <w:rFonts w:hint="eastAsia" w:ascii="宋体" w:hAnsi="宋体" w:eastAsia="宋体" w:cs="宋体"/>
          <w:color w:val="000000" w:themeColor="text1"/>
          <w:szCs w:val="21"/>
          <w:highlight w:val="none"/>
          <w:lang w:eastAsia="zh-CN"/>
          <w14:textFill>
            <w14:solidFill>
              <w14:schemeClr w14:val="tx1"/>
            </w14:solidFill>
          </w14:textFill>
        </w:rPr>
        <w:t>广西嘉弘项目管理有限公司</w:t>
      </w:r>
    </w:p>
    <w:p>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bookmarkStart w:id="32" w:name="_Toc12553"/>
      <w:bookmarkStart w:id="33" w:name="_Toc10387"/>
      <w:r>
        <w:rPr>
          <w:rFonts w:hint="eastAsia" w:ascii="宋体" w:hAnsi="宋体" w:eastAsia="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highlight w:val="none"/>
          <w:lang w:eastAsia="zh-CN"/>
          <w14:textFill>
            <w14:solidFill>
              <w14:schemeClr w14:val="tx1"/>
            </w14:solidFill>
          </w14:textFill>
        </w:rPr>
        <w:t>桂林市秀峰区翠竹路23号41栋1号</w:t>
      </w:r>
    </w:p>
    <w:p>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项目联系人：</w:t>
      </w:r>
      <w:r>
        <w:rPr>
          <w:rFonts w:hint="eastAsia" w:ascii="宋体" w:hAnsi="宋体" w:eastAsia="宋体" w:cs="宋体"/>
          <w:color w:val="000000" w:themeColor="text1"/>
          <w:szCs w:val="21"/>
          <w:highlight w:val="none"/>
          <w:lang w:eastAsia="zh-CN"/>
          <w14:textFill>
            <w14:solidFill>
              <w14:schemeClr w14:val="tx1"/>
            </w14:solidFill>
          </w14:textFill>
        </w:rPr>
        <w:t>申越</w:t>
      </w:r>
    </w:p>
    <w:p>
      <w:pPr>
        <w:widowControl/>
        <w:wordWrap/>
        <w:snapToGrid/>
        <w:spacing w:line="440" w:lineRule="exact"/>
        <w:ind w:firstLine="630" w:firstLineChars="3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bookmarkStart w:id="34" w:name="_Toc28359087"/>
      <w:bookmarkStart w:id="35" w:name="_Toc28359010"/>
      <w:r>
        <w:rPr>
          <w:rFonts w:hint="eastAsia" w:ascii="宋体" w:hAnsi="宋体" w:eastAsia="宋体" w:cs="宋体"/>
          <w:color w:val="000000" w:themeColor="text1"/>
          <w:highlight w:val="none"/>
          <w:lang w:eastAsia="zh-CN"/>
          <w14:textFill>
            <w14:solidFill>
              <w14:schemeClr w14:val="tx1"/>
            </w14:solidFill>
          </w14:textFill>
        </w:rPr>
        <w:t>0773-3861313</w:t>
      </w:r>
    </w:p>
    <w:bookmarkEnd w:id="34"/>
    <w:bookmarkEnd w:id="35"/>
    <w:p>
      <w:pPr>
        <w:jc w:val="center"/>
        <w:outlineLvl w:val="0"/>
        <w:rPr>
          <w:rFonts w:ascii="Tahoma" w:hAnsi="Tahoma"/>
          <w:b/>
          <w:bCs/>
          <w:color w:val="000000" w:themeColor="text1"/>
          <w:kern w:val="44"/>
          <w:sz w:val="32"/>
          <w:szCs w:val="44"/>
          <w:highlight w:val="none"/>
          <w14:textFill>
            <w14:solidFill>
              <w14:schemeClr w14:val="tx1"/>
            </w14:solidFill>
          </w14:textFill>
        </w:rPr>
      </w:pPr>
      <w:r>
        <w:rPr>
          <w:rFonts w:ascii="Tahoma" w:hAnsi="Tahoma"/>
          <w:b/>
          <w:bCs/>
          <w:color w:val="000000" w:themeColor="text1"/>
          <w:kern w:val="44"/>
          <w:sz w:val="32"/>
          <w:szCs w:val="44"/>
          <w:highlight w:val="none"/>
          <w14:textFill>
            <w14:solidFill>
              <w14:schemeClr w14:val="tx1"/>
            </w14:solidFill>
          </w14:textFill>
        </w:rPr>
        <w:br w:type="page"/>
      </w:r>
      <w:bookmarkStart w:id="36" w:name="_Toc19220"/>
      <w:r>
        <w:rPr>
          <w:rFonts w:ascii="Tahoma" w:hAnsi="Tahoma"/>
          <w:b/>
          <w:bCs/>
          <w:color w:val="000000" w:themeColor="text1"/>
          <w:kern w:val="44"/>
          <w:sz w:val="32"/>
          <w:szCs w:val="44"/>
          <w:highlight w:val="none"/>
          <w14:textFill>
            <w14:solidFill>
              <w14:schemeClr w14:val="tx1"/>
            </w14:solidFill>
          </w14:textFill>
        </w:rPr>
        <w:t xml:space="preserve">第二章  </w:t>
      </w:r>
      <w:r>
        <w:rPr>
          <w:rFonts w:hint="eastAsia" w:ascii="Tahoma" w:hAnsi="Tahoma"/>
          <w:b/>
          <w:bCs/>
          <w:color w:val="000000" w:themeColor="text1"/>
          <w:kern w:val="44"/>
          <w:sz w:val="32"/>
          <w:szCs w:val="44"/>
          <w:highlight w:val="none"/>
          <w14:textFill>
            <w14:solidFill>
              <w14:schemeClr w14:val="tx1"/>
            </w14:solidFill>
          </w14:textFill>
        </w:rPr>
        <w:t>供应商</w:t>
      </w:r>
      <w:r>
        <w:rPr>
          <w:rFonts w:ascii="Tahoma" w:hAnsi="Tahoma"/>
          <w:b/>
          <w:bCs/>
          <w:color w:val="000000" w:themeColor="text1"/>
          <w:kern w:val="44"/>
          <w:sz w:val="32"/>
          <w:szCs w:val="44"/>
          <w:highlight w:val="none"/>
          <w14:textFill>
            <w14:solidFill>
              <w14:schemeClr w14:val="tx1"/>
            </w14:solidFill>
          </w14:textFill>
        </w:rPr>
        <w:t>须知</w:t>
      </w:r>
      <w:bookmarkEnd w:id="32"/>
      <w:bookmarkEnd w:id="33"/>
      <w:bookmarkEnd w:id="36"/>
    </w:p>
    <w:p>
      <w:pPr>
        <w:tabs>
          <w:tab w:val="left" w:pos="1065"/>
          <w:tab w:val="center" w:pos="4411"/>
        </w:tabs>
        <w:spacing w:line="360" w:lineRule="exact"/>
        <w:jc w:val="center"/>
        <w:rPr>
          <w:rFonts w:ascii="Arial" w:hAnsi="Arial" w:cs="Arial"/>
          <w:b/>
          <w:color w:val="000000" w:themeColor="text1"/>
          <w:sz w:val="24"/>
          <w:highlight w:val="none"/>
          <w14:textFill>
            <w14:solidFill>
              <w14:schemeClr w14:val="tx1"/>
            </w14:solidFill>
          </w14:textFill>
        </w:rPr>
      </w:pPr>
      <w:bookmarkStart w:id="37" w:name="_Toc32042"/>
      <w:bookmarkStart w:id="38" w:name="_Toc495841753"/>
      <w:bookmarkStart w:id="39" w:name="_Toc9513"/>
      <w:bookmarkStart w:id="40" w:name="_Toc14327"/>
      <w:bookmarkStart w:id="41" w:name="_Toc7637"/>
      <w:bookmarkStart w:id="42" w:name="_Toc1615"/>
      <w:bookmarkStart w:id="43" w:name="_Toc29259"/>
      <w:bookmarkStart w:id="44" w:name="_Toc25500"/>
      <w:bookmarkStart w:id="45" w:name="_Toc4694"/>
      <w:bookmarkStart w:id="46" w:name="_Toc14222"/>
      <w:r>
        <w:rPr>
          <w:rFonts w:hint="eastAsia" w:ascii="Arial" w:hAnsi="Arial" w:cs="Arial"/>
          <w:b/>
          <w:color w:val="000000" w:themeColor="text1"/>
          <w:sz w:val="24"/>
          <w:highlight w:val="none"/>
          <w14:textFill>
            <w14:solidFill>
              <w14:schemeClr w14:val="tx1"/>
            </w14:solidFill>
          </w14:textFill>
        </w:rPr>
        <w:t>供应商</w:t>
      </w:r>
      <w:r>
        <w:rPr>
          <w:rFonts w:ascii="Arial" w:hAnsi="Arial" w:cs="Arial"/>
          <w:b/>
          <w:color w:val="000000" w:themeColor="text1"/>
          <w:sz w:val="24"/>
          <w:highlight w:val="none"/>
          <w14:textFill>
            <w14:solidFill>
              <w14:schemeClr w14:val="tx1"/>
            </w14:solidFill>
          </w14:textFill>
        </w:rPr>
        <w:t>须知前附表</w:t>
      </w:r>
      <w:bookmarkEnd w:id="37"/>
      <w:bookmarkEnd w:id="38"/>
      <w:bookmarkEnd w:id="39"/>
      <w:bookmarkEnd w:id="40"/>
      <w:bookmarkEnd w:id="41"/>
      <w:bookmarkEnd w:id="42"/>
      <w:bookmarkEnd w:id="43"/>
      <w:bookmarkEnd w:id="44"/>
      <w:bookmarkEnd w:id="45"/>
      <w:bookmarkEnd w:id="46"/>
    </w:p>
    <w:tbl>
      <w:tblPr>
        <w:tblStyle w:val="37"/>
        <w:tblW w:w="10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47"/>
        <w:gridCol w:w="1815"/>
        <w:gridCol w:w="6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dxa"/>
            <w:shd w:val="clear" w:color="auto" w:fill="8DB3E2"/>
            <w:vAlign w:val="center"/>
          </w:tcPr>
          <w:p>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序号</w:t>
            </w:r>
          </w:p>
        </w:tc>
        <w:tc>
          <w:tcPr>
            <w:tcW w:w="947" w:type="dxa"/>
            <w:shd w:val="clear" w:color="auto" w:fill="8DB3E2"/>
            <w:vAlign w:val="center"/>
          </w:tcPr>
          <w:p>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条款号</w:t>
            </w:r>
          </w:p>
        </w:tc>
        <w:tc>
          <w:tcPr>
            <w:tcW w:w="1815" w:type="dxa"/>
            <w:shd w:val="clear" w:color="auto" w:fill="8DB3E2"/>
            <w:vAlign w:val="center"/>
          </w:tcPr>
          <w:p>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条款名称</w:t>
            </w:r>
          </w:p>
        </w:tc>
        <w:tc>
          <w:tcPr>
            <w:tcW w:w="6984" w:type="dxa"/>
            <w:shd w:val="clear" w:color="auto" w:fill="8DB3E2"/>
            <w:vAlign w:val="center"/>
          </w:tcPr>
          <w:p>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采购项目名称及采购项目编号</w:t>
            </w:r>
          </w:p>
        </w:tc>
        <w:tc>
          <w:tcPr>
            <w:tcW w:w="6984" w:type="dxa"/>
            <w:vAlign w:val="center"/>
          </w:tcPr>
          <w:p>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桂林市秀峰区2024年老旧小区改造工程设计</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GLZC2024-C3-990684-GXJH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供应商资格</w:t>
            </w:r>
          </w:p>
        </w:tc>
        <w:tc>
          <w:tcPr>
            <w:tcW w:w="6984" w:type="dxa"/>
            <w:vAlign w:val="center"/>
          </w:tcPr>
          <w:p>
            <w:pPr>
              <w:pStyle w:val="57"/>
              <w:spacing w:line="360" w:lineRule="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4.1.满足《中华人民共和国政府采购法》第二十二条规定；</w:t>
            </w:r>
          </w:p>
          <w:p>
            <w:pPr>
              <w:pStyle w:val="57"/>
              <w:spacing w:line="360" w:lineRule="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4.2.</w:t>
            </w:r>
            <w:r>
              <w:rPr>
                <w:rFonts w:hint="eastAsia" w:ascii="宋体" w:hAnsi="宋体" w:eastAsia="宋体" w:cs="宋体"/>
                <w:bCs/>
                <w:color w:val="000000" w:themeColor="text1"/>
                <w:sz w:val="21"/>
                <w:szCs w:val="21"/>
                <w:highlight w:val="none"/>
                <w14:textFill>
                  <w14:solidFill>
                    <w14:schemeClr w14:val="tx1"/>
                  </w14:solidFill>
                </w14:textFill>
              </w:rPr>
              <w:t>落实政府采购政策需满足的资格要求：</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无；</w:t>
            </w:r>
          </w:p>
          <w:p>
            <w:pPr>
              <w:wordWrap/>
              <w:snapToGrid/>
              <w:spacing w:line="44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4.3.本项目的特定资格要求：</w:t>
            </w:r>
            <w:r>
              <w:rPr>
                <w:rFonts w:hint="eastAsia" w:ascii="宋体" w:hAnsi="宋体" w:eastAsia="宋体" w:cs="宋体"/>
                <w:color w:val="000000" w:themeColor="text1"/>
                <w:szCs w:val="21"/>
                <w:highlight w:val="none"/>
                <w14:textFill>
                  <w14:solidFill>
                    <w14:schemeClr w14:val="tx1"/>
                  </w14:solidFill>
                </w14:textFill>
              </w:rPr>
              <w:t>供应商须</w:t>
            </w:r>
            <w:r>
              <w:rPr>
                <w:rFonts w:hint="eastAsia" w:ascii="宋体" w:hAnsi="宋体" w:eastAsia="宋体" w:cs="宋体"/>
                <w:color w:val="000000" w:themeColor="text1"/>
                <w:szCs w:val="21"/>
                <w:highlight w:val="none"/>
                <w:lang w:val="en-US" w:eastAsia="zh-CN"/>
                <w14:textFill>
                  <w14:solidFill>
                    <w14:schemeClr w14:val="tx1"/>
                  </w14:solidFill>
                </w14:textFill>
              </w:rPr>
              <w:t>具备</w:t>
            </w:r>
            <w:r>
              <w:rPr>
                <w:rFonts w:hint="eastAsia" w:ascii="宋体" w:hAnsi="宋体" w:eastAsia="宋体" w:cs="宋体"/>
                <w:color w:val="000000" w:themeColor="text1"/>
                <w:szCs w:val="21"/>
                <w:highlight w:val="none"/>
                <w14:textFill>
                  <w14:solidFill>
                    <w14:schemeClr w14:val="tx1"/>
                  </w14:solidFill>
                </w14:textFill>
              </w:rPr>
              <w:t>工程设计综合资质</w:t>
            </w:r>
            <w:r>
              <w:rPr>
                <w:rFonts w:hint="eastAsia" w:ascii="宋体" w:hAnsi="宋体" w:eastAsia="宋体" w:cs="宋体"/>
                <w:color w:val="000000" w:themeColor="text1"/>
                <w:szCs w:val="21"/>
                <w:highlight w:val="none"/>
                <w:lang w:val="en-US" w:eastAsia="zh-CN"/>
                <w14:textFill>
                  <w14:solidFill>
                    <w14:schemeClr w14:val="tx1"/>
                  </w14:solidFill>
                </w14:textFill>
              </w:rPr>
              <w:t>或</w:t>
            </w:r>
            <w:r>
              <w:rPr>
                <w:rFonts w:hint="eastAsia" w:ascii="宋体" w:hAnsi="宋体" w:eastAsia="宋体" w:cs="宋体"/>
                <w:color w:val="000000" w:themeColor="text1"/>
                <w:szCs w:val="21"/>
                <w:highlight w:val="none"/>
                <w14:textFill>
                  <w14:solidFill>
                    <w14:schemeClr w14:val="tx1"/>
                  </w14:solidFill>
                </w14:textFill>
              </w:rPr>
              <w:t>同时具备建筑行业</w:t>
            </w:r>
            <w:r>
              <w:rPr>
                <w:rFonts w:hint="eastAsia" w:ascii="宋体" w:hAnsi="宋体" w:eastAsia="宋体" w:cs="宋体"/>
                <w:color w:val="000000" w:themeColor="text1"/>
                <w:szCs w:val="21"/>
                <w:highlight w:val="none"/>
                <w:lang w:val="en-US" w:eastAsia="zh-CN"/>
                <w14:textFill>
                  <w14:solidFill>
                    <w14:schemeClr w14:val="tx1"/>
                  </w14:solidFill>
                </w14:textFill>
              </w:rPr>
              <w:t>乙级及以上资质（或</w:t>
            </w:r>
            <w:r>
              <w:rPr>
                <w:rFonts w:hint="eastAsia" w:ascii="宋体" w:hAnsi="宋体" w:eastAsia="宋体" w:cs="宋体"/>
                <w:color w:val="000000" w:themeColor="text1"/>
                <w:szCs w:val="21"/>
                <w:highlight w:val="none"/>
                <w14:textFill>
                  <w14:solidFill>
                    <w14:schemeClr w14:val="tx1"/>
                  </w14:solidFill>
                </w14:textFill>
              </w:rPr>
              <w:t>建筑工程</w:t>
            </w:r>
            <w:r>
              <w:rPr>
                <w:rFonts w:hint="eastAsia" w:ascii="宋体" w:hAnsi="宋体" w:eastAsia="宋体" w:cs="宋体"/>
                <w:color w:val="000000" w:themeColor="text1"/>
                <w:szCs w:val="21"/>
                <w:highlight w:val="none"/>
                <w:lang w:val="en-US" w:eastAsia="zh-CN"/>
                <w14:textFill>
                  <w14:solidFill>
                    <w14:schemeClr w14:val="tx1"/>
                  </w14:solidFill>
                </w14:textFill>
              </w:rPr>
              <w:t>专业</w:t>
            </w:r>
            <w:r>
              <w:rPr>
                <w:rFonts w:hint="eastAsia" w:ascii="宋体" w:hAnsi="宋体" w:eastAsia="宋体" w:cs="宋体"/>
                <w:color w:val="000000" w:themeColor="text1"/>
                <w:szCs w:val="21"/>
                <w:highlight w:val="none"/>
                <w14:textFill>
                  <w14:solidFill>
                    <w14:schemeClr w14:val="tx1"/>
                  </w14:solidFill>
                </w14:textFill>
              </w:rPr>
              <w:t>丙级及以上资质</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及市政行业（给水工程、排水工程、道路工程）设计丙级及以上资质或市政行业（燃气工程、轨道交通工程除外）乙级及以上资质；拟派项目负责人须具备</w:t>
            </w:r>
            <w:r>
              <w:rPr>
                <w:rFonts w:hint="eastAsia" w:ascii="宋体" w:hAnsi="宋体" w:cs="宋体"/>
                <w:color w:val="000000" w:themeColor="text1"/>
                <w:szCs w:val="21"/>
                <w:highlight w:val="none"/>
                <w:lang w:val="en-US" w:eastAsia="zh-CN"/>
                <w14:textFill>
                  <w14:solidFill>
                    <w14:schemeClr w14:val="tx1"/>
                  </w14:solidFill>
                </w14:textFill>
              </w:rPr>
              <w:t>道路与桥梁高级</w:t>
            </w:r>
            <w:r>
              <w:rPr>
                <w:rFonts w:hint="eastAsia" w:ascii="宋体" w:hAnsi="宋体" w:eastAsia="宋体" w:cs="宋体"/>
                <w:color w:val="000000" w:themeColor="text1"/>
                <w:szCs w:val="21"/>
                <w:highlight w:val="none"/>
                <w14:textFill>
                  <w14:solidFill>
                    <w14:schemeClr w14:val="tx1"/>
                  </w14:solidFill>
                </w14:textFill>
              </w:rPr>
              <w:t>工程师及以上职称（必须为</w:t>
            </w:r>
            <w:r>
              <w:rPr>
                <w:rFonts w:hint="eastAsia" w:ascii="宋体" w:hAnsi="宋体" w:eastAsia="宋体" w:cs="宋体"/>
                <w:color w:val="000000" w:themeColor="text1"/>
                <w:szCs w:val="21"/>
                <w:highlight w:val="none"/>
                <w:lang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单位注册人员）。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815" w:type="dxa"/>
            <w:vAlign w:val="center"/>
          </w:tcPr>
          <w:p>
            <w:pPr>
              <w:spacing w:line="360" w:lineRule="auto"/>
              <w:jc w:val="center"/>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磋商费用</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不论磋商结果如何，供应商均应自行承担所有与磋商有关的全部费用。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联合体磋商要求</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本次采购</w:t>
            </w:r>
            <w:r>
              <w:rPr>
                <w:rFonts w:hint="eastAsia" w:ascii="宋体" w:hAnsi="宋体" w:cs="宋体"/>
                <w:b/>
                <w:bCs/>
                <w:color w:val="000000" w:themeColor="text1"/>
                <w:szCs w:val="21"/>
                <w:highlight w:val="none"/>
                <w:u w:val="single"/>
                <w14:textFill>
                  <w14:solidFill>
                    <w14:schemeClr w14:val="tx1"/>
                  </w14:solidFill>
                </w14:textFill>
              </w:rPr>
              <w:t>不接受</w:t>
            </w:r>
            <w:r>
              <w:rPr>
                <w:rFonts w:hint="eastAsia" w:ascii="宋体" w:hAnsi="宋体" w:cs="宋体"/>
                <w:b/>
                <w:bCs/>
                <w:color w:val="000000" w:themeColor="text1"/>
                <w:szCs w:val="21"/>
                <w:highlight w:val="none"/>
                <w14:textFill>
                  <w14:solidFill>
                    <w14:schemeClr w14:val="tx1"/>
                  </w14:solidFill>
                </w14:textFill>
              </w:rPr>
              <w:t>联合体磋商</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947" w:type="dxa"/>
            <w:vAlign w:val="center"/>
          </w:tcPr>
          <w:p>
            <w:pPr>
              <w:spacing w:line="360" w:lineRule="auto"/>
              <w:jc w:val="center"/>
              <w:rPr>
                <w:rFonts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14</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磋商报价及其他要求</w:t>
            </w:r>
          </w:p>
        </w:tc>
        <w:tc>
          <w:tcPr>
            <w:tcW w:w="6984" w:type="dxa"/>
            <w:vAlign w:val="center"/>
          </w:tcPr>
          <w:p>
            <w:pPr>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1供应商必须就“采购需求”中的所有内容作完整唯一报价，有选择的或有条件的报价将不予接受。</w:t>
            </w:r>
          </w:p>
          <w:p>
            <w:pPr>
              <w:spacing w:line="360" w:lineRule="auto"/>
              <w:ind w:firstLine="0" w:firstLine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.2采购预算金额（人民币）：</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玖</w:t>
            </w:r>
            <w:r>
              <w:rPr>
                <w:rFonts w:hint="eastAsia" w:ascii="宋体" w:hAnsi="宋体" w:eastAsia="宋体" w:cs="宋体"/>
                <w:b/>
                <w:bCs/>
                <w:color w:val="000000" w:themeColor="text1"/>
                <w:sz w:val="21"/>
                <w:szCs w:val="21"/>
                <w:highlight w:val="none"/>
                <w14:textFill>
                  <w14:solidFill>
                    <w14:schemeClr w14:val="tx1"/>
                  </w14:solidFill>
                </w14:textFill>
              </w:rPr>
              <w:t>拾万</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b/>
                <w:bCs/>
                <w:color w:val="000000" w:themeColor="text1"/>
                <w:sz w:val="21"/>
                <w:szCs w:val="21"/>
                <w:highlight w:val="none"/>
                <w14:textFill>
                  <w14:solidFill>
                    <w14:schemeClr w14:val="tx1"/>
                  </w14:solidFill>
                </w14:textFill>
              </w:rPr>
              <w:t>整（</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¥900000</w:t>
            </w:r>
            <w:r>
              <w:rPr>
                <w:rFonts w:hint="eastAsia" w:ascii="宋体" w:hAnsi="宋体" w:eastAsia="宋体" w:cs="宋体"/>
                <w:b/>
                <w:bCs/>
                <w:color w:val="000000" w:themeColor="text1"/>
                <w:sz w:val="21"/>
                <w:szCs w:val="21"/>
                <w:highlight w:val="none"/>
                <w14:textFill>
                  <w14:solidFill>
                    <w14:schemeClr w14:val="tx1"/>
                  </w14:solidFill>
                </w14:textFill>
              </w:rPr>
              <w:t>.00）</w:t>
            </w:r>
            <w:r>
              <w:rPr>
                <w:rFonts w:hint="eastAsia" w:ascii="宋体" w:hAnsi="宋体" w:eastAsia="宋体" w:cs="宋体"/>
                <w:b/>
                <w:bCs/>
                <w:color w:val="000000" w:themeColor="text1"/>
                <w:sz w:val="21"/>
                <w:szCs w:val="21"/>
                <w:highlight w:val="none"/>
                <w:lang w:eastAsia="zh-CN"/>
                <w14:textFill>
                  <w14:solidFill>
                    <w14:schemeClr w14:val="tx1"/>
                  </w14:solidFill>
                </w14:textFill>
              </w:rPr>
              <w:t>，报价超过</w:t>
            </w:r>
            <w:r>
              <w:rPr>
                <w:rFonts w:hint="eastAsia" w:ascii="宋体" w:hAnsi="宋体" w:cs="宋体"/>
                <w:b/>
                <w:bCs/>
                <w:color w:val="000000" w:themeColor="text1"/>
                <w:sz w:val="21"/>
                <w:szCs w:val="21"/>
                <w:highlight w:val="none"/>
                <w:lang w:val="en-US" w:eastAsia="zh-CN"/>
                <w14:textFill>
                  <w14:solidFill>
                    <w14:schemeClr w14:val="tx1"/>
                  </w14:solidFill>
                </w14:textFill>
              </w:rPr>
              <w:t>预算</w:t>
            </w:r>
            <w:r>
              <w:rPr>
                <w:rFonts w:hint="eastAsia" w:ascii="宋体" w:hAnsi="宋体" w:eastAsia="宋体" w:cs="宋体"/>
                <w:b/>
                <w:bCs/>
                <w:color w:val="000000" w:themeColor="text1"/>
                <w:sz w:val="21"/>
                <w:szCs w:val="21"/>
                <w:highlight w:val="none"/>
                <w:lang w:eastAsia="zh-CN"/>
                <w14:textFill>
                  <w14:solidFill>
                    <w14:schemeClr w14:val="tx1"/>
                  </w14:solidFill>
                </w14:textFill>
              </w:rPr>
              <w:t>价</w:t>
            </w:r>
            <w:r>
              <w:rPr>
                <w:rFonts w:hint="eastAsia" w:ascii="宋体" w:hAnsi="宋体" w:cs="宋体"/>
                <w:b/>
                <w:bCs/>
                <w:color w:val="000000" w:themeColor="text1"/>
                <w:sz w:val="21"/>
                <w:szCs w:val="21"/>
                <w:highlight w:val="none"/>
                <w:lang w:val="en-US" w:eastAsia="zh-CN"/>
                <w14:textFill>
                  <w14:solidFill>
                    <w14:schemeClr w14:val="tx1"/>
                  </w14:solidFill>
                </w14:textFill>
              </w:rPr>
              <w:t>金额</w:t>
            </w:r>
            <w:r>
              <w:rPr>
                <w:rFonts w:hint="eastAsia" w:ascii="宋体" w:hAnsi="宋体" w:eastAsia="宋体" w:cs="宋体"/>
                <w:b/>
                <w:bCs/>
                <w:color w:val="000000" w:themeColor="text1"/>
                <w:sz w:val="21"/>
                <w:szCs w:val="21"/>
                <w:highlight w:val="none"/>
                <w:lang w:eastAsia="zh-CN"/>
                <w14:textFill>
                  <w14:solidFill>
                    <w14:schemeClr w14:val="tx1"/>
                  </w14:solidFill>
                </w14:textFill>
              </w:rPr>
              <w:t>，响应文件作无效处理。</w:t>
            </w:r>
          </w:p>
          <w:p>
            <w:pPr>
              <w:adjustRightInd w:val="0"/>
              <w:snapToGrid w:val="0"/>
              <w:spacing w:line="360" w:lineRule="auto"/>
              <w:ind w:firstLine="0" w:firstLineChars="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供应商磋商报价应包含完成本“采购需求”中所列所有服务内容产生的所有成本、完成本项目服务工作所需的人员成本、劳务费、技术服务费、管理、通讯、保险、差旅费、项目验收、税金、利润、验收、质量保证及合同包含的应有风险、责任等与本项目相关的所有费用，供应商应综合考虑在报价中。</w:t>
            </w:r>
          </w:p>
          <w:p>
            <w:pPr>
              <w:spacing w:line="360" w:lineRule="auto"/>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.5未书面退出磋商的供应商必须在规定时间内登录</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广西政府采购云平台</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在线提交最后报价，其最后报价不得超</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过</w:t>
            </w:r>
            <w:r>
              <w:rPr>
                <w:rFonts w:hint="eastAsia" w:ascii="宋体" w:hAnsi="宋体" w:eastAsia="宋体" w:cs="宋体"/>
                <w:color w:val="000000" w:themeColor="text1"/>
                <w:kern w:val="0"/>
                <w:sz w:val="21"/>
                <w:szCs w:val="21"/>
                <w:highlight w:val="none"/>
                <w14:textFill>
                  <w14:solidFill>
                    <w14:schemeClr w14:val="tx1"/>
                  </w14:solidFill>
                </w14:textFill>
              </w:rPr>
              <w:t>上限控制价；磋商过程中磋商文件未作实质性变动的，</w:t>
            </w:r>
            <w:r>
              <w:rPr>
                <w:rFonts w:hint="eastAsia" w:ascii="宋体" w:hAnsi="宋体" w:eastAsia="宋体" w:cs="宋体"/>
                <w:b/>
                <w:color w:val="000000" w:themeColor="text1"/>
                <w:kern w:val="0"/>
                <w:sz w:val="21"/>
                <w:szCs w:val="21"/>
                <w:highlight w:val="none"/>
                <w14:textFill>
                  <w14:solidFill>
                    <w14:schemeClr w14:val="tx1"/>
                  </w14:solidFill>
                </w14:textFill>
              </w:rPr>
              <w:t>最后报价不得超过首次报价。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响应有效期</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响应截止时间之日起90天。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响应保证金</w:t>
            </w:r>
          </w:p>
        </w:tc>
        <w:tc>
          <w:tcPr>
            <w:tcW w:w="6984" w:type="dxa"/>
            <w:vAlign w:val="top"/>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本项目无需缴纳磋商保证金</w:t>
            </w:r>
            <w:r>
              <w:rPr>
                <w:rFonts w:hint="eastAsia" w:ascii="宋体" w:hAnsi="宋体" w:cs="宋体"/>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947" w:type="dxa"/>
            <w:vAlign w:val="center"/>
          </w:tcPr>
          <w:p>
            <w:pPr>
              <w:spacing w:line="360" w:lineRule="auto"/>
              <w:jc w:val="center"/>
              <w:rPr>
                <w:rFonts w:hint="eastAsia" w:ascii="宋体" w:hAnsi="宋体" w:cs="宋体"/>
                <w:color w:val="000000" w:themeColor="text1"/>
                <w:position w:val="1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1815" w:type="dxa"/>
            <w:vAlign w:val="center"/>
          </w:tcPr>
          <w:p>
            <w:pPr>
              <w:spacing w:line="360" w:lineRule="auto"/>
              <w:jc w:val="center"/>
              <w:rPr>
                <w:rFonts w:hint="eastAsia" w:ascii="宋体" w:hAnsi="宋体" w:cs="宋体"/>
                <w:color w:val="000000" w:themeColor="text1"/>
                <w:position w:val="1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响应文件的制作</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w:t>
            </w:r>
            <w:r>
              <w:rPr>
                <w:rFonts w:hint="eastAsia" w:ascii="宋体" w:hAnsi="宋体" w:cs="宋体"/>
                <w:bCs/>
                <w:color w:val="000000" w:themeColor="text1"/>
                <w:szCs w:val="21"/>
                <w:highlight w:val="none"/>
                <w14:textFill>
                  <w14:solidFill>
                    <w14:schemeClr w14:val="tx1"/>
                  </w14:solidFill>
                </w14:textFill>
              </w:rPr>
              <w:t>供应商制作电子响应文件前，应</w:t>
            </w:r>
            <w:r>
              <w:rPr>
                <w:rFonts w:hint="eastAsia" w:ascii="宋体" w:hAnsi="宋体" w:cs="宋体"/>
                <w:bCs/>
                <w:color w:val="000000" w:themeColor="text1"/>
                <w:szCs w:val="21"/>
                <w:highlight w:val="none"/>
                <w:lang w:eastAsia="zh-CN"/>
                <w14:textFill>
                  <w14:solidFill>
                    <w14:schemeClr w14:val="tx1"/>
                  </w14:solidFill>
                </w14:textFill>
              </w:rPr>
              <w:t>登录</w:t>
            </w:r>
            <w:r>
              <w:rPr>
                <w:rFonts w:hint="eastAsia" w:ascii="宋体" w:hAnsi="宋体" w:cs="宋体"/>
                <w:bCs/>
                <w:color w:val="000000" w:themeColor="text1"/>
                <w:szCs w:val="21"/>
                <w:highlight w:val="none"/>
                <w14:textFill>
                  <w14:solidFill>
                    <w14:schemeClr w14:val="tx1"/>
                  </w14:solidFill>
                </w14:textFill>
              </w:rPr>
              <w:t>广西政府采购云平台进行“申请获取采购文件”操作，否则，有可能导致无法在线编制</w:t>
            </w:r>
            <w:r>
              <w:rPr>
                <w:rFonts w:hint="eastAsia" w:ascii="宋体" w:hAnsi="宋体" w:cs="宋体"/>
                <w:color w:val="000000" w:themeColor="text1"/>
                <w:szCs w:val="21"/>
                <w:highlight w:val="none"/>
                <w14:textFill>
                  <w14:solidFill>
                    <w14:schemeClr w14:val="tx1"/>
                  </w14:solidFill>
                </w14:textFill>
              </w:rPr>
              <w:t>响应</w:t>
            </w:r>
            <w:r>
              <w:rPr>
                <w:rFonts w:hint="eastAsia" w:ascii="宋体" w:hAnsi="宋体" w:cs="宋体"/>
                <w:bCs/>
                <w:color w:val="000000" w:themeColor="text1"/>
                <w:szCs w:val="21"/>
                <w:highlight w:val="none"/>
                <w14:textFill>
                  <w14:solidFill>
                    <w14:schemeClr w14:val="tx1"/>
                  </w14:solidFill>
                </w14:textFill>
              </w:rPr>
              <w:t>文件并参与</w:t>
            </w:r>
            <w:r>
              <w:rPr>
                <w:rFonts w:hint="eastAsia" w:ascii="宋体" w:hAnsi="宋体" w:cs="宋体"/>
                <w:color w:val="000000" w:themeColor="text1"/>
                <w:szCs w:val="21"/>
                <w:highlight w:val="none"/>
                <w14:textFill>
                  <w14:solidFill>
                    <w14:schemeClr w14:val="tx1"/>
                  </w14:solidFill>
                </w14:textFill>
              </w:rPr>
              <w:t>磋商</w:t>
            </w:r>
            <w:r>
              <w:rPr>
                <w:rFonts w:hint="eastAsia" w:ascii="宋体" w:hAnsi="宋体" w:cs="宋体"/>
                <w:bCs/>
                <w:color w:val="000000" w:themeColor="text1"/>
                <w:szCs w:val="21"/>
                <w:highlight w:val="none"/>
                <w14:textFill>
                  <w14:solidFill>
                    <w14:schemeClr w14:val="tx1"/>
                  </w14:solidFill>
                </w14:textFill>
              </w:rPr>
              <w:t>，其不利后果由供应商自行承担。</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电子响应文件中须加盖供应商CA章部分均采用CA电子签章，并根据“政府采购项目电子交易管理操作指南-供应商”及本采购文件规定的格式和顺序编制电子响应文件并进行关联定位，以便磋商小组在评审时，点击评审项可直接定位到该评审项内容。如对采购文件的某项要求，供应商的电子响应文件未能关联定位提供相应的内容与其对应，则磋商小组在评审时如做出对供应商不利的评审判断或结果由供应商自行承担。电子响应文件如内容不完整、编排混乱导致响应文件被误读、漏读，或者在按采购文件规定的部位查找不到相关内容的，由供应商自行承担。</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18.3供应商的法定代表人（负责人）或授权代表持有政采云个人CA签章的，应在响应文件中涉及到签字的位置使用个人CA签章，没有办理政采云个人CA签章的可在响应文件中涉及到签字的位置手写签字后扫描或者拍照做成PDF的格式上传即可。</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18.4响应文件不得涂改，若有修改错漏处，须由法定代表人（负责人）或授权委托人签字（或个人CA签章）。响应文件因字迹潦草或表达不清所引起的后果由供应商负责。</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18.5评审前准备</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18.5.1本项目实行网上评审，采用电子响应文件；若供应商参与磋商，自行承担磋商一切费用。</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18.5.2各供应商在截标前应确保成为</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平台正式注册入库供应商，并完成CA数字证书申领。因未注册入库、未办理CA数字证书等原因造成无法响应或响应失败等后果由供应商自行承担。</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18.5.3供应商将</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电子交易客户端下载、安装完成后，可通过账号密码或CA登录客户端进行响应文件制作。客户端请至网站下载专区查看，如有问题可拨打</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客户服务热线95763进行咨询。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响应文件的补充、修改和撤回</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18.1响应文件递交截止时间前可以撤回电子响应文件。补充或者修改电子响应文件的，应当先行撤回原文件，补充、修改后重新传输递交，响应文件递交截止时间前未完成传输的，视为撤回响应文件。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947" w:type="dxa"/>
            <w:vAlign w:val="center"/>
          </w:tcPr>
          <w:p>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响应文件递交</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19.1响应文件递交截止时间：于</w:t>
            </w:r>
            <w:r>
              <w:rPr>
                <w:rFonts w:hint="eastAsia" w:ascii="宋体" w:hAnsi="宋体" w:cs="宋体"/>
                <w:color w:val="000000" w:themeColor="text1"/>
                <w:szCs w:val="21"/>
                <w:highlight w:val="none"/>
                <w:u w:val="single"/>
                <w14:textFill>
                  <w14:solidFill>
                    <w14:schemeClr w14:val="tx1"/>
                  </w14:solidFill>
                </w14:textFill>
              </w:rPr>
              <w:t>2024年</w:t>
            </w:r>
            <w:r>
              <w:rPr>
                <w:rFonts w:hint="eastAsia" w:ascii="宋体" w:hAnsi="宋体" w:cs="宋体"/>
                <w:color w:val="000000" w:themeColor="text1"/>
                <w:szCs w:val="21"/>
                <w:highlight w:val="none"/>
                <w:u w:val="single"/>
                <w:lang w:val="en-US" w:eastAsia="zh-CN"/>
                <w14:textFill>
                  <w14:solidFill>
                    <w14:schemeClr w14:val="tx1"/>
                  </w14:solidFill>
                </w14:textFill>
              </w:rPr>
              <w:t>08</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19</w:t>
            </w:r>
            <w:r>
              <w:rPr>
                <w:rFonts w:hint="eastAsia" w:ascii="宋体" w:hAnsi="宋体" w:cs="宋体"/>
                <w:color w:val="000000" w:themeColor="text1"/>
                <w:szCs w:val="21"/>
                <w:highlight w:val="none"/>
                <w:u w:val="single"/>
                <w14:textFill>
                  <w14:solidFill>
                    <w14:schemeClr w14:val="tx1"/>
                  </w14:solidFill>
                </w14:textFill>
              </w:rPr>
              <w:t>日09点30分</w:t>
            </w:r>
            <w:r>
              <w:rPr>
                <w:rFonts w:hint="eastAsia" w:ascii="宋体" w:hAnsi="宋体" w:cs="宋体"/>
                <w:color w:val="000000" w:themeColor="text1"/>
                <w:szCs w:val="21"/>
                <w:highlight w:val="none"/>
                <w14:textFill>
                  <w14:solidFill>
                    <w14:schemeClr w14:val="tx1"/>
                  </w14:solidFill>
                </w14:textFill>
              </w:rPr>
              <w:t>之前将电子响应文件上传到</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平台。应按照本项目采购文件和</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平台的要求编制、加密传输响应文件。供应商在使用系统进行响应的过程中遇到涉及平台使用的任何问题，可致电</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响应文件解密</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19.2响应文件解密时间：截标时间后</w:t>
            </w:r>
            <w:r>
              <w:rPr>
                <w:rFonts w:hint="eastAsia" w:ascii="宋体" w:hAnsi="宋体" w:cs="宋体"/>
                <w:color w:val="000000" w:themeColor="text1"/>
                <w:szCs w:val="21"/>
                <w:highlight w:val="none"/>
                <w:u w:val="single"/>
                <w14:textFill>
                  <w14:solidFill>
                    <w14:schemeClr w14:val="tx1"/>
                  </w14:solidFill>
                </w14:textFill>
              </w:rPr>
              <w:t>30</w:t>
            </w:r>
            <w:r>
              <w:rPr>
                <w:rFonts w:hint="eastAsia" w:ascii="宋体" w:hAnsi="宋体" w:cs="宋体"/>
                <w:color w:val="000000" w:themeColor="text1"/>
                <w:szCs w:val="21"/>
                <w:highlight w:val="none"/>
                <w14:textFill>
                  <w14:solidFill>
                    <w14:schemeClr w14:val="tx1"/>
                  </w14:solidFill>
                </w14:textFill>
              </w:rPr>
              <w:t>分钟内（</w:t>
            </w:r>
            <w:r>
              <w:rPr>
                <w:rFonts w:hint="eastAsia" w:ascii="宋体" w:hAnsi="宋体" w:cs="宋体"/>
                <w:color w:val="000000" w:themeColor="text1"/>
                <w:szCs w:val="21"/>
                <w:highlight w:val="none"/>
                <w:u w:val="single"/>
                <w14:textFill>
                  <w14:solidFill>
                    <w14:schemeClr w14:val="tx1"/>
                  </w14:solidFill>
                </w14:textFill>
              </w:rPr>
              <w:t>2024年</w:t>
            </w:r>
            <w:r>
              <w:rPr>
                <w:rFonts w:hint="eastAsia" w:ascii="宋体" w:hAnsi="宋体" w:cs="宋体"/>
                <w:color w:val="000000" w:themeColor="text1"/>
                <w:szCs w:val="21"/>
                <w:highlight w:val="none"/>
                <w:u w:val="single"/>
                <w:lang w:val="en-US" w:eastAsia="zh-CN"/>
                <w14:textFill>
                  <w14:solidFill>
                    <w14:schemeClr w14:val="tx1"/>
                  </w14:solidFill>
                </w14:textFill>
              </w:rPr>
              <w:t>08</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19</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09</w:t>
            </w:r>
            <w:r>
              <w:rPr>
                <w:rFonts w:hint="eastAsia" w:ascii="宋体" w:hAnsi="宋体" w:cs="宋体"/>
                <w:color w:val="000000" w:themeColor="text1"/>
                <w:szCs w:val="21"/>
                <w:highlight w:val="none"/>
                <w:u w:val="single"/>
                <w14:textFill>
                  <w14:solidFill>
                    <w14:schemeClr w14:val="tx1"/>
                  </w14:solidFill>
                </w14:textFill>
              </w:rPr>
              <w:t>点30分至1</w:t>
            </w:r>
            <w:r>
              <w:rPr>
                <w:rFonts w:hint="eastAsia" w:ascii="宋体" w:hAnsi="宋体" w:cs="宋体"/>
                <w:color w:val="000000" w:themeColor="text1"/>
                <w:szCs w:val="21"/>
                <w:highlight w:val="none"/>
                <w:u w:val="single"/>
                <w:lang w:val="en-US" w:eastAsia="zh-CN"/>
                <w14:textFill>
                  <w14:solidFill>
                    <w14:schemeClr w14:val="tx1"/>
                  </w14:solidFill>
                </w14:textFill>
              </w:rPr>
              <w:t>0</w:t>
            </w:r>
            <w:r>
              <w:rPr>
                <w:rFonts w:hint="eastAsia" w:ascii="宋体" w:hAnsi="宋体" w:cs="宋体"/>
                <w:color w:val="000000" w:themeColor="text1"/>
                <w:szCs w:val="21"/>
                <w:highlight w:val="none"/>
                <w:u w:val="single"/>
                <w14:textFill>
                  <w14:solidFill>
                    <w14:schemeClr w14:val="tx1"/>
                  </w14:solidFill>
                </w14:textFill>
              </w:rPr>
              <w:t>时00分</w:t>
            </w:r>
            <w:r>
              <w:rPr>
                <w:rFonts w:hint="eastAsia" w:ascii="宋体" w:hAnsi="宋体" w:cs="宋体"/>
                <w:color w:val="000000" w:themeColor="text1"/>
                <w:szCs w:val="21"/>
                <w:highlight w:val="none"/>
                <w14:textFill>
                  <w14:solidFill>
                    <w14:schemeClr w14:val="tx1"/>
                  </w14:solidFill>
                </w14:textFill>
              </w:rPr>
              <w:t>)供应商可以登录</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平台，用“项目采购-开标评标”功能进行解密响应文件。若供应商在规定时间内无法解密或解密失败，可以以电子备份响应文件作为依据</w:t>
            </w:r>
            <w:r>
              <w:rPr>
                <w:rFonts w:hint="eastAsia" w:ascii="宋体" w:hAnsi="宋体" w:cs="宋体"/>
                <w:b/>
                <w:bCs/>
                <w:color w:val="000000" w:themeColor="text1"/>
                <w:szCs w:val="21"/>
                <w:highlight w:val="none"/>
                <w14:textFill>
                  <w14:solidFill>
                    <w14:schemeClr w14:val="tx1"/>
                  </w14:solidFill>
                </w14:textFill>
              </w:rPr>
              <w:t>【在接到无法解密或解密失败的通知后，供应商可根据自身实际情况按通知时要求的时间到桂林市公共资源交易中心开标室（广西桂林市临桂区西城中路69号创业大厦西辅楼4楼北区</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具体开标室以</w:t>
            </w:r>
            <w:r>
              <w:rPr>
                <w:rFonts w:hint="eastAsia" w:ascii="宋体" w:hAnsi="宋体" w:cs="宋体"/>
                <w:b/>
                <w:bCs/>
                <w:color w:val="000000" w:themeColor="text1"/>
                <w:szCs w:val="21"/>
                <w:highlight w:val="none"/>
                <w14:textFill>
                  <w14:solidFill>
                    <w14:schemeClr w14:val="tx1"/>
                  </w14:solidFill>
                </w14:textFill>
              </w:rPr>
              <w:t>桂林市公共资源交易中心</w:t>
            </w:r>
            <w:r>
              <w:rPr>
                <w:rFonts w:hint="eastAsia" w:ascii="宋体" w:hAnsi="宋体" w:cs="宋体"/>
                <w:b/>
                <w:bCs/>
                <w:color w:val="000000" w:themeColor="text1"/>
                <w:szCs w:val="21"/>
                <w:highlight w:val="none"/>
                <w:lang w:val="en-US" w:eastAsia="zh-CN"/>
                <w14:textFill>
                  <w14:solidFill>
                    <w14:schemeClr w14:val="tx1"/>
                  </w14:solidFill>
                </w14:textFill>
              </w:rPr>
              <w:t>网站场地安排为准</w:t>
            </w:r>
            <w:r>
              <w:rPr>
                <w:rFonts w:hint="eastAsia" w:ascii="宋体" w:hAnsi="宋体" w:cs="宋体"/>
                <w:b/>
                <w:bCs/>
                <w:color w:val="000000" w:themeColor="text1"/>
                <w:szCs w:val="21"/>
                <w:highlight w:val="none"/>
                <w14:textFill>
                  <w14:solidFill>
                    <w14:schemeClr w14:val="tx1"/>
                  </w14:solidFill>
                </w14:textFill>
              </w:rPr>
              <w:t>）现场提交或以电子邮件的形式（接收电子备份投标文件电子邮箱</w:t>
            </w:r>
            <w:r>
              <w:rPr>
                <w:rFonts w:hint="eastAsia" w:ascii="宋体" w:hAnsi="宋体" w:cs="宋体"/>
                <w:b/>
                <w:bCs/>
                <w:color w:val="000000" w:themeColor="text1"/>
                <w:szCs w:val="21"/>
                <w:highlight w:val="none"/>
                <w:lang w:val="en-US" w:eastAsia="zh-CN"/>
                <w14:textFill>
                  <w14:solidFill>
                    <w14:schemeClr w14:val="tx1"/>
                  </w14:solidFill>
                </w14:textFill>
              </w:rPr>
              <w:t>现场通知</w:t>
            </w:r>
            <w:r>
              <w:rPr>
                <w:rFonts w:hint="eastAsia" w:ascii="宋体" w:hAnsi="宋体" w:cs="宋体"/>
                <w:b/>
                <w:bCs/>
                <w:color w:val="000000" w:themeColor="text1"/>
                <w:szCs w:val="21"/>
                <w:highlight w:val="none"/>
                <w14:textFill>
                  <w14:solidFill>
                    <w14:schemeClr w14:val="tx1"/>
                  </w14:solidFill>
                </w14:textFill>
              </w:rPr>
              <w:t>）提交电子备份响应文件】</w:t>
            </w:r>
            <w:r>
              <w:rPr>
                <w:rFonts w:hint="eastAsia" w:ascii="宋体" w:hAnsi="宋体" w:cs="宋体"/>
                <w:color w:val="000000" w:themeColor="text1"/>
                <w:szCs w:val="21"/>
                <w:highlight w:val="none"/>
                <w14:textFill>
                  <w14:solidFill>
                    <w14:schemeClr w14:val="tx1"/>
                  </w14:solidFill>
                </w14:textFill>
              </w:rPr>
              <w:t>，若供应商在规定时间内无法解密或解密失败且未提供电子备份响应文件的(包含提供的电子备份文件无效或无法解密的情况)，视为无效响应。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947" w:type="dxa"/>
            <w:vAlign w:val="center"/>
          </w:tcPr>
          <w:p>
            <w:pPr>
              <w:spacing w:line="360" w:lineRule="auto"/>
              <w:jc w:val="center"/>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w:t>
            </w:r>
          </w:p>
        </w:tc>
        <w:tc>
          <w:tcPr>
            <w:tcW w:w="1815" w:type="dxa"/>
            <w:vAlign w:val="center"/>
          </w:tcPr>
          <w:p>
            <w:pPr>
              <w:spacing w:line="360" w:lineRule="auto"/>
              <w:jc w:val="center"/>
              <w:rPr>
                <w:rFonts w:hint="eastAsia" w:ascii="宋体" w:hAnsi="宋体" w:cs="宋体"/>
                <w:color w:val="000000" w:themeColor="text1"/>
                <w:position w:val="-2"/>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磋商时间及地点</w:t>
            </w:r>
          </w:p>
        </w:tc>
        <w:tc>
          <w:tcPr>
            <w:tcW w:w="6984" w:type="dxa"/>
            <w:vAlign w:val="top"/>
          </w:tcPr>
          <w:p>
            <w:pPr>
              <w:tabs>
                <w:tab w:val="left" w:pos="1305"/>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20.1.1磋商时间：响应文件递交截止时间后。</w:t>
            </w:r>
          </w:p>
          <w:p>
            <w:pPr>
              <w:tabs>
                <w:tab w:val="left" w:pos="1305"/>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20.1.2磋商地点：本项目需要磋商供应商代表在截标当天截标后，按磋商小组要求及时</w:t>
            </w:r>
            <w:bookmarkStart w:id="463" w:name="_GoBack"/>
            <w:bookmarkEnd w:id="463"/>
            <w:r>
              <w:rPr>
                <w:rFonts w:hint="eastAsia" w:ascii="宋体" w:hAnsi="宋体" w:cs="宋体"/>
                <w:color w:val="000000" w:themeColor="text1"/>
                <w:szCs w:val="21"/>
                <w:highlight w:val="none"/>
                <w:lang w:eastAsia="zh-CN"/>
                <w14:textFill>
                  <w14:solidFill>
                    <w14:schemeClr w14:val="tx1"/>
                  </w14:solidFill>
                </w14:textFill>
              </w:rPr>
              <w:t>登录</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平台等候在线磋商。</w:t>
            </w:r>
          </w:p>
          <w:p>
            <w:pPr>
              <w:tabs>
                <w:tab w:val="left" w:pos="1305"/>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20.1.3磋商参加人员：供应商法定代表人(负责人、自然人)或相应的委托代理人参加磋商。请供应商实时登录</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平台等候在线磋商。</w:t>
            </w:r>
          </w:p>
          <w:p>
            <w:pPr>
              <w:tabs>
                <w:tab w:val="left" w:pos="1305"/>
              </w:tabs>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20.1.4响应文件递交截止时间后，由磋商小组在评标室内线上开启响应文件。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磋商小组组成</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政府采购评审专家库抽取的相关专业的专家组成。磋商小组的构成：3人，其中采购人代表1人，专家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评审办法</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综合评分法，具体评标内容及标准详见第四章。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w:t>
            </w:r>
          </w:p>
        </w:tc>
        <w:tc>
          <w:tcPr>
            <w:tcW w:w="1815" w:type="dxa"/>
            <w:vAlign w:val="center"/>
          </w:tcPr>
          <w:p>
            <w:pPr>
              <w:tabs>
                <w:tab w:val="left" w:pos="1140"/>
              </w:tabs>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信用查询</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根据《关于做好政府采购有关信用主体标识码登记及在政府采购活动中查询使用信用记录有关问题的通知》（桂财采〔2016〕37），由采购代理机构对第一成交候选人进行信用查询：</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⑴查询渠道：“信用中国”网站(www.creditchina.gov.cn)、中国政府采购网(www.ccgp.gov.cn)等；</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⑵查询截止时点：成交通知书发出前；</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成交公告</w:t>
            </w:r>
          </w:p>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及成交通知书</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33.2.在发布成交公告的同时，采购代理机构向成交供应商发出成交通知书。如成交供应商自接到通知之日起七个工作日内，不办理成交通知书领取手续的，按违约处理。采购单位将取消其成交资格，从磋商小组推荐的成交候选供应商中按顺序重新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6984" w:type="dxa"/>
            <w:vAlign w:val="center"/>
          </w:tcPr>
          <w:p>
            <w:pPr>
              <w:widowControl/>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签订合同时间</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成交通知书发出之日起8个工作日内签订合同。成交供应商领取成交通知书后，应按规定与采购人签订合同。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34.4</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合同备案存档</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政府采购合同双方自签订之日起一个工作日内将合同原件一份交采购代理机构存档，采购代理机构将政府采购合同在省级以上人民政府财政部门指定媒体上公告。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35</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采购代理服务费</w:t>
            </w:r>
          </w:p>
        </w:tc>
        <w:tc>
          <w:tcPr>
            <w:tcW w:w="6984" w:type="dxa"/>
            <w:vAlign w:val="center"/>
          </w:tcPr>
          <w:p>
            <w:pPr>
              <w:widowControl w:val="0"/>
              <w:wordWrap/>
              <w:adjustRightInd/>
              <w:spacing w:line="44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36.1</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成交供应商在领取成交通知书前，向采购代理机构一次性付清采购代理服务费，本项目采购代理服务收费标准参照计价格[2002]1980号《招标代理服务收费管理暂行办法》</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服务类</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收费标准</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的</w:t>
            </w:r>
            <w:r>
              <w:rPr>
                <w:rFonts w:hint="eastAsia" w:ascii="宋体" w:hAnsi="宋体" w:cs="宋体"/>
                <w:color w:val="000000" w:themeColor="text1"/>
                <w:sz w:val="21"/>
                <w:szCs w:val="21"/>
                <w:highlight w:val="none"/>
                <w:shd w:val="clear" w:color="auto" w:fill="auto"/>
                <w:lang w:val="en-US" w:eastAsia="zh-CN"/>
                <w14:textFill>
                  <w14:solidFill>
                    <w14:schemeClr w14:val="tx1"/>
                  </w14:solidFill>
                </w14:textFill>
              </w:rPr>
              <w:t>85</w:t>
            </w:r>
            <w:r>
              <w:rPr>
                <w:rFonts w:hint="eastAsia" w:ascii="宋体" w:hAnsi="宋体" w:eastAsia="宋体" w:cs="宋体"/>
                <w:color w:val="000000" w:themeColor="text1"/>
                <w:sz w:val="21"/>
                <w:szCs w:val="21"/>
                <w:highlight w:val="none"/>
                <w:shd w:val="clear" w:color="auto" w:fill="auto"/>
                <w:lang w:val="en-US" w:eastAsia="zh-CN"/>
                <w14:textFill>
                  <w14:solidFill>
                    <w14:schemeClr w14:val="tx1"/>
                  </w14:solidFill>
                </w14:textFill>
              </w:rPr>
              <w:t>%</w:t>
            </w:r>
            <w:r>
              <w:rPr>
                <w:rFonts w:hint="eastAsia" w:ascii="宋体" w:hAnsi="宋体" w:eastAsia="宋体" w:cs="宋体"/>
                <w:color w:val="000000" w:themeColor="text1"/>
                <w:sz w:val="21"/>
                <w:szCs w:val="21"/>
                <w:highlight w:val="none"/>
                <w:shd w:val="clear" w:color="auto" w:fill="auto"/>
                <w14:textFill>
                  <w14:solidFill>
                    <w14:schemeClr w14:val="tx1"/>
                  </w14:solidFill>
                </w14:textFill>
              </w:rPr>
              <w:t>向成交供应商收取。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解释权</w:t>
            </w:r>
          </w:p>
        </w:tc>
        <w:tc>
          <w:tcPr>
            <w:tcW w:w="6984" w:type="dxa"/>
            <w:vAlign w:val="center"/>
          </w:tcPr>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竞争性磋商文件是根据《中华人民共和国政府采购法》、《中华人民共和国政府采购法实施条例》、《政府采购非招标采购方式管理办法》、《政府采购竞争性磋商采购方式管理暂行办法》和政府采购管理有关规定编制，本竞争性磋商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947"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37</w:t>
            </w:r>
          </w:p>
        </w:tc>
        <w:tc>
          <w:tcPr>
            <w:tcW w:w="1815" w:type="dxa"/>
            <w:vAlign w:val="center"/>
          </w:tcPr>
          <w:p>
            <w:pPr>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监督管理机构</w:t>
            </w:r>
          </w:p>
        </w:tc>
        <w:tc>
          <w:tcPr>
            <w:tcW w:w="6984" w:type="dxa"/>
            <w:vAlign w:val="center"/>
          </w:tcPr>
          <w:p>
            <w:pPr>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 xml:space="preserve">桂林市秀峰区政府采购办公室 </w:t>
            </w:r>
            <w:r>
              <w:rPr>
                <w:rFonts w:hint="eastAsia" w:ascii="宋体" w:hAnsi="宋体" w:cs="宋体"/>
                <w:color w:val="000000" w:themeColor="text1"/>
                <w:szCs w:val="21"/>
                <w:highlight w:val="none"/>
                <w14:textFill>
                  <w14:solidFill>
                    <w14:schemeClr w14:val="tx1"/>
                  </w14:solidFill>
                </w14:textFill>
              </w:rPr>
              <w:t xml:space="preserve">     电话：</w:t>
            </w:r>
            <w:r>
              <w:rPr>
                <w:rFonts w:hint="eastAsia" w:ascii="宋体" w:hAnsi="宋体" w:cs="宋体"/>
                <w:color w:val="000000" w:themeColor="text1"/>
                <w:szCs w:val="21"/>
                <w:highlight w:val="none"/>
                <w:lang w:eastAsia="zh-CN"/>
                <w14:textFill>
                  <w14:solidFill>
                    <w14:schemeClr w14:val="tx1"/>
                  </w14:solidFill>
                </w14:textFill>
              </w:rPr>
              <w:t>0773-2831930</w:t>
            </w:r>
          </w:p>
        </w:tc>
      </w:tr>
    </w:tbl>
    <w:p>
      <w:pPr>
        <w:spacing w:line="440" w:lineRule="atLeast"/>
        <w:jc w:val="center"/>
        <w:rPr>
          <w:rFonts w:hint="eastAsia" w:ascii="宋体" w:hAnsi="宋体" w:cs="宋体"/>
          <w:b/>
          <w:color w:val="000000" w:themeColor="text1"/>
          <w:szCs w:val="21"/>
          <w:highlight w:val="none"/>
          <w14:textFill>
            <w14:solidFill>
              <w14:schemeClr w14:val="tx1"/>
            </w14:solidFill>
          </w14:textFill>
        </w:rPr>
      </w:pPr>
      <w:bookmarkStart w:id="47" w:name="_Toc3679"/>
      <w:bookmarkStart w:id="48" w:name="_Toc495841754"/>
      <w:r>
        <w:rPr>
          <w:rFonts w:ascii="Arial" w:hAnsi="Arial" w:cs="Arial"/>
          <w:b/>
          <w:color w:val="000000" w:themeColor="text1"/>
          <w:sz w:val="28"/>
          <w:szCs w:val="28"/>
          <w:highlight w:val="none"/>
          <w14:textFill>
            <w14:solidFill>
              <w14:schemeClr w14:val="tx1"/>
            </w14:solidFill>
          </w14:textFill>
        </w:rPr>
        <w:br w:type="page"/>
      </w:r>
      <w:bookmarkStart w:id="49" w:name="_Toc17191"/>
      <w:bookmarkStart w:id="50" w:name="_Toc14426"/>
      <w:bookmarkStart w:id="51" w:name="_Toc20689"/>
      <w:bookmarkStart w:id="52" w:name="_Toc4547"/>
      <w:bookmarkStart w:id="53" w:name="_Toc3485"/>
      <w:bookmarkStart w:id="54" w:name="_Toc26837"/>
      <w:bookmarkStart w:id="55" w:name="_Toc15577"/>
      <w:bookmarkStart w:id="56" w:name="_Toc16995"/>
      <w:r>
        <w:rPr>
          <w:rFonts w:hint="eastAsia" w:ascii="宋体" w:hAnsi="宋体" w:cs="宋体"/>
          <w:b/>
          <w:color w:val="000000" w:themeColor="text1"/>
          <w:szCs w:val="21"/>
          <w:highlight w:val="none"/>
          <w14:textFill>
            <w14:solidFill>
              <w14:schemeClr w14:val="tx1"/>
            </w14:solidFill>
          </w14:textFill>
        </w:rPr>
        <w:t>一、总则</w:t>
      </w:r>
      <w:bookmarkEnd w:id="47"/>
      <w:bookmarkEnd w:id="48"/>
      <w:bookmarkEnd w:id="49"/>
      <w:bookmarkEnd w:id="50"/>
      <w:bookmarkEnd w:id="51"/>
      <w:bookmarkEnd w:id="52"/>
      <w:bookmarkEnd w:id="53"/>
      <w:bookmarkEnd w:id="54"/>
      <w:bookmarkEnd w:id="55"/>
      <w:bookmarkEnd w:id="56"/>
    </w:p>
    <w:p>
      <w:pPr>
        <w:spacing w:line="440" w:lineRule="atLeast"/>
        <w:rPr>
          <w:rFonts w:hint="eastAsia" w:ascii="宋体" w:hAnsi="宋体" w:cs="宋体"/>
          <w:b/>
          <w:bCs/>
          <w:color w:val="000000" w:themeColor="text1"/>
          <w:szCs w:val="21"/>
          <w:highlight w:val="none"/>
          <w14:textFill>
            <w14:solidFill>
              <w14:schemeClr w14:val="tx1"/>
            </w14:solidFill>
          </w14:textFill>
        </w:rPr>
      </w:pPr>
      <w:bookmarkStart w:id="57" w:name="_Toc5042"/>
      <w:bookmarkStart w:id="58" w:name="_Toc6491"/>
      <w:bookmarkStart w:id="59" w:name="_Toc3101"/>
      <w:bookmarkStart w:id="60" w:name="_Toc32460"/>
      <w:bookmarkStart w:id="61" w:name="_Toc8947"/>
      <w:bookmarkStart w:id="62" w:name="_Toc23807"/>
      <w:bookmarkStart w:id="63" w:name="_Toc3690"/>
      <w:bookmarkStart w:id="64" w:name="_Toc19103"/>
      <w:bookmarkStart w:id="65" w:name="_Toc28947"/>
      <w:r>
        <w:rPr>
          <w:rFonts w:hint="eastAsia" w:ascii="宋体" w:hAnsi="宋体" w:cs="宋体"/>
          <w:b/>
          <w:color w:val="000000" w:themeColor="text1"/>
          <w:szCs w:val="21"/>
          <w:highlight w:val="none"/>
          <w14:textFill>
            <w14:solidFill>
              <w14:schemeClr w14:val="tx1"/>
            </w14:solidFill>
          </w14:textFill>
        </w:rPr>
        <w:t>1.</w:t>
      </w:r>
      <w:bookmarkEnd w:id="57"/>
      <w:bookmarkEnd w:id="58"/>
      <w:bookmarkEnd w:id="59"/>
      <w:bookmarkEnd w:id="60"/>
      <w:bookmarkEnd w:id="61"/>
      <w:bookmarkEnd w:id="62"/>
      <w:bookmarkEnd w:id="63"/>
      <w:bookmarkEnd w:id="64"/>
      <w:bookmarkEnd w:id="65"/>
      <w:bookmarkStart w:id="66" w:name="_Toc340"/>
      <w:r>
        <w:rPr>
          <w:rFonts w:hint="eastAsia" w:ascii="宋体" w:hAnsi="宋体" w:cs="宋体"/>
          <w:b/>
          <w:bCs/>
          <w:color w:val="000000" w:themeColor="text1"/>
          <w:szCs w:val="21"/>
          <w:highlight w:val="none"/>
          <w14:textFill>
            <w14:solidFill>
              <w14:schemeClr w14:val="tx1"/>
            </w14:solidFill>
          </w14:textFill>
        </w:rPr>
        <w:t>项目基本情况</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1.1采购项目名称及采购项目编号：详见供应商须知前附表。</w:t>
      </w:r>
    </w:p>
    <w:p>
      <w:pPr>
        <w:spacing w:line="440" w:lineRule="atLeas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1.2本竞争性磋商文件（以下简称磋商文件）适用于本磋商项目的磋商、评审、合同履约、验收、付款等行为（法律、法规另有规定的，从其规定）。</w:t>
      </w:r>
    </w:p>
    <w:bookmarkEnd w:id="66"/>
    <w:p>
      <w:pPr>
        <w:spacing w:line="440" w:lineRule="atLeast"/>
        <w:rPr>
          <w:rFonts w:hint="eastAsia" w:ascii="宋体" w:hAnsi="宋体" w:cs="宋体"/>
          <w:b/>
          <w:color w:val="000000" w:themeColor="text1"/>
          <w:szCs w:val="21"/>
          <w:highlight w:val="none"/>
          <w14:textFill>
            <w14:solidFill>
              <w14:schemeClr w14:val="tx1"/>
            </w14:solidFill>
          </w14:textFill>
        </w:rPr>
      </w:pPr>
      <w:bookmarkStart w:id="67" w:name="_Toc18940"/>
      <w:bookmarkStart w:id="68" w:name="_Toc2929"/>
      <w:bookmarkStart w:id="69" w:name="_Toc9438"/>
      <w:bookmarkStart w:id="70" w:name="_Toc3390"/>
      <w:bookmarkStart w:id="71" w:name="_Toc11436"/>
      <w:bookmarkStart w:id="72" w:name="_Toc29738"/>
      <w:bookmarkStart w:id="73" w:name="_Toc26622"/>
      <w:bookmarkStart w:id="74" w:name="_Toc22919"/>
      <w:bookmarkStart w:id="75" w:name="_Toc1895"/>
      <w:r>
        <w:rPr>
          <w:rFonts w:hint="eastAsia" w:ascii="宋体" w:hAnsi="宋体" w:cs="宋体"/>
          <w:b/>
          <w:color w:val="000000" w:themeColor="text1"/>
          <w:szCs w:val="21"/>
          <w:highlight w:val="none"/>
          <w14:textFill>
            <w14:solidFill>
              <w14:schemeClr w14:val="tx1"/>
            </w14:solidFill>
          </w14:textFill>
        </w:rPr>
        <w:t>2.定义</w:t>
      </w:r>
      <w:bookmarkEnd w:id="67"/>
      <w:bookmarkEnd w:id="68"/>
      <w:bookmarkEnd w:id="69"/>
      <w:bookmarkEnd w:id="70"/>
      <w:bookmarkEnd w:id="71"/>
      <w:bookmarkEnd w:id="72"/>
      <w:bookmarkEnd w:id="73"/>
      <w:bookmarkEnd w:id="74"/>
      <w:bookmarkEnd w:id="75"/>
    </w:p>
    <w:p>
      <w:pPr>
        <w:spacing w:line="440" w:lineRule="atLeast"/>
        <w:ind w:firstLine="411" w:firstLineChars="196"/>
        <w:rPr>
          <w:rFonts w:hint="eastAsia" w:ascii="宋体" w:hAnsi="宋体" w:eastAsia="宋体" w:cs="宋体"/>
          <w:bCs/>
          <w:color w:val="000000" w:themeColor="text1"/>
          <w:szCs w:val="21"/>
          <w:highlight w:val="none"/>
          <w:lang w:eastAsia="zh-CN"/>
          <w14:textFill>
            <w14:solidFill>
              <w14:schemeClr w14:val="tx1"/>
            </w14:solidFill>
          </w14:textFill>
        </w:rPr>
      </w:pPr>
      <w:bookmarkStart w:id="76" w:name="_Toc376"/>
      <w:bookmarkStart w:id="77" w:name="_Toc790"/>
      <w:bookmarkStart w:id="78" w:name="_Toc13623"/>
      <w:bookmarkStart w:id="79" w:name="_Toc12152"/>
      <w:bookmarkStart w:id="80" w:name="_Toc2146"/>
      <w:bookmarkStart w:id="81" w:name="_Toc24964"/>
      <w:bookmarkStart w:id="82" w:name="_Toc15166"/>
      <w:bookmarkStart w:id="83" w:name="_Toc2140"/>
      <w:bookmarkStart w:id="84" w:name="_Toc28906"/>
      <w:r>
        <w:rPr>
          <w:rFonts w:hint="eastAsia" w:ascii="宋体" w:hAnsi="宋体" w:cs="宋体"/>
          <w:bCs/>
          <w:color w:val="000000" w:themeColor="text1"/>
          <w:szCs w:val="21"/>
          <w:highlight w:val="none"/>
          <w14:textFill>
            <w14:solidFill>
              <w14:schemeClr w14:val="tx1"/>
            </w14:solidFill>
          </w14:textFill>
        </w:rPr>
        <w:t>2.1“采购人”是指：</w:t>
      </w:r>
      <w:r>
        <w:rPr>
          <w:rFonts w:hint="eastAsia" w:ascii="宋体" w:hAnsi="宋体" w:cs="宋体"/>
          <w:bCs/>
          <w:color w:val="000000" w:themeColor="text1"/>
          <w:szCs w:val="21"/>
          <w:highlight w:val="none"/>
          <w:lang w:eastAsia="zh-CN"/>
          <w14:textFill>
            <w14:solidFill>
              <w14:schemeClr w14:val="tx1"/>
            </w14:solidFill>
          </w14:textFill>
        </w:rPr>
        <w:t>桂林市秀峰区住房和城乡建设局</w:t>
      </w:r>
    </w:p>
    <w:p>
      <w:pPr>
        <w:spacing w:line="440" w:lineRule="atLeast"/>
        <w:ind w:firstLine="411" w:firstLineChars="196"/>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2.2“采购代理机构”是指：</w:t>
      </w:r>
      <w:r>
        <w:rPr>
          <w:rFonts w:hint="eastAsia" w:ascii="宋体" w:hAnsi="宋体" w:cs="宋体"/>
          <w:bCs/>
          <w:color w:val="000000" w:themeColor="text1"/>
          <w:szCs w:val="21"/>
          <w:highlight w:val="none"/>
          <w:lang w:eastAsia="zh-CN"/>
          <w14:textFill>
            <w14:solidFill>
              <w14:schemeClr w14:val="tx1"/>
            </w14:solidFill>
          </w14:textFill>
        </w:rPr>
        <w:t>广西嘉弘项目管理有限公司</w:t>
      </w:r>
    </w:p>
    <w:p>
      <w:pPr>
        <w:spacing w:line="440" w:lineRule="atLeast"/>
        <w:ind w:firstLine="411" w:firstLineChars="196"/>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2.3“供应商”是指符合本次采购项目的供应商资格并提交响应文件、参加磋商的供应商。如果该供应商在本次磋商中成交，即成为“成交人”。</w:t>
      </w:r>
    </w:p>
    <w:p>
      <w:pPr>
        <w:spacing w:line="440" w:lineRule="atLeast"/>
        <w:ind w:firstLine="411" w:firstLineChars="196"/>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2.4“服务”：系指按磋商文件规定，供应商须承担是技术协助、技术指导以及其他类似的义务。</w:t>
      </w:r>
    </w:p>
    <w:p>
      <w:pPr>
        <w:spacing w:line="440" w:lineRule="atLeast"/>
        <w:ind w:firstLine="411" w:firstLineChars="196"/>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2.5“竞争性磋商响应文件”简称“响应文件”，供应商根据本文件要求，编制包含报价、技术和服务等所有内容的文件。</w:t>
      </w:r>
    </w:p>
    <w:p>
      <w:pPr>
        <w:spacing w:line="440" w:lineRule="atLeast"/>
        <w:ind w:firstLine="411" w:firstLineChars="196"/>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2.6“书面形式”包括信函、传真、电报等。</w:t>
      </w:r>
    </w:p>
    <w:p>
      <w:pPr>
        <w:spacing w:line="440" w:lineRule="atLeas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3.采购方式、评分办法</w:t>
      </w:r>
      <w:bookmarkEnd w:id="76"/>
      <w:bookmarkEnd w:id="77"/>
      <w:bookmarkEnd w:id="78"/>
      <w:bookmarkEnd w:id="79"/>
      <w:bookmarkEnd w:id="80"/>
      <w:bookmarkEnd w:id="81"/>
      <w:bookmarkEnd w:id="82"/>
      <w:bookmarkEnd w:id="83"/>
      <w:bookmarkEnd w:id="84"/>
    </w:p>
    <w:p>
      <w:pPr>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竞争性磋商、综合评分法</w:t>
      </w:r>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85" w:name="_Toc29647"/>
      <w:bookmarkStart w:id="86" w:name="_Toc22763"/>
      <w:bookmarkStart w:id="87" w:name="_Toc598"/>
      <w:bookmarkStart w:id="88" w:name="_Toc15441"/>
      <w:bookmarkStart w:id="89" w:name="_Toc13564"/>
      <w:bookmarkStart w:id="90" w:name="_Toc29127"/>
      <w:bookmarkStart w:id="91" w:name="_Toc20134"/>
      <w:bookmarkStart w:id="92" w:name="_Toc13834"/>
      <w:bookmarkStart w:id="93" w:name="_Toc17346"/>
      <w:r>
        <w:rPr>
          <w:rFonts w:hint="eastAsia" w:ascii="宋体" w:hAnsi="宋体" w:cs="宋体"/>
          <w:b/>
          <w:color w:val="000000" w:themeColor="text1"/>
          <w:szCs w:val="21"/>
          <w:highlight w:val="none"/>
          <w14:textFill>
            <w14:solidFill>
              <w14:schemeClr w14:val="tx1"/>
            </w14:solidFill>
          </w14:textFill>
        </w:rPr>
        <w:t>4.供应商资格</w:t>
      </w:r>
      <w:bookmarkEnd w:id="85"/>
      <w:bookmarkEnd w:id="86"/>
      <w:bookmarkEnd w:id="87"/>
      <w:bookmarkEnd w:id="88"/>
      <w:bookmarkEnd w:id="89"/>
      <w:bookmarkEnd w:id="90"/>
      <w:bookmarkEnd w:id="91"/>
      <w:bookmarkEnd w:id="92"/>
      <w:bookmarkEnd w:id="93"/>
    </w:p>
    <w:p>
      <w:pPr>
        <w:spacing w:line="440" w:lineRule="atLeast"/>
        <w:ind w:firstLine="411" w:firstLineChars="196"/>
        <w:rPr>
          <w:rFonts w:hint="eastAsia" w:ascii="宋体" w:hAnsi="宋体" w:cs="宋体"/>
          <w:bCs/>
          <w:color w:val="000000" w:themeColor="text1"/>
          <w:szCs w:val="21"/>
          <w:highlight w:val="none"/>
          <w14:textFill>
            <w14:solidFill>
              <w14:schemeClr w14:val="tx1"/>
            </w14:solidFill>
          </w14:textFill>
        </w:rPr>
      </w:pPr>
      <w:bookmarkStart w:id="94" w:name="_Toc27377"/>
      <w:bookmarkStart w:id="95" w:name="_Toc11361"/>
      <w:bookmarkStart w:id="96" w:name="_Toc12882"/>
      <w:bookmarkStart w:id="97" w:name="_Toc22278"/>
      <w:bookmarkStart w:id="98" w:name="_Toc26707"/>
      <w:bookmarkStart w:id="99" w:name="_Toc3176"/>
      <w:bookmarkStart w:id="100" w:name="_Toc31000"/>
      <w:bookmarkStart w:id="101" w:name="_Toc24742"/>
      <w:bookmarkStart w:id="102" w:name="_Toc29375"/>
      <w:r>
        <w:rPr>
          <w:rFonts w:hint="eastAsia" w:ascii="宋体" w:hAnsi="宋体" w:cs="宋体"/>
          <w:bCs/>
          <w:color w:val="000000" w:themeColor="text1"/>
          <w:szCs w:val="21"/>
          <w:highlight w:val="none"/>
          <w14:textFill>
            <w14:solidFill>
              <w14:schemeClr w14:val="tx1"/>
            </w14:solidFill>
          </w14:textFill>
        </w:rPr>
        <w:t>详见供应商须知前附表。</w:t>
      </w:r>
    </w:p>
    <w:p>
      <w:pPr>
        <w:spacing w:line="440" w:lineRule="atLeas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5.磋商费用</w:t>
      </w:r>
      <w:bookmarkEnd w:id="94"/>
      <w:bookmarkEnd w:id="95"/>
      <w:bookmarkEnd w:id="96"/>
      <w:bookmarkEnd w:id="97"/>
      <w:bookmarkEnd w:id="98"/>
      <w:bookmarkEnd w:id="99"/>
      <w:bookmarkEnd w:id="100"/>
      <w:bookmarkEnd w:id="101"/>
      <w:bookmarkEnd w:id="102"/>
    </w:p>
    <w:p>
      <w:pPr>
        <w:spacing w:line="440" w:lineRule="atLeast"/>
        <w:ind w:firstLine="43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不论投标结果如何，供应商均应自行承担所有与磋商有关的全部费用。</w:t>
      </w:r>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103" w:name="_Toc11612"/>
      <w:bookmarkStart w:id="104" w:name="_Toc26377"/>
      <w:bookmarkStart w:id="105" w:name="_Toc1465"/>
      <w:bookmarkStart w:id="106" w:name="_Toc15936"/>
      <w:bookmarkStart w:id="107" w:name="_Toc15748"/>
      <w:bookmarkStart w:id="108" w:name="_Toc27779"/>
      <w:bookmarkStart w:id="109" w:name="_Toc16131"/>
      <w:bookmarkStart w:id="110" w:name="_Toc3614"/>
      <w:bookmarkStart w:id="111" w:name="_Toc22702"/>
      <w:r>
        <w:rPr>
          <w:rFonts w:hint="eastAsia" w:ascii="宋体" w:hAnsi="宋体" w:cs="宋体"/>
          <w:b/>
          <w:color w:val="000000" w:themeColor="text1"/>
          <w:szCs w:val="21"/>
          <w:highlight w:val="none"/>
          <w14:textFill>
            <w14:solidFill>
              <w14:schemeClr w14:val="tx1"/>
            </w14:solidFill>
          </w14:textFill>
        </w:rPr>
        <w:t>6.联合体投标要求</w:t>
      </w:r>
      <w:bookmarkEnd w:id="103"/>
      <w:bookmarkEnd w:id="104"/>
      <w:bookmarkEnd w:id="105"/>
      <w:bookmarkEnd w:id="106"/>
      <w:bookmarkEnd w:id="107"/>
      <w:bookmarkEnd w:id="108"/>
      <w:bookmarkEnd w:id="109"/>
      <w:bookmarkEnd w:id="110"/>
      <w:bookmarkEnd w:id="111"/>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bookmarkStart w:id="112" w:name="_Toc29957"/>
      <w:bookmarkStart w:id="113" w:name="_Toc27095"/>
      <w:bookmarkStart w:id="114" w:name="_Toc7853"/>
      <w:bookmarkStart w:id="115" w:name="_Toc11107"/>
      <w:bookmarkStart w:id="116" w:name="_Toc3291"/>
      <w:bookmarkStart w:id="117" w:name="_Toc8634"/>
      <w:bookmarkStart w:id="118" w:name="_Toc14641"/>
      <w:bookmarkStart w:id="119" w:name="_Toc6046"/>
      <w:bookmarkStart w:id="120" w:name="_Toc12345"/>
      <w:r>
        <w:rPr>
          <w:rFonts w:hint="eastAsia" w:ascii="宋体" w:hAnsi="宋体" w:cs="宋体"/>
          <w:color w:val="000000" w:themeColor="text1"/>
          <w:szCs w:val="21"/>
          <w:highlight w:val="none"/>
          <w14:textFill>
            <w14:solidFill>
              <w14:schemeClr w14:val="tx1"/>
            </w14:solidFill>
          </w14:textFill>
        </w:rPr>
        <w:t>本项目</w:t>
      </w:r>
      <w:r>
        <w:rPr>
          <w:rFonts w:hint="eastAsia" w:ascii="宋体" w:hAnsi="宋体" w:cs="宋体"/>
          <w:b/>
          <w:bCs/>
          <w:color w:val="000000" w:themeColor="text1"/>
          <w:szCs w:val="21"/>
          <w:highlight w:val="none"/>
          <w:u w:val="single"/>
          <w14:textFill>
            <w14:solidFill>
              <w14:schemeClr w14:val="tx1"/>
            </w14:solidFill>
          </w14:textFill>
        </w:rPr>
        <w:t>不接受</w:t>
      </w:r>
      <w:r>
        <w:rPr>
          <w:rFonts w:hint="eastAsia" w:ascii="宋体" w:hAnsi="宋体" w:cs="宋体"/>
          <w:color w:val="000000" w:themeColor="text1"/>
          <w:szCs w:val="21"/>
          <w:highlight w:val="none"/>
          <w14:textFill>
            <w14:solidFill>
              <w14:schemeClr w14:val="tx1"/>
            </w14:solidFill>
          </w14:textFill>
        </w:rPr>
        <w:t>联合体竞标。</w:t>
      </w:r>
    </w:p>
    <w:p>
      <w:pPr>
        <w:spacing w:line="440" w:lineRule="atLeas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7.转包与分包</w:t>
      </w:r>
      <w:bookmarkEnd w:id="112"/>
      <w:bookmarkEnd w:id="113"/>
      <w:bookmarkEnd w:id="114"/>
      <w:bookmarkEnd w:id="115"/>
      <w:bookmarkEnd w:id="116"/>
      <w:bookmarkEnd w:id="117"/>
      <w:bookmarkEnd w:id="118"/>
      <w:bookmarkEnd w:id="119"/>
      <w:bookmarkEnd w:id="120"/>
    </w:p>
    <w:p>
      <w:pPr>
        <w:tabs>
          <w:tab w:val="left" w:pos="163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本项目不允许转包、分包。</w:t>
      </w:r>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121" w:name="_Toc1504"/>
      <w:bookmarkStart w:id="122" w:name="_Toc18661"/>
      <w:bookmarkStart w:id="123" w:name="_Toc19400"/>
      <w:bookmarkStart w:id="124" w:name="_Toc28953"/>
      <w:bookmarkStart w:id="125" w:name="_Toc5088"/>
      <w:bookmarkStart w:id="126" w:name="_Toc31454"/>
      <w:bookmarkStart w:id="127" w:name="_Toc6936"/>
      <w:bookmarkStart w:id="128" w:name="_Toc30274"/>
      <w:bookmarkStart w:id="129" w:name="_Toc31364"/>
      <w:r>
        <w:rPr>
          <w:rFonts w:hint="eastAsia" w:ascii="宋体" w:hAnsi="宋体" w:cs="宋体"/>
          <w:b/>
          <w:color w:val="000000" w:themeColor="text1"/>
          <w:szCs w:val="21"/>
          <w:highlight w:val="none"/>
          <w14:textFill>
            <w14:solidFill>
              <w14:schemeClr w14:val="tx1"/>
            </w14:solidFill>
          </w14:textFill>
        </w:rPr>
        <w:t>8.特别说明</w:t>
      </w:r>
      <w:bookmarkEnd w:id="121"/>
      <w:bookmarkEnd w:id="122"/>
      <w:bookmarkEnd w:id="123"/>
      <w:bookmarkEnd w:id="124"/>
      <w:bookmarkEnd w:id="125"/>
      <w:bookmarkEnd w:id="126"/>
      <w:bookmarkEnd w:id="127"/>
      <w:bookmarkEnd w:id="128"/>
      <w:bookmarkEnd w:id="129"/>
    </w:p>
    <w:p>
      <w:pPr>
        <w:tabs>
          <w:tab w:val="left" w:pos="1635"/>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8.1关联供应商不得参加同一合同项下政府采购活动，否则投标文件将被视为无效：</w:t>
      </w:r>
    </w:p>
    <w:p>
      <w:pPr>
        <w:tabs>
          <w:tab w:val="left" w:pos="163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（1）单位负责人为同一人或者存在直接控股、管理关系的不同供应商，不得参加同一合同项下的政府采购活动。</w:t>
      </w:r>
    </w:p>
    <w:p>
      <w:pPr>
        <w:tabs>
          <w:tab w:val="left" w:pos="1635"/>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（2）为本采购项目提供整体设计、规范编制或者项目管理、监理、检测等服务的供应商，不得再参加本次采购活动。</w:t>
      </w:r>
    </w:p>
    <w:p>
      <w:pPr>
        <w:tabs>
          <w:tab w:val="left" w:pos="1635"/>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8.2供应商应仔细阅读竞争性磋商的所有内容，按照竞争性磋商的要求提交响应文件，并对所提供的全部资料的真实性承担法律责任。</w:t>
      </w:r>
    </w:p>
    <w:p>
      <w:pPr>
        <w:tabs>
          <w:tab w:val="left" w:pos="1635"/>
        </w:tabs>
        <w:spacing w:line="440" w:lineRule="atLeast"/>
        <w:ind w:firstLine="43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8.3供应商在投标活动中提供任何虚假材料，其投标无效，并报监管部门查处；中标后发现的，成交供应商须依照《中华人民共和国消费者权益保护法》赔偿采购人，且民事赔偿并不免除违法供应商的行政与刑事责任。</w:t>
      </w:r>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130" w:name="_Toc14341"/>
      <w:bookmarkStart w:id="131" w:name="_Toc6363"/>
      <w:bookmarkStart w:id="132" w:name="_Toc17175"/>
      <w:bookmarkStart w:id="133" w:name="_Toc12917"/>
      <w:bookmarkStart w:id="134" w:name="_Toc25353"/>
      <w:bookmarkStart w:id="135" w:name="_Toc303"/>
      <w:bookmarkStart w:id="136" w:name="_Toc6489"/>
      <w:bookmarkStart w:id="137" w:name="_Toc7833"/>
      <w:bookmarkStart w:id="138" w:name="_Toc3986"/>
      <w:r>
        <w:rPr>
          <w:rFonts w:hint="eastAsia" w:ascii="宋体" w:hAnsi="宋体" w:cs="宋体"/>
          <w:b/>
          <w:color w:val="000000" w:themeColor="text1"/>
          <w:szCs w:val="21"/>
          <w:highlight w:val="none"/>
          <w14:textFill>
            <w14:solidFill>
              <w14:schemeClr w14:val="tx1"/>
            </w14:solidFill>
          </w14:textFill>
        </w:rPr>
        <w:t>9.质疑和投诉</w:t>
      </w:r>
      <w:bookmarkEnd w:id="130"/>
      <w:bookmarkEnd w:id="131"/>
      <w:bookmarkEnd w:id="132"/>
      <w:bookmarkEnd w:id="133"/>
      <w:bookmarkEnd w:id="134"/>
      <w:bookmarkEnd w:id="135"/>
      <w:bookmarkEnd w:id="136"/>
      <w:bookmarkEnd w:id="137"/>
      <w:bookmarkEnd w:id="138"/>
    </w:p>
    <w:p>
      <w:pPr>
        <w:tabs>
          <w:tab w:val="left" w:pos="1635"/>
        </w:tabs>
        <w:spacing w:line="440" w:lineRule="atLeast"/>
        <w:ind w:firstLine="435"/>
        <w:rPr>
          <w:rFonts w:hint="eastAsia" w:ascii="宋体" w:hAnsi="宋体" w:cs="宋体"/>
          <w:color w:val="000000" w:themeColor="text1"/>
          <w:szCs w:val="21"/>
          <w:highlight w:val="none"/>
          <w14:textFill>
            <w14:solidFill>
              <w14:schemeClr w14:val="tx1"/>
            </w14:solidFill>
          </w14:textFill>
        </w:rPr>
      </w:pPr>
      <w:bookmarkStart w:id="139" w:name="_Toc26087"/>
      <w:bookmarkStart w:id="140" w:name="_Toc8195"/>
      <w:r>
        <w:rPr>
          <w:rFonts w:hint="eastAsia" w:ascii="宋体" w:hAnsi="宋体" w:cs="宋体"/>
          <w:color w:val="000000" w:themeColor="text1"/>
          <w:szCs w:val="21"/>
          <w:highlight w:val="none"/>
          <w14:textFill>
            <w14:solidFill>
              <w14:schemeClr w14:val="tx1"/>
            </w14:solidFill>
          </w14:textFill>
        </w:rPr>
        <w:t>9.1供应商认为竞争性磋商使自己的合法权益受到损害的，应当在本项目招标公告期限届满之日起七个工作日内以书面形式向采购代理机构提出质疑。供应商认为招标过程或成交结果使自己的合法权益受到损害的，应当在采购程序环节结束之日或中标公告期限届满之日起七个工作日内，以书面形式向采购代理机构提出质疑</w:t>
      </w:r>
      <w:bookmarkEnd w:id="139"/>
      <w:bookmarkEnd w:id="140"/>
      <w:r>
        <w:rPr>
          <w:rFonts w:hint="eastAsia" w:ascii="宋体" w:hAnsi="宋体" w:cs="宋体"/>
          <w:color w:val="000000" w:themeColor="text1"/>
          <w:szCs w:val="21"/>
          <w:highlight w:val="none"/>
          <w14:textFill>
            <w14:solidFill>
              <w14:schemeClr w14:val="tx1"/>
            </w14:solidFill>
          </w14:textFill>
        </w:rPr>
        <w:t>。否则，采购代理机构有权拒收。</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采购代理机构应认真做好质疑处理工作，对于质疑供应商在法定质疑期内提出的质疑函，应当在收到质疑函后7个工作日内作出答复，并以书面形式通知质疑供应商和其他有关供应商。</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供应商在法定质疑期内应一次性提出与项目相关的质疑，供应商在提出与项目相关的质疑前应当做好全面且详细的工作，代理机构不再受理供应商针对同一采购程序环节的再次质疑。</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9.2供应商对采购代理机构的质疑答复不满意或者采购代理机构未在规定的时间内作出答复的，可以在答复期满后十五个工作日内向采购监管部门投诉。</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9.3质疑、投诉应当采用书面形式，质疑书、投诉书实行实名制，均应明确阐述竞争性磋商或成交结果中使自己合法权益受到损害的实质性内容，并提供必要的证明材料。</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（1）供应商的姓名或者名称、地址、邮编、联系人及联系电话；</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（2）质疑项目的名称、编号；</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（3）具体、明确的质疑事项和与质疑事项相关的请求；</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（4）事实依据；</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（5）必要的法律依据；</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（6）提出质疑的日期。</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供应商为自然人的，应当由本人签字；供应商为法人或者其他组织的，应当由法定代表人、主要负责人，或者其授权代表签字或者盖章，并加盖公章。</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接收质疑函方式：以书面形式（原件）递交</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质疑联系部门及联系方式：</w:t>
      </w:r>
      <w:r>
        <w:rPr>
          <w:rFonts w:hint="eastAsia" w:ascii="宋体" w:hAnsi="宋体" w:cs="宋体"/>
          <w:color w:val="000000" w:themeColor="text1"/>
          <w:szCs w:val="21"/>
          <w:highlight w:val="none"/>
          <w:lang w:eastAsia="zh-CN"/>
          <w14:textFill>
            <w14:solidFill>
              <w14:schemeClr w14:val="tx1"/>
            </w14:solidFill>
          </w14:textFill>
        </w:rPr>
        <w:t>广西嘉弘项目管理有限公司</w:t>
      </w: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eastAsia="zh-CN"/>
          <w14:textFill>
            <w14:solidFill>
              <w14:schemeClr w14:val="tx1"/>
            </w14:solidFill>
          </w14:textFill>
        </w:rPr>
        <w:t>申越</w:t>
      </w: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lang w:eastAsia="zh-CN"/>
          <w14:textFill>
            <w14:solidFill>
              <w14:schemeClr w14:val="tx1"/>
            </w14:solidFill>
          </w14:textFill>
        </w:rPr>
        <w:t>0773-3861313</w:t>
      </w: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szCs w:val="21"/>
          <w:highlight w:val="none"/>
          <w:lang w:eastAsia="zh-CN"/>
          <w14:textFill>
            <w14:solidFill>
              <w14:schemeClr w14:val="tx1"/>
            </w14:solidFill>
          </w14:textFill>
        </w:rPr>
        <w:t>桂林市秀峰区翠竹路23号41栋1号</w:t>
      </w:r>
      <w:r>
        <w:rPr>
          <w:rFonts w:hint="eastAsia" w:ascii="宋体" w:hAnsi="宋体" w:cs="宋体"/>
          <w:color w:val="000000" w:themeColor="text1"/>
          <w:szCs w:val="21"/>
          <w:highlight w:val="none"/>
          <w14:textFill>
            <w14:solidFill>
              <w14:schemeClr w14:val="tx1"/>
            </w14:solidFill>
          </w14:textFill>
        </w:rPr>
        <w:t>。</w:t>
      </w:r>
    </w:p>
    <w:p>
      <w:pPr>
        <w:spacing w:line="440" w:lineRule="atLeast"/>
        <w:jc w:val="center"/>
        <w:rPr>
          <w:rFonts w:hint="eastAsia" w:ascii="宋体" w:hAnsi="宋体" w:cs="宋体"/>
          <w:b/>
          <w:color w:val="000000" w:themeColor="text1"/>
          <w:szCs w:val="21"/>
          <w:highlight w:val="none"/>
          <w14:textFill>
            <w14:solidFill>
              <w14:schemeClr w14:val="tx1"/>
            </w14:solidFill>
          </w14:textFill>
        </w:rPr>
      </w:pPr>
      <w:bookmarkStart w:id="141" w:name="_Toc10839"/>
      <w:bookmarkStart w:id="142" w:name="_Toc3034"/>
      <w:bookmarkStart w:id="143" w:name="_Toc23663"/>
      <w:bookmarkStart w:id="144" w:name="_Toc26766"/>
      <w:bookmarkStart w:id="145" w:name="_Toc26849"/>
      <w:bookmarkStart w:id="146" w:name="_Toc2855"/>
      <w:bookmarkStart w:id="147" w:name="_Toc16097"/>
      <w:bookmarkStart w:id="148" w:name="_Toc1107"/>
      <w:bookmarkStart w:id="149" w:name="_Toc495841755"/>
      <w:bookmarkStart w:id="150" w:name="_Toc17998"/>
      <w:r>
        <w:rPr>
          <w:rFonts w:hint="eastAsia" w:ascii="宋体" w:hAnsi="宋体" w:cs="宋体"/>
          <w:b/>
          <w:color w:val="000000" w:themeColor="text1"/>
          <w:szCs w:val="21"/>
          <w:highlight w:val="none"/>
          <w14:textFill>
            <w14:solidFill>
              <w14:schemeClr w14:val="tx1"/>
            </w14:solidFill>
          </w14:textFill>
        </w:rPr>
        <w:br w:type="page"/>
      </w:r>
      <w:r>
        <w:rPr>
          <w:rFonts w:hint="eastAsia" w:ascii="宋体" w:hAnsi="宋体" w:cs="宋体"/>
          <w:b/>
          <w:color w:val="000000" w:themeColor="text1"/>
          <w:szCs w:val="21"/>
          <w:highlight w:val="none"/>
          <w14:textFill>
            <w14:solidFill>
              <w14:schemeClr w14:val="tx1"/>
            </w14:solidFill>
          </w14:textFill>
        </w:rPr>
        <w:t>二、磋商文件</w:t>
      </w:r>
      <w:bookmarkEnd w:id="141"/>
      <w:bookmarkEnd w:id="142"/>
      <w:bookmarkEnd w:id="143"/>
      <w:bookmarkEnd w:id="144"/>
      <w:bookmarkEnd w:id="145"/>
      <w:bookmarkEnd w:id="146"/>
      <w:bookmarkEnd w:id="147"/>
      <w:bookmarkEnd w:id="148"/>
      <w:bookmarkEnd w:id="149"/>
      <w:bookmarkEnd w:id="150"/>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151" w:name="_Toc31701"/>
      <w:bookmarkStart w:id="152" w:name="_Toc26066"/>
      <w:bookmarkStart w:id="153" w:name="_Toc3397"/>
      <w:bookmarkStart w:id="154" w:name="_Toc8065"/>
      <w:bookmarkStart w:id="155" w:name="_Toc10485"/>
      <w:bookmarkStart w:id="156" w:name="_Toc11214"/>
      <w:bookmarkStart w:id="157" w:name="_Toc26949"/>
      <w:bookmarkStart w:id="158" w:name="_Toc5514"/>
      <w:bookmarkStart w:id="159" w:name="_Toc18153"/>
      <w:r>
        <w:rPr>
          <w:rFonts w:hint="eastAsia" w:ascii="宋体" w:hAnsi="宋体" w:cs="宋体"/>
          <w:b/>
          <w:color w:val="000000" w:themeColor="text1"/>
          <w:szCs w:val="21"/>
          <w:highlight w:val="none"/>
          <w14:textFill>
            <w14:solidFill>
              <w14:schemeClr w14:val="tx1"/>
            </w14:solidFill>
          </w14:textFill>
        </w:rPr>
        <w:t>10.磋商文件的构成</w:t>
      </w:r>
      <w:bookmarkEnd w:id="151"/>
      <w:bookmarkEnd w:id="152"/>
      <w:bookmarkEnd w:id="153"/>
      <w:bookmarkEnd w:id="154"/>
      <w:bookmarkEnd w:id="155"/>
      <w:bookmarkEnd w:id="156"/>
      <w:bookmarkEnd w:id="157"/>
      <w:bookmarkEnd w:id="158"/>
      <w:bookmarkEnd w:id="159"/>
    </w:p>
    <w:p>
      <w:pPr>
        <w:spacing w:line="440" w:lineRule="atLeast"/>
        <w:ind w:firstLine="411" w:firstLineChars="19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（1）竞争性磋商公告；</w:t>
      </w:r>
    </w:p>
    <w:p>
      <w:pPr>
        <w:spacing w:line="440" w:lineRule="atLeast"/>
        <w:ind w:firstLine="411" w:firstLineChars="19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（2）供应商须知；</w:t>
      </w:r>
    </w:p>
    <w:p>
      <w:pPr>
        <w:spacing w:line="440" w:lineRule="atLeast"/>
        <w:ind w:firstLine="411" w:firstLineChars="196"/>
        <w:rPr>
          <w:rFonts w:hint="eastAsia" w:ascii="宋体" w:hAnsi="宋体" w:cs="宋体"/>
          <w:color w:val="000000" w:themeColor="text1"/>
          <w:szCs w:val="21"/>
          <w:highlight w:val="none"/>
          <w14:textFill>
            <w14:solidFill>
              <w14:schemeClr w14:val="tx1"/>
            </w14:solidFill>
          </w14:textFill>
        </w:rPr>
      </w:pPr>
      <w:bookmarkStart w:id="160" w:name="_Toc10396"/>
      <w:bookmarkStart w:id="161" w:name="_Toc17307"/>
      <w:bookmarkStart w:id="162" w:name="_Toc26988"/>
      <w:bookmarkStart w:id="163" w:name="_Toc24191"/>
      <w:bookmarkStart w:id="164" w:name="_Toc5481"/>
      <w:bookmarkStart w:id="165" w:name="_Toc15697"/>
      <w:bookmarkStart w:id="166" w:name="_Toc10831"/>
      <w:bookmarkStart w:id="167" w:name="_Toc24416"/>
      <w:bookmarkStart w:id="168" w:name="_Toc15944"/>
      <w:r>
        <w:rPr>
          <w:rFonts w:hint="eastAsia" w:ascii="宋体" w:hAnsi="宋体" w:cs="宋体"/>
          <w:color w:val="000000" w:themeColor="text1"/>
          <w:szCs w:val="21"/>
          <w:highlight w:val="none"/>
          <w14:textFill>
            <w14:solidFill>
              <w14:schemeClr w14:val="tx1"/>
            </w14:solidFill>
          </w14:textFill>
        </w:rPr>
        <w:t>（3）采购需求；</w:t>
      </w:r>
    </w:p>
    <w:p>
      <w:pPr>
        <w:spacing w:line="440" w:lineRule="atLeast"/>
        <w:ind w:firstLine="411" w:firstLineChars="19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（4）评审办法；</w:t>
      </w:r>
    </w:p>
    <w:p>
      <w:pPr>
        <w:spacing w:line="440" w:lineRule="atLeast"/>
        <w:ind w:firstLine="411" w:firstLineChars="19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（5）合同条款及格式；</w:t>
      </w:r>
    </w:p>
    <w:p>
      <w:pPr>
        <w:spacing w:line="440" w:lineRule="atLeast"/>
        <w:ind w:firstLine="411" w:firstLineChars="196"/>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（6）响应文件（格式）。</w:t>
      </w:r>
    </w:p>
    <w:p>
      <w:pPr>
        <w:spacing w:line="440" w:lineRule="atLeas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11.磋商文件的澄清与修改</w:t>
      </w:r>
      <w:bookmarkEnd w:id="160"/>
      <w:bookmarkEnd w:id="161"/>
      <w:bookmarkEnd w:id="162"/>
      <w:bookmarkEnd w:id="163"/>
      <w:bookmarkEnd w:id="164"/>
      <w:bookmarkEnd w:id="165"/>
      <w:bookmarkEnd w:id="166"/>
      <w:bookmarkEnd w:id="167"/>
      <w:bookmarkEnd w:id="168"/>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提交首次响应文件截止之日前，采购代理机构可以对已发出的磋商文件进行必要澄清或者修改，澄清或者修改的内容可能影响响应文件编制的，采购代理机构应当在提交首次响应文件递交截止时间五日前在本项目竞争性磋商公告发布的同一媒体上发布更正公告，不足五日的，应当顺延首次响应文件递交截止时间。</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供应商获取竞争性磋商文件后必须实时关注相关网站了解澄清、修改等与项目有关的内容，如因供应商未及时登录相关网站了解澄清、修改等与项目有关的内容，从而导致响应文件无效的，由供应商自行承担责任。</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11.3澄清或者修改的内容为磋商文件的组成部分。当澄清或者修改通知就同一内容的表述不一致时，以最后发出的书面文件为准。</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11.4磋商文件的澄清或者修改都应该通过本项目采购代理机构以法定形式发布，采购人非通过本机构，不得擅自澄清、答复、修改或补充磋商文件。</w:t>
      </w:r>
    </w:p>
    <w:p>
      <w:pPr>
        <w:tabs>
          <w:tab w:val="left" w:pos="2190"/>
        </w:tabs>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11.5采购代理机构可以视采购具体情况，延长响应文件递交截止时间和磋商时间，并在本项目竞争性磋商公告发布的同一媒体上发布变更公告。</w:t>
      </w:r>
    </w:p>
    <w:p>
      <w:pPr>
        <w:spacing w:line="440" w:lineRule="atLeast"/>
        <w:jc w:val="center"/>
        <w:rPr>
          <w:rFonts w:hint="eastAsia" w:ascii="宋体" w:hAnsi="宋体" w:cs="宋体"/>
          <w:b/>
          <w:color w:val="000000" w:themeColor="text1"/>
          <w:szCs w:val="21"/>
          <w:highlight w:val="none"/>
          <w14:textFill>
            <w14:solidFill>
              <w14:schemeClr w14:val="tx1"/>
            </w14:solidFill>
          </w14:textFill>
        </w:rPr>
      </w:pPr>
      <w:bookmarkStart w:id="169" w:name="_Toc14821"/>
      <w:bookmarkStart w:id="170" w:name="_Toc495841756"/>
      <w:bookmarkStart w:id="171" w:name="_Toc24592"/>
      <w:bookmarkStart w:id="172" w:name="_Toc24600"/>
      <w:bookmarkStart w:id="173" w:name="_Toc5878"/>
      <w:bookmarkStart w:id="174" w:name="_Toc7631"/>
      <w:bookmarkStart w:id="175" w:name="_Toc12874"/>
      <w:bookmarkStart w:id="176" w:name="_Toc9202"/>
      <w:bookmarkStart w:id="177" w:name="_Toc229"/>
      <w:bookmarkStart w:id="178" w:name="_Toc411"/>
      <w:r>
        <w:rPr>
          <w:rFonts w:hint="eastAsia" w:ascii="宋体" w:hAnsi="宋体" w:cs="宋体"/>
          <w:b/>
          <w:color w:val="000000" w:themeColor="text1"/>
          <w:szCs w:val="21"/>
          <w:highlight w:val="none"/>
          <w14:textFill>
            <w14:solidFill>
              <w14:schemeClr w14:val="tx1"/>
            </w14:solidFill>
          </w14:textFill>
        </w:rPr>
        <w:t>三、</w:t>
      </w:r>
      <w:bookmarkEnd w:id="169"/>
      <w:bookmarkEnd w:id="170"/>
      <w:bookmarkEnd w:id="171"/>
      <w:bookmarkEnd w:id="172"/>
      <w:bookmarkEnd w:id="173"/>
      <w:bookmarkEnd w:id="174"/>
      <w:bookmarkEnd w:id="175"/>
      <w:bookmarkEnd w:id="176"/>
      <w:bookmarkEnd w:id="177"/>
      <w:bookmarkEnd w:id="178"/>
      <w:r>
        <w:rPr>
          <w:rFonts w:hint="eastAsia" w:ascii="宋体" w:hAnsi="宋体" w:cs="宋体"/>
          <w:b/>
          <w:color w:val="000000" w:themeColor="text1"/>
          <w:szCs w:val="21"/>
          <w:highlight w:val="none"/>
          <w14:textFill>
            <w14:solidFill>
              <w14:schemeClr w14:val="tx1"/>
            </w14:solidFill>
          </w14:textFill>
        </w:rPr>
        <w:t>竞争性磋商响应文件的编制</w:t>
      </w:r>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179" w:name="_Toc19723"/>
      <w:bookmarkStart w:id="180" w:name="_Toc12096"/>
      <w:bookmarkStart w:id="181" w:name="_Toc26339"/>
      <w:bookmarkStart w:id="182" w:name="_Toc17149"/>
      <w:bookmarkStart w:id="183" w:name="_Toc8620"/>
      <w:bookmarkStart w:id="184" w:name="_Toc32745"/>
      <w:bookmarkStart w:id="185" w:name="_Toc18660"/>
      <w:bookmarkStart w:id="186" w:name="_Toc26390"/>
      <w:bookmarkStart w:id="187" w:name="_Toc15443"/>
      <w:r>
        <w:rPr>
          <w:rFonts w:hint="eastAsia" w:ascii="宋体" w:hAnsi="宋体" w:cs="宋体"/>
          <w:b/>
          <w:color w:val="000000" w:themeColor="text1"/>
          <w:szCs w:val="21"/>
          <w:highlight w:val="none"/>
          <w14:textFill>
            <w14:solidFill>
              <w14:schemeClr w14:val="tx1"/>
            </w14:solidFill>
          </w14:textFill>
        </w:rPr>
        <w:t>12.</w:t>
      </w:r>
      <w:bookmarkEnd w:id="179"/>
      <w:bookmarkEnd w:id="180"/>
      <w:bookmarkEnd w:id="181"/>
      <w:bookmarkEnd w:id="182"/>
      <w:bookmarkEnd w:id="183"/>
      <w:bookmarkEnd w:id="184"/>
      <w:bookmarkEnd w:id="185"/>
      <w:bookmarkEnd w:id="186"/>
      <w:bookmarkEnd w:id="187"/>
      <w:r>
        <w:rPr>
          <w:rFonts w:hint="eastAsia" w:ascii="宋体" w:hAnsi="宋体" w:cs="宋体"/>
          <w:b/>
          <w:color w:val="000000" w:themeColor="text1"/>
          <w:szCs w:val="21"/>
          <w:highlight w:val="none"/>
          <w14:textFill>
            <w14:solidFill>
              <w14:schemeClr w14:val="tx1"/>
            </w14:solidFill>
          </w14:textFill>
        </w:rPr>
        <w:t>竞争性磋商响应文件编制基本要求</w:t>
      </w:r>
    </w:p>
    <w:p>
      <w:pPr>
        <w:tabs>
          <w:tab w:val="left" w:pos="2190"/>
        </w:tabs>
        <w:spacing w:line="440" w:lineRule="atLeast"/>
        <w:ind w:firstLine="435"/>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12.1本项目实行电子响应，供应商应准备电子磋商响应文件：</w:t>
      </w:r>
    </w:p>
    <w:p>
      <w:pPr>
        <w:tabs>
          <w:tab w:val="left" w:pos="2190"/>
        </w:tabs>
        <w:spacing w:line="440" w:lineRule="atLeast"/>
        <w:ind w:firstLine="435"/>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12.1.1电子响应文件按广西政府采购云平台要求及本磋商文件要求制作、加密并递交。具体操作流程可参考《政府采购项目电子交易管理操作指南--供应商》，指南可在“http://www.ccgp-guangxi.gov.cn/PurchaseAdvisory/ImportantNotice/2866753.html”下载。</w:t>
      </w:r>
    </w:p>
    <w:p>
      <w:pPr>
        <w:tabs>
          <w:tab w:val="left" w:pos="2190"/>
        </w:tabs>
        <w:spacing w:line="440" w:lineRule="atLeast"/>
        <w:ind w:firstLine="435"/>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12.2竞争性磋商响应文件（以下简称响应文件）的组成及要求</w:t>
      </w:r>
      <w:r>
        <w:rPr>
          <w:rFonts w:hint="eastAsia" w:ascii="宋体" w:hAnsi="宋体" w:cs="宋体"/>
          <w:b/>
          <w:color w:val="000000" w:themeColor="text1"/>
          <w:szCs w:val="21"/>
          <w:highlight w:val="none"/>
          <w14:textFill>
            <w14:solidFill>
              <w14:schemeClr w14:val="tx1"/>
            </w14:solidFill>
          </w14:textFill>
        </w:rPr>
        <w:t>【格式见第七章“响应文件（格式）”】</w:t>
      </w:r>
    </w:p>
    <w:p>
      <w:pPr>
        <w:spacing w:line="440" w:lineRule="atLeas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12.2.1资格性响应证明材料（下列文件加盖公章，必须提供，否则竞标无效）</w:t>
      </w:r>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（1）供应商相应的法定代表人、负责人身份证正反两面复印件</w:t>
      </w:r>
      <w:r>
        <w:rPr>
          <w:rFonts w:hint="eastAsia" w:ascii="宋体" w:hAnsi="宋体" w:cs="宋体"/>
          <w:b/>
          <w:color w:val="000000" w:themeColor="text1"/>
          <w:szCs w:val="21"/>
          <w:highlight w:val="none"/>
          <w14:textFill>
            <w14:solidFill>
              <w14:schemeClr w14:val="tx1"/>
            </w14:solidFill>
          </w14:textFill>
        </w:rPr>
        <w:t>（必须提供）</w:t>
      </w:r>
      <w:r>
        <w:rPr>
          <w:rFonts w:hint="eastAsia" w:ascii="宋体" w:hAnsi="宋体" w:cs="宋体"/>
          <w:color w:val="000000" w:themeColor="text1"/>
          <w:szCs w:val="21"/>
          <w:highlight w:val="none"/>
          <w14:textFill>
            <w14:solidFill>
              <w14:schemeClr w14:val="tx1"/>
            </w14:solidFill>
          </w14:textFill>
        </w:rPr>
        <w:t>；</w:t>
      </w:r>
    </w:p>
    <w:p>
      <w:pPr>
        <w:pStyle w:val="21"/>
        <w:spacing w:line="440" w:lineRule="atLeast"/>
        <w:ind w:firstLine="420" w:firstLineChars="200"/>
        <w:rPr>
          <w:rFonts w:hint="eastAsia" w:hAnsi="宋体" w:cs="宋体"/>
          <w:b/>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w:t>
      </w:r>
      <w:r>
        <w:rPr>
          <w:rFonts w:hint="eastAsia" w:hAnsi="宋体" w:cs="宋体"/>
          <w:bCs/>
          <w:color w:val="000000" w:themeColor="text1"/>
          <w:szCs w:val="21"/>
          <w:highlight w:val="none"/>
          <w14:textFill>
            <w14:solidFill>
              <w14:schemeClr w14:val="tx1"/>
            </w14:solidFill>
          </w14:textFill>
        </w:rPr>
        <w:t>供应商的授权委托书原件、委托代理人身份证正反面复印件</w:t>
      </w:r>
      <w:r>
        <w:rPr>
          <w:rFonts w:hint="eastAsia" w:hAnsi="宋体" w:cs="宋体"/>
          <w:b/>
          <w:color w:val="000000" w:themeColor="text1"/>
          <w:szCs w:val="21"/>
          <w:highlight w:val="none"/>
          <w14:textFill>
            <w14:solidFill>
              <w14:schemeClr w14:val="tx1"/>
            </w14:solidFill>
          </w14:textFill>
        </w:rPr>
        <w:t>（委托代理时必须提供）；</w:t>
      </w:r>
    </w:p>
    <w:p>
      <w:pPr>
        <w:pStyle w:val="21"/>
        <w:spacing w:line="440" w:lineRule="atLeast"/>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（3）供应商参</w:t>
      </w:r>
      <w:r>
        <w:rPr>
          <w:rFonts w:hint="eastAsia" w:hAnsi="宋体" w:cs="宋体"/>
          <w:bCs/>
          <w:color w:val="000000" w:themeColor="text1"/>
          <w:szCs w:val="21"/>
          <w:highlight w:val="none"/>
          <w14:textFill>
            <w14:solidFill>
              <w14:schemeClr w14:val="tx1"/>
            </w14:solidFill>
          </w14:textFill>
        </w:rPr>
        <w:t>加政府采购活动前3年内在经营活动中没有重大违法记录及有关信用信息的书面声明</w:t>
      </w:r>
      <w:r>
        <w:rPr>
          <w:rFonts w:hint="eastAsia" w:hAnsi="宋体" w:cs="宋体"/>
          <w:b/>
          <w:color w:val="000000" w:themeColor="text1"/>
          <w:szCs w:val="21"/>
          <w:highlight w:val="none"/>
          <w14:textFill>
            <w14:solidFill>
              <w14:schemeClr w14:val="tx1"/>
            </w14:solidFill>
          </w14:textFill>
        </w:rPr>
        <w:t>（必须提供）；</w:t>
      </w:r>
    </w:p>
    <w:p>
      <w:pPr>
        <w:spacing w:line="440" w:lineRule="atLeast"/>
        <w:ind w:firstLine="411" w:firstLineChars="196"/>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（4）供应商营业执照副本复印件</w:t>
      </w:r>
      <w:r>
        <w:rPr>
          <w:rFonts w:hint="eastAsia" w:ascii="宋体" w:hAnsi="宋体" w:cs="宋体"/>
          <w:b/>
          <w:bCs/>
          <w:color w:val="000000" w:themeColor="text1"/>
          <w:szCs w:val="21"/>
          <w:highlight w:val="none"/>
          <w14:textFill>
            <w14:solidFill>
              <w14:schemeClr w14:val="tx1"/>
            </w14:solidFill>
          </w14:textFill>
        </w:rPr>
        <w:t>（必须提供）；</w:t>
      </w:r>
    </w:p>
    <w:p>
      <w:pPr>
        <w:spacing w:line="440" w:lineRule="atLeast"/>
        <w:ind w:firstLine="435"/>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（5）供应商有效的资质证书副本复印件</w:t>
      </w:r>
      <w:r>
        <w:rPr>
          <w:rFonts w:hint="eastAsia" w:ascii="宋体" w:hAnsi="宋体" w:cs="宋体"/>
          <w:b/>
          <w:bCs/>
          <w:color w:val="000000" w:themeColor="text1"/>
          <w:szCs w:val="21"/>
          <w:highlight w:val="none"/>
          <w14:textFill>
            <w14:solidFill>
              <w14:schemeClr w14:val="tx1"/>
            </w14:solidFill>
          </w14:textFill>
        </w:rPr>
        <w:t>（必须提供）；</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（6）供应商参加本项目无围标串标行为的承诺函</w:t>
      </w:r>
      <w:r>
        <w:rPr>
          <w:rFonts w:hint="eastAsia" w:ascii="宋体" w:hAnsi="宋体" w:cs="宋体"/>
          <w:b/>
          <w:bCs/>
          <w:color w:val="000000" w:themeColor="text1"/>
          <w:szCs w:val="21"/>
          <w:highlight w:val="none"/>
          <w14:textFill>
            <w14:solidFill>
              <w14:schemeClr w14:val="tx1"/>
            </w14:solidFill>
          </w14:textFill>
        </w:rPr>
        <w:t>（必须提供）；</w:t>
      </w:r>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）供应商可结合本项目的评审办法视自身情况自行提交相关资格审查证明材料</w:t>
      </w:r>
      <w:r>
        <w:rPr>
          <w:rFonts w:hint="eastAsia" w:ascii="宋体" w:hAnsi="宋体" w:cs="宋体"/>
          <w:b/>
          <w:bCs/>
          <w:color w:val="000000" w:themeColor="text1"/>
          <w:szCs w:val="21"/>
          <w:highlight w:val="none"/>
          <w14:textFill>
            <w14:solidFill>
              <w14:schemeClr w14:val="tx1"/>
            </w14:solidFill>
          </w14:textFill>
        </w:rPr>
        <w:t>（如有，请提供）；</w:t>
      </w:r>
    </w:p>
    <w:p>
      <w:pPr>
        <w:tabs>
          <w:tab w:val="left" w:pos="1305"/>
        </w:tabs>
        <w:spacing w:line="440" w:lineRule="atLeas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12.2.2</w:t>
      </w:r>
      <w:r>
        <w:rPr>
          <w:rFonts w:hint="eastAsia" w:ascii="宋体" w:hAnsi="宋体" w:cs="宋体"/>
          <w:b/>
          <w:color w:val="000000" w:themeColor="text1"/>
          <w:szCs w:val="21"/>
          <w:highlight w:val="none"/>
          <w14:textFill>
            <w14:solidFill>
              <w14:schemeClr w14:val="tx1"/>
            </w14:solidFill>
          </w14:textFill>
        </w:rPr>
        <w:t>商务、技术性响应证明材料：</w:t>
      </w:r>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（1）响应函</w:t>
      </w:r>
      <w:r>
        <w:rPr>
          <w:rFonts w:hint="eastAsia" w:ascii="宋体" w:hAnsi="宋体" w:cs="宋体"/>
          <w:bCs/>
          <w:color w:val="000000" w:themeColor="text1"/>
          <w:kern w:val="0"/>
          <w:szCs w:val="21"/>
          <w:highlight w:val="none"/>
          <w14:textFill>
            <w14:solidFill>
              <w14:schemeClr w14:val="tx1"/>
            </w14:solidFill>
          </w14:textFill>
        </w:rPr>
        <w:t>；</w:t>
      </w:r>
      <w:r>
        <w:rPr>
          <w:rFonts w:hint="eastAsia" w:ascii="宋体" w:hAnsi="宋体" w:cs="宋体"/>
          <w:b/>
          <w:color w:val="000000" w:themeColor="text1"/>
          <w:kern w:val="0"/>
          <w:szCs w:val="21"/>
          <w:highlight w:val="none"/>
          <w14:textFill>
            <w14:solidFill>
              <w14:schemeClr w14:val="tx1"/>
            </w14:solidFill>
          </w14:textFill>
        </w:rPr>
        <w:t>（必须提供）；</w:t>
      </w:r>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（2）项目管理机构组成表（如有，请提供）；</w:t>
      </w:r>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（3）设计技术方案（如有，请提供）；</w:t>
      </w:r>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（4）服务承诺（如有，请提供）；</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供应商属于中小企业的应提供《中小企业声明函》（详见附件）；或属于监狱企业的，应当提供由省级以上监狱管理局、戒毒管理局(含新疆生产建设兵团)出具的属于监狱企业的证明文件；或符合条件的残疾人福利性单位在参加政府采购活动时，应当提供《残疾人福利性单位声明函》（详见附件），并对声明的真实性负责（如有，请提供）</w:t>
      </w:r>
      <w:r>
        <w:rPr>
          <w:rFonts w:hint="eastAsia" w:ascii="宋体" w:hAnsi="宋体" w:cs="宋体"/>
          <w:b/>
          <w:bCs/>
          <w:color w:val="000000" w:themeColor="text1"/>
          <w:szCs w:val="21"/>
          <w:highlight w:val="none"/>
          <w14:textFill>
            <w14:solidFill>
              <w14:schemeClr w14:val="tx1"/>
            </w14:solidFill>
          </w14:textFill>
        </w:rPr>
        <w:t>；</w:t>
      </w:r>
    </w:p>
    <w:p>
      <w:pPr>
        <w:tabs>
          <w:tab w:val="left" w:pos="1305"/>
        </w:tabs>
        <w:spacing w:line="440" w:lineRule="atLeast"/>
        <w:ind w:firstLine="420"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供应商相关获奖证书、认证证书等复印件（如有请提供）</w:t>
      </w:r>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）供应商认为有必要提供的其他资料（如有，请提供）。</w:t>
      </w:r>
    </w:p>
    <w:p>
      <w:pPr>
        <w:spacing w:line="440" w:lineRule="atLeast"/>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供应商提供的以上相关证明材料必须真实有效，属于“必须提供”的文件应加盖供应商CA认证证书签章，否则响应文件按无效处理；其中“必须提供”的文件“响应文件（格式）”中有要求法定代表人(负责人)或相应的授权委托代理人在规定位置签字的，可使用法定代表人(负责人)或相应的授权委托代理人个人CA认证证书签章，没有办理政采云个人CA认证证书签章的可在响应文件中涉及到签字的位置手写签字后扫描或者拍照做成PDF的格式上传，无个人CA认证证书签章及手写签字的，响应文件按无效处理。</w:t>
      </w:r>
    </w:p>
    <w:p>
      <w:pPr>
        <w:spacing w:line="440" w:lineRule="atLeas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12.3供应商应按采购文件第七章“响应文件（格式）”编制响应文件。</w:t>
      </w:r>
    </w:p>
    <w:p>
      <w:pPr>
        <w:spacing w:line="440" w:lineRule="atLeas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12.4响应文件应当对采购文件提出的要求和条件作出明确响应。</w:t>
      </w:r>
    </w:p>
    <w:p>
      <w:pPr>
        <w:spacing w:line="440" w:lineRule="atLeast"/>
        <w:ind w:firstLine="42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特别说明：</w:t>
      </w:r>
    </w:p>
    <w:p>
      <w:pPr>
        <w:tabs>
          <w:tab w:val="left" w:pos="1305"/>
        </w:tabs>
        <w:spacing w:line="440" w:lineRule="atLeast"/>
        <w:ind w:firstLine="422" w:firstLineChars="200"/>
        <w:rPr>
          <w:rFonts w:hint="eastAsia" w:ascii="宋体" w:hAnsi="宋体" w:cs="宋体"/>
          <w:b/>
          <w:bCs/>
          <w:color w:val="000000" w:themeColor="text1"/>
          <w:szCs w:val="21"/>
          <w:highlight w:val="none"/>
          <w14:textFill>
            <w14:solidFill>
              <w14:schemeClr w14:val="tx1"/>
            </w14:solidFill>
          </w14:textFill>
        </w:rPr>
      </w:pPr>
      <w:bookmarkStart w:id="188" w:name="_Toc11037"/>
      <w:r>
        <w:rPr>
          <w:rFonts w:hint="eastAsia" w:ascii="宋体" w:hAnsi="宋体" w:cs="宋体"/>
          <w:b/>
          <w:bCs/>
          <w:color w:val="000000" w:themeColor="text1"/>
          <w:szCs w:val="21"/>
          <w:highlight w:val="none"/>
          <w14:textFill>
            <w14:solidFill>
              <w14:schemeClr w14:val="tx1"/>
            </w14:solidFill>
          </w14:textFill>
        </w:rPr>
        <w:t>（1）若响应文件中有专门标注的某关联点，并要求供应商在电子投标系统中作出投标响应的，如供应商未对关联点进行响应或者在投标文件其它内容中进行描述，造成电子评审不能查询的责任由供应商自行承担。</w:t>
      </w:r>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189" w:name="_Toc32647"/>
      <w:bookmarkStart w:id="190" w:name="_Toc21191"/>
      <w:bookmarkStart w:id="191" w:name="_Toc19729"/>
      <w:bookmarkStart w:id="192" w:name="_Toc27768"/>
      <w:bookmarkStart w:id="193" w:name="_Toc16072"/>
      <w:bookmarkStart w:id="194" w:name="_Toc27918"/>
      <w:bookmarkStart w:id="195" w:name="_Toc5166"/>
      <w:bookmarkStart w:id="196" w:name="_Toc15181"/>
      <w:r>
        <w:rPr>
          <w:rFonts w:hint="eastAsia" w:ascii="宋体" w:hAnsi="宋体" w:cs="宋体"/>
          <w:b/>
          <w:color w:val="000000" w:themeColor="text1"/>
          <w:szCs w:val="21"/>
          <w:highlight w:val="none"/>
          <w14:textFill>
            <w14:solidFill>
              <w14:schemeClr w14:val="tx1"/>
            </w14:solidFill>
          </w14:textFill>
        </w:rPr>
        <w:t>13.响应文件的语言及计量</w:t>
      </w:r>
      <w:bookmarkEnd w:id="188"/>
      <w:bookmarkEnd w:id="189"/>
      <w:bookmarkEnd w:id="190"/>
      <w:bookmarkEnd w:id="191"/>
      <w:bookmarkEnd w:id="192"/>
      <w:bookmarkEnd w:id="193"/>
      <w:bookmarkEnd w:id="194"/>
      <w:bookmarkEnd w:id="195"/>
      <w:bookmarkEnd w:id="196"/>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响应文件以及供应商与采购人或者采购代理机构就有关响应事宜的所有来往函电，均应以中文汉语书写。供应商提交的支持文件和印刷的文献可以使用别的语言，但其相应内容必须附有中文翻译文本，在解释响应文件时以中文翻译文本为主。</w:t>
      </w:r>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13.2响应计量单位，采购文件已有明确规定的，使用采购文件规定的计量单位；采购文件没有规定的，应采用中华人民共和国法定计量单位（货币单位：元人民币），否则视同未响应。</w:t>
      </w:r>
    </w:p>
    <w:p>
      <w:pPr>
        <w:pStyle w:val="16"/>
        <w:spacing w:line="440" w:lineRule="atLeast"/>
        <w:rPr>
          <w:rFonts w:hint="eastAsia" w:ascii="宋体" w:hAnsi="宋体" w:cs="宋体"/>
          <w:b/>
          <w:color w:val="000000" w:themeColor="text1"/>
          <w:sz w:val="21"/>
          <w:szCs w:val="21"/>
          <w:highlight w:val="none"/>
          <w14:textFill>
            <w14:solidFill>
              <w14:schemeClr w14:val="tx1"/>
            </w14:solidFill>
          </w14:textFill>
        </w:rPr>
      </w:pPr>
      <w:bookmarkStart w:id="197" w:name="_Toc2716"/>
      <w:bookmarkStart w:id="198" w:name="_Toc27899"/>
      <w:r>
        <w:rPr>
          <w:rFonts w:hint="eastAsia" w:ascii="宋体" w:hAnsi="宋体" w:cs="宋体"/>
          <w:b/>
          <w:color w:val="000000" w:themeColor="text1"/>
          <w:sz w:val="21"/>
          <w:szCs w:val="21"/>
          <w:highlight w:val="none"/>
          <w14:textFill>
            <w14:solidFill>
              <w14:schemeClr w14:val="tx1"/>
            </w14:solidFill>
          </w14:textFill>
        </w:rPr>
        <w:t>14.</w:t>
      </w:r>
      <w:bookmarkEnd w:id="197"/>
      <w:bookmarkEnd w:id="198"/>
      <w:bookmarkStart w:id="199" w:name="_Toc12200"/>
      <w:bookmarkStart w:id="200" w:name="_Toc24652"/>
      <w:bookmarkStart w:id="201" w:name="_Toc27167"/>
      <w:bookmarkStart w:id="202" w:name="_Toc4075"/>
      <w:bookmarkStart w:id="203" w:name="_Toc12698"/>
      <w:bookmarkStart w:id="204" w:name="_Toc28624"/>
      <w:bookmarkStart w:id="205" w:name="_Toc32148"/>
      <w:bookmarkStart w:id="206" w:name="_Toc16017"/>
      <w:bookmarkStart w:id="207" w:name="_Toc22333"/>
      <w:r>
        <w:rPr>
          <w:rFonts w:hint="eastAsia" w:ascii="宋体" w:hAnsi="宋体" w:cs="宋体"/>
          <w:b/>
          <w:color w:val="000000" w:themeColor="text1"/>
          <w:sz w:val="21"/>
          <w:szCs w:val="21"/>
          <w:highlight w:val="none"/>
          <w14:textFill>
            <w14:solidFill>
              <w14:schemeClr w14:val="tx1"/>
            </w14:solidFill>
          </w14:textFill>
        </w:rPr>
        <w:t>磋商报价及采购预算金额</w:t>
      </w:r>
    </w:p>
    <w:p>
      <w:pPr>
        <w:pStyle w:val="16"/>
        <w:spacing w:line="440" w:lineRule="atLeast"/>
        <w:ind w:firstLine="420" w:firstLineChars="2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14.1供应商必须就“采购需求”中的所有内容作完整唯一报价，有选择的或有条件的报价将不予接受。</w:t>
      </w:r>
    </w:p>
    <w:p>
      <w:pPr>
        <w:spacing w:line="360" w:lineRule="auto"/>
        <w:ind w:firstLine="0" w:firstLineChars="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14.2采购预算金额（人民币）：</w:t>
      </w:r>
      <w:r>
        <w:rPr>
          <w:rFonts w:hint="eastAsia" w:ascii="宋体" w:hAnsi="宋体" w:cs="宋体"/>
          <w:b/>
          <w:color w:val="000000" w:themeColor="text1"/>
          <w:sz w:val="21"/>
          <w:szCs w:val="21"/>
          <w:highlight w:val="none"/>
          <w14:textFill>
            <w14:solidFill>
              <w14:schemeClr w14:val="tx1"/>
            </w14:solidFill>
          </w14:textFill>
        </w:rPr>
        <w:t>玖拾万元</w:t>
      </w:r>
      <w:r>
        <w:rPr>
          <w:rFonts w:hint="eastAsia" w:ascii="宋体" w:hAnsi="宋体" w:cs="宋体"/>
          <w:b/>
          <w:bCs/>
          <w:color w:val="000000" w:themeColor="text1"/>
          <w:sz w:val="21"/>
          <w:szCs w:val="21"/>
          <w:highlight w:val="none"/>
          <w14:textFill>
            <w14:solidFill>
              <w14:schemeClr w14:val="tx1"/>
            </w14:solidFill>
          </w14:textFill>
        </w:rPr>
        <w:t>整（¥9</w:t>
      </w:r>
      <w:r>
        <w:rPr>
          <w:rFonts w:hint="eastAsia" w:ascii="宋体" w:hAnsi="宋体" w:cs="宋体"/>
          <w:b/>
          <w:bCs/>
          <w:color w:val="000000" w:themeColor="text1"/>
          <w:sz w:val="21"/>
          <w:szCs w:val="21"/>
          <w:highlight w:val="none"/>
          <w:lang w:val="en-US" w:eastAsia="zh-CN"/>
          <w14:textFill>
            <w14:solidFill>
              <w14:schemeClr w14:val="tx1"/>
            </w14:solidFill>
          </w14:textFill>
        </w:rPr>
        <w:t>0</w:t>
      </w:r>
      <w:r>
        <w:rPr>
          <w:rFonts w:hint="eastAsia" w:ascii="宋体" w:hAnsi="宋体" w:cs="宋体"/>
          <w:b/>
          <w:bCs/>
          <w:color w:val="000000" w:themeColor="text1"/>
          <w:sz w:val="21"/>
          <w:szCs w:val="21"/>
          <w:highlight w:val="none"/>
          <w14:textFill>
            <w14:solidFill>
              <w14:schemeClr w14:val="tx1"/>
            </w14:solidFill>
          </w14:textFill>
        </w:rPr>
        <w:t>0000.00）</w:t>
      </w:r>
      <w:r>
        <w:rPr>
          <w:rFonts w:hint="eastAsia" w:ascii="宋体" w:hAnsi="宋体" w:eastAsia="宋体" w:cs="宋体"/>
          <w:b/>
          <w:bCs/>
          <w:color w:val="000000" w:themeColor="text1"/>
          <w:sz w:val="21"/>
          <w:szCs w:val="21"/>
          <w:highlight w:val="none"/>
          <w14:textFill>
            <w14:solidFill>
              <w14:schemeClr w14:val="tx1"/>
            </w14:solidFill>
          </w14:textFill>
        </w:rPr>
        <w:t>，本项目采用</w:t>
      </w:r>
      <w:r>
        <w:rPr>
          <w:rFonts w:hint="eastAsia" w:ascii="宋体" w:hAnsi="宋体" w:cs="宋体"/>
          <w:b/>
          <w:bCs/>
          <w:color w:val="000000" w:themeColor="text1"/>
          <w:sz w:val="21"/>
          <w:szCs w:val="21"/>
          <w:highlight w:val="none"/>
          <w:lang w:val="en-US" w:eastAsia="zh-CN"/>
          <w14:textFill>
            <w14:solidFill>
              <w14:schemeClr w14:val="tx1"/>
            </w14:solidFill>
          </w14:textFill>
        </w:rPr>
        <w:t>固定金额</w:t>
      </w:r>
      <w:r>
        <w:rPr>
          <w:rFonts w:hint="eastAsia" w:ascii="宋体" w:hAnsi="宋体" w:eastAsia="宋体" w:cs="宋体"/>
          <w:b/>
          <w:bCs/>
          <w:color w:val="000000" w:themeColor="text1"/>
          <w:sz w:val="21"/>
          <w:szCs w:val="21"/>
          <w:highlight w:val="none"/>
          <w14:textFill>
            <w14:solidFill>
              <w14:schemeClr w14:val="tx1"/>
            </w14:solidFill>
          </w14:textFill>
        </w:rPr>
        <w:t>报价，</w:t>
      </w:r>
      <w:r>
        <w:rPr>
          <w:rFonts w:hint="eastAsia" w:ascii="宋体" w:hAnsi="宋体" w:eastAsia="宋体" w:cs="宋体"/>
          <w:b/>
          <w:bCs/>
          <w:color w:val="000000" w:themeColor="text1"/>
          <w:sz w:val="21"/>
          <w:szCs w:val="21"/>
          <w:highlight w:val="none"/>
          <w:lang w:eastAsia="zh-CN"/>
          <w14:textFill>
            <w14:solidFill>
              <w14:schemeClr w14:val="tx1"/>
            </w14:solidFill>
          </w14:textFill>
        </w:rPr>
        <w:t>报价超过</w:t>
      </w:r>
      <w:r>
        <w:rPr>
          <w:rFonts w:hint="eastAsia" w:ascii="宋体" w:hAnsi="宋体" w:cs="宋体"/>
          <w:b/>
          <w:bCs/>
          <w:color w:val="000000" w:themeColor="text1"/>
          <w:sz w:val="21"/>
          <w:szCs w:val="21"/>
          <w:highlight w:val="none"/>
          <w:lang w:val="en-US" w:eastAsia="zh-CN"/>
          <w14:textFill>
            <w14:solidFill>
              <w14:schemeClr w14:val="tx1"/>
            </w14:solidFill>
          </w14:textFill>
        </w:rPr>
        <w:t>预算</w:t>
      </w:r>
      <w:r>
        <w:rPr>
          <w:rFonts w:hint="eastAsia" w:ascii="宋体" w:hAnsi="宋体" w:eastAsia="宋体" w:cs="宋体"/>
          <w:b/>
          <w:bCs/>
          <w:color w:val="000000" w:themeColor="text1"/>
          <w:sz w:val="21"/>
          <w:szCs w:val="21"/>
          <w:highlight w:val="none"/>
          <w:lang w:eastAsia="zh-CN"/>
          <w14:textFill>
            <w14:solidFill>
              <w14:schemeClr w14:val="tx1"/>
            </w14:solidFill>
          </w14:textFill>
        </w:rPr>
        <w:t>价</w:t>
      </w:r>
      <w:r>
        <w:rPr>
          <w:rFonts w:hint="eastAsia" w:ascii="宋体" w:hAnsi="宋体" w:cs="宋体"/>
          <w:b/>
          <w:bCs/>
          <w:color w:val="000000" w:themeColor="text1"/>
          <w:sz w:val="21"/>
          <w:szCs w:val="21"/>
          <w:highlight w:val="none"/>
          <w:lang w:val="en-US" w:eastAsia="zh-CN"/>
          <w14:textFill>
            <w14:solidFill>
              <w14:schemeClr w14:val="tx1"/>
            </w14:solidFill>
          </w14:textFill>
        </w:rPr>
        <w:t>金额</w:t>
      </w:r>
      <w:r>
        <w:rPr>
          <w:rFonts w:hint="eastAsia" w:ascii="宋体" w:hAnsi="宋体" w:eastAsia="宋体" w:cs="宋体"/>
          <w:b/>
          <w:bCs/>
          <w:color w:val="000000" w:themeColor="text1"/>
          <w:sz w:val="21"/>
          <w:szCs w:val="21"/>
          <w:highlight w:val="none"/>
          <w:lang w:eastAsia="zh-CN"/>
          <w14:textFill>
            <w14:solidFill>
              <w14:schemeClr w14:val="tx1"/>
            </w14:solidFill>
          </w14:textFill>
        </w:rPr>
        <w:t>，响应文件作无效处理。</w:t>
      </w:r>
    </w:p>
    <w:p>
      <w:pPr>
        <w:pStyle w:val="16"/>
        <w:spacing w:line="440" w:lineRule="atLeast"/>
        <w:ind w:firstLine="420" w:firstLineChars="2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14.3供应商磋商报价应包含完成本“采购需求”中所列所有服务内容产生的所有成本、完成本项目服务工作所需的人员成本、劳务费、技术服务费、管理、通讯、保险、差旅费、项目验收、税金、利润、验收、质量保证及合同包含的应有风险、责任等与本项目相关的所有费用，供应商应综合考虑在报价中。</w:t>
      </w:r>
    </w:p>
    <w:p>
      <w:pPr>
        <w:pStyle w:val="16"/>
        <w:spacing w:line="440" w:lineRule="atLeast"/>
        <w:ind w:firstLine="420" w:firstLineChars="2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14.4供应商磋商报价应综合考虑总价包干（包含提供本次服务范围的所有成本、税金、利润等），报价不得超过预算金额。</w:t>
      </w:r>
    </w:p>
    <w:p>
      <w:pPr>
        <w:pStyle w:val="16"/>
        <w:spacing w:line="440" w:lineRule="atLeast"/>
        <w:ind w:firstLine="420" w:firstLineChars="200"/>
        <w:rPr>
          <w:rFonts w:hint="eastAsia" w:ascii="宋体" w:hAnsi="宋体" w:cs="宋体"/>
          <w:bCs/>
          <w:color w:val="000000" w:themeColor="text1"/>
          <w:sz w:val="21"/>
          <w:szCs w:val="21"/>
          <w:highlight w:val="none"/>
          <w14:textFill>
            <w14:solidFill>
              <w14:schemeClr w14:val="tx1"/>
            </w14:solidFill>
          </w14:textFill>
        </w:rPr>
      </w:pPr>
      <w:r>
        <w:rPr>
          <w:rFonts w:hint="eastAsia" w:ascii="宋体" w:hAnsi="宋体" w:cs="宋体"/>
          <w:bCs/>
          <w:color w:val="000000" w:themeColor="text1"/>
          <w:sz w:val="21"/>
          <w:szCs w:val="21"/>
          <w:highlight w:val="none"/>
          <w14:textFill>
            <w14:solidFill>
              <w14:schemeClr w14:val="tx1"/>
            </w14:solidFill>
          </w14:textFill>
        </w:rPr>
        <w:t>14.5未书面退出磋商的供应商必须在规定时间内登录广西政府采购云平台在线提交最后报价，其最后报价不得超过预算金额；磋商过程中磋商文件未作实质性变动的，</w:t>
      </w:r>
      <w:r>
        <w:rPr>
          <w:rFonts w:hint="eastAsia" w:ascii="宋体" w:hAnsi="宋体" w:cs="宋体"/>
          <w:b/>
          <w:color w:val="000000" w:themeColor="text1"/>
          <w:sz w:val="21"/>
          <w:szCs w:val="21"/>
          <w:highlight w:val="none"/>
          <w14:textFill>
            <w14:solidFill>
              <w14:schemeClr w14:val="tx1"/>
            </w14:solidFill>
          </w14:textFill>
        </w:rPr>
        <w:t>最后报价不得超过首次报价。</w:t>
      </w:r>
    </w:p>
    <w:p>
      <w:pPr>
        <w:spacing w:line="440" w:lineRule="atLeas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15.响应有效期</w:t>
      </w:r>
      <w:bookmarkEnd w:id="199"/>
      <w:bookmarkEnd w:id="200"/>
      <w:bookmarkEnd w:id="201"/>
      <w:bookmarkEnd w:id="202"/>
      <w:bookmarkEnd w:id="203"/>
      <w:bookmarkEnd w:id="204"/>
      <w:bookmarkEnd w:id="205"/>
      <w:bookmarkEnd w:id="206"/>
      <w:bookmarkEnd w:id="207"/>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15.1响应有效期：响应截止时间之日起90天。</w:t>
      </w:r>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15.2出现特殊情况下，需要延长响应有效期的，采购代理机构以书面形式通知供应商延长响应有效期。供应商同意延长的，原响应文件继续有效。供应商拒绝延长的，其响应无效。</w:t>
      </w:r>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208" w:name="_Toc9375"/>
      <w:bookmarkStart w:id="209" w:name="_Toc20297"/>
      <w:bookmarkStart w:id="210" w:name="_Toc29063"/>
      <w:bookmarkStart w:id="211" w:name="_Toc9210"/>
      <w:bookmarkStart w:id="212" w:name="_Toc18919"/>
      <w:bookmarkStart w:id="213" w:name="_Toc5668"/>
      <w:bookmarkStart w:id="214" w:name="_Toc7354"/>
      <w:bookmarkStart w:id="215" w:name="_Toc10671"/>
      <w:bookmarkStart w:id="216" w:name="_Toc21919"/>
      <w:r>
        <w:rPr>
          <w:rFonts w:hint="eastAsia" w:ascii="宋体" w:hAnsi="宋体" w:cs="宋体"/>
          <w:b/>
          <w:color w:val="000000" w:themeColor="text1"/>
          <w:szCs w:val="21"/>
          <w:highlight w:val="none"/>
          <w14:textFill>
            <w14:solidFill>
              <w14:schemeClr w14:val="tx1"/>
            </w14:solidFill>
          </w14:textFill>
        </w:rPr>
        <w:t>16.投标保证金</w:t>
      </w:r>
      <w:bookmarkEnd w:id="208"/>
      <w:bookmarkEnd w:id="209"/>
      <w:bookmarkEnd w:id="210"/>
      <w:bookmarkEnd w:id="211"/>
      <w:bookmarkEnd w:id="212"/>
      <w:bookmarkEnd w:id="213"/>
      <w:bookmarkEnd w:id="214"/>
      <w:bookmarkEnd w:id="215"/>
      <w:bookmarkEnd w:id="216"/>
    </w:p>
    <w:p>
      <w:pPr>
        <w:tabs>
          <w:tab w:val="left" w:pos="1305"/>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本项目无需缴纳投标保证金。</w:t>
      </w:r>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217" w:name="_Toc17461"/>
      <w:bookmarkStart w:id="218" w:name="_Toc6809"/>
      <w:bookmarkStart w:id="219" w:name="_Toc30873"/>
      <w:bookmarkStart w:id="220" w:name="_Toc19430"/>
      <w:bookmarkStart w:id="221" w:name="_Toc22059"/>
      <w:bookmarkStart w:id="222" w:name="_Toc14725"/>
      <w:bookmarkStart w:id="223" w:name="_Toc6820"/>
      <w:bookmarkStart w:id="224" w:name="_Toc19052"/>
      <w:bookmarkStart w:id="225" w:name="_Toc4967"/>
      <w:bookmarkStart w:id="226" w:name="_Toc9895"/>
      <w:bookmarkStart w:id="227" w:name="_Toc995"/>
      <w:bookmarkStart w:id="228" w:name="_Toc24490"/>
      <w:r>
        <w:rPr>
          <w:rFonts w:hint="eastAsia" w:ascii="宋体" w:hAnsi="宋体" w:cs="宋体"/>
          <w:b/>
          <w:color w:val="000000" w:themeColor="text1"/>
          <w:szCs w:val="21"/>
          <w:highlight w:val="none"/>
          <w14:textFill>
            <w14:solidFill>
              <w14:schemeClr w14:val="tx1"/>
            </w14:solidFill>
          </w14:textFill>
        </w:rPr>
        <w:t>17.响应文件的</w:t>
      </w:r>
      <w:bookmarkEnd w:id="217"/>
      <w:bookmarkEnd w:id="218"/>
      <w:bookmarkEnd w:id="219"/>
      <w:r>
        <w:rPr>
          <w:rFonts w:hint="eastAsia" w:ascii="宋体" w:hAnsi="宋体" w:cs="宋体"/>
          <w:b/>
          <w:color w:val="000000" w:themeColor="text1"/>
          <w:szCs w:val="21"/>
          <w:highlight w:val="none"/>
          <w14:textFill>
            <w14:solidFill>
              <w14:schemeClr w14:val="tx1"/>
            </w14:solidFill>
          </w14:textFill>
        </w:rPr>
        <w:t>制作</w:t>
      </w:r>
      <w:bookmarkEnd w:id="220"/>
      <w:bookmarkEnd w:id="221"/>
      <w:bookmarkEnd w:id="222"/>
      <w:bookmarkEnd w:id="223"/>
      <w:bookmarkEnd w:id="224"/>
      <w:bookmarkEnd w:id="225"/>
      <w:bookmarkEnd w:id="226"/>
      <w:bookmarkEnd w:id="227"/>
    </w:p>
    <w:bookmarkEnd w:id="228"/>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bookmarkStart w:id="229" w:name="_Toc1108"/>
      <w:bookmarkStart w:id="230" w:name="_Toc15098"/>
      <w:bookmarkStart w:id="231" w:name="_Toc12348"/>
      <w:bookmarkStart w:id="232" w:name="_Toc31572"/>
      <w:r>
        <w:rPr>
          <w:rFonts w:hint="eastAsia" w:ascii="宋体" w:hAnsi="宋体" w:cs="宋体"/>
          <w:color w:val="000000" w:themeColor="text1"/>
          <w:szCs w:val="21"/>
          <w:highlight w:val="none"/>
          <w14:textFill>
            <w14:solidFill>
              <w14:schemeClr w14:val="tx1"/>
            </w14:solidFill>
          </w14:textFill>
        </w:rPr>
        <w:t>17.1</w:t>
      </w:r>
      <w:r>
        <w:rPr>
          <w:rFonts w:hint="eastAsia" w:ascii="宋体" w:hAnsi="宋体" w:cs="宋体"/>
          <w:bCs/>
          <w:color w:val="000000" w:themeColor="text1"/>
          <w:szCs w:val="21"/>
          <w:highlight w:val="none"/>
          <w14:textFill>
            <w14:solidFill>
              <w14:schemeClr w14:val="tx1"/>
            </w14:solidFill>
          </w14:textFill>
        </w:rPr>
        <w:t>供应商制作电子响应文件前，应</w:t>
      </w:r>
      <w:r>
        <w:rPr>
          <w:rFonts w:hint="eastAsia" w:ascii="宋体" w:hAnsi="宋体" w:cs="宋体"/>
          <w:bCs/>
          <w:color w:val="000000" w:themeColor="text1"/>
          <w:szCs w:val="21"/>
          <w:highlight w:val="none"/>
          <w:lang w:eastAsia="zh-CN"/>
          <w14:textFill>
            <w14:solidFill>
              <w14:schemeClr w14:val="tx1"/>
            </w14:solidFill>
          </w14:textFill>
        </w:rPr>
        <w:t>登录</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bCs/>
          <w:color w:val="000000" w:themeColor="text1"/>
          <w:szCs w:val="21"/>
          <w:highlight w:val="none"/>
          <w14:textFill>
            <w14:solidFill>
              <w14:schemeClr w14:val="tx1"/>
            </w14:solidFill>
          </w14:textFill>
        </w:rPr>
        <w:t>平台进行“申请获取采购文件”操作，否则，有可能导致无法在线编制响应文件并参与磋商，其不利后果由供应商自行承担。</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17.2电子</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文件中须加盖供应商CA章部分均采用CA电子签章，并根据“政府采购项目电子交易管理操作指南-供应商”及本采购文件规定的格式和顺序编制电子</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文件并进行关联定位，以便磋商小组在评审时，点击评审项可直接定位到该评审项内容。如对采购文件的某项要求，供应商的电子</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文件未能关联定位提供相应的内容与其对应，则磋商小组在评审时如做出对供应商不利的评审判断或结果由供应商自行承担。电子</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文件如内容不完整、编排混乱导致</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文件被误读、漏读，或者在按采购文件规定的部位查找不到相关内容的，由供应商自行承担。</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17.3供应商的法定代表人（负责人）或授权代表持有政采云个人CA签章的，应在</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文件中涉及到签字的位置使用个人CA签章，没有办理政采云个人CA签章的可在</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文件中涉及到签字的位置手写签字后扫描或者拍照做成PDF的格式上传即可。</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17.4</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文件不得涂改，若有修改错漏处，须由法定代表人（负责人）或授权委托人签字（或个人CA签章）。</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文件因字迹潦草或表达不清所引起的后果由供应商负责。</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17.5评审前准备</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17.5.1本项目实行网上评审，采用电子</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文件；若供应商参与磋商，自行承担磋商一切费用。</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17.5.2各供应商在截标前应确保成为</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平台正式注册入库供应商，并完成CA数字证书申领。因未注册入库、未办理CA数字证书等原因造成无法</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失败等后果由供应商自行承担。</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bookmarkStart w:id="233" w:name="_Toc32382"/>
      <w:bookmarkStart w:id="234" w:name="_Toc1080"/>
      <w:bookmarkStart w:id="235" w:name="_Toc14820"/>
      <w:bookmarkStart w:id="236" w:name="_Toc29809"/>
      <w:bookmarkStart w:id="237" w:name="_Toc6636"/>
      <w:bookmarkStart w:id="238" w:name="_Toc11092"/>
      <w:bookmarkStart w:id="239" w:name="_Toc23084"/>
      <w:r>
        <w:rPr>
          <w:rFonts w:hint="eastAsia" w:ascii="宋体" w:hAnsi="宋体" w:cs="宋体"/>
          <w:color w:val="000000" w:themeColor="text1"/>
          <w:szCs w:val="21"/>
          <w:highlight w:val="none"/>
          <w14:textFill>
            <w14:solidFill>
              <w14:schemeClr w14:val="tx1"/>
            </w14:solidFill>
          </w14:textFill>
        </w:rPr>
        <w:t>17.5.3供应商将</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电子交易客户端下载、安装完成后，可通过账号密码或CA登录客户端进行</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文件制作。客户端请至网站下载专区查看，如有问题可拨打</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客户服务热线95763进行咨询。</w:t>
      </w:r>
      <w:bookmarkEnd w:id="233"/>
      <w:bookmarkEnd w:id="234"/>
      <w:bookmarkEnd w:id="235"/>
      <w:bookmarkEnd w:id="236"/>
      <w:bookmarkEnd w:id="237"/>
      <w:bookmarkEnd w:id="238"/>
      <w:bookmarkEnd w:id="239"/>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240" w:name="_Toc7332"/>
      <w:bookmarkStart w:id="241" w:name="_Toc6100"/>
      <w:bookmarkStart w:id="242" w:name="_Toc23220"/>
      <w:bookmarkStart w:id="243" w:name="_Toc9519"/>
      <w:bookmarkStart w:id="244" w:name="_Toc17050"/>
      <w:bookmarkStart w:id="245" w:name="_Toc12731"/>
      <w:bookmarkStart w:id="246" w:name="_Toc2478"/>
      <w:r>
        <w:rPr>
          <w:rFonts w:hint="eastAsia" w:ascii="宋体" w:hAnsi="宋体" w:cs="宋体"/>
          <w:b/>
          <w:color w:val="000000" w:themeColor="text1"/>
          <w:szCs w:val="21"/>
          <w:highlight w:val="none"/>
          <w14:textFill>
            <w14:solidFill>
              <w14:schemeClr w14:val="tx1"/>
            </w14:solidFill>
          </w14:textFill>
        </w:rPr>
        <w:t>18.响应文件的补充、修改和撤回</w:t>
      </w:r>
      <w:bookmarkEnd w:id="229"/>
      <w:bookmarkEnd w:id="230"/>
      <w:bookmarkEnd w:id="231"/>
      <w:bookmarkEnd w:id="240"/>
      <w:bookmarkEnd w:id="241"/>
      <w:bookmarkEnd w:id="242"/>
      <w:bookmarkEnd w:id="243"/>
      <w:bookmarkEnd w:id="244"/>
      <w:bookmarkEnd w:id="245"/>
      <w:bookmarkEnd w:id="246"/>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文件递交截止时间前可以撤回电子</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文件。补充或者修改电子</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文件的，应当先行撤回原文件，补充、修改后重新传输递交，</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文件递交截止时间前未完成传输的，视为撤回</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18.2在</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文件递交截止时间后的</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文件有效期内，供应商不得撤回其</w:t>
      </w:r>
      <w:r>
        <w:rPr>
          <w:rFonts w:hint="eastAsia" w:ascii="宋体" w:hAnsi="宋体" w:cs="宋体"/>
          <w:bCs/>
          <w:color w:val="000000" w:themeColor="text1"/>
          <w:szCs w:val="21"/>
          <w:highlight w:val="none"/>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w:t>
      </w:r>
    </w:p>
    <w:bookmarkEnd w:id="232"/>
    <w:p>
      <w:pPr>
        <w:spacing w:line="440" w:lineRule="atLeast"/>
        <w:rPr>
          <w:rFonts w:hint="eastAsia" w:ascii="宋体" w:hAnsi="宋体" w:cs="宋体"/>
          <w:b/>
          <w:color w:val="000000" w:themeColor="text1"/>
          <w:szCs w:val="21"/>
          <w:highlight w:val="none"/>
          <w14:textFill>
            <w14:solidFill>
              <w14:schemeClr w14:val="tx1"/>
            </w14:solidFill>
          </w14:textFill>
        </w:rPr>
      </w:pPr>
      <w:bookmarkStart w:id="247" w:name="_Toc13713"/>
      <w:bookmarkStart w:id="248" w:name="_Toc21050"/>
      <w:bookmarkStart w:id="249" w:name="_Toc25303"/>
      <w:bookmarkStart w:id="250" w:name="_Toc25735"/>
      <w:bookmarkStart w:id="251" w:name="_Toc16777"/>
      <w:bookmarkStart w:id="252" w:name="_Toc15145"/>
      <w:bookmarkStart w:id="253" w:name="_Toc31942"/>
      <w:bookmarkStart w:id="254" w:name="_Toc11459"/>
      <w:bookmarkStart w:id="255" w:name="_Toc14058"/>
      <w:bookmarkStart w:id="256" w:name="_Toc16743"/>
      <w:r>
        <w:rPr>
          <w:rFonts w:hint="eastAsia" w:ascii="宋体" w:hAnsi="宋体" w:cs="宋体"/>
          <w:b/>
          <w:color w:val="000000" w:themeColor="text1"/>
          <w:szCs w:val="21"/>
          <w:highlight w:val="none"/>
          <w14:textFill>
            <w14:solidFill>
              <w14:schemeClr w14:val="tx1"/>
            </w14:solidFill>
          </w14:textFill>
        </w:rPr>
        <w:t>19.响应文件的递交</w:t>
      </w:r>
      <w:bookmarkEnd w:id="247"/>
      <w:r>
        <w:rPr>
          <w:rFonts w:hint="eastAsia" w:ascii="宋体" w:hAnsi="宋体" w:cs="宋体"/>
          <w:b/>
          <w:color w:val="000000" w:themeColor="text1"/>
          <w:szCs w:val="21"/>
          <w:highlight w:val="none"/>
          <w14:textFill>
            <w14:solidFill>
              <w14:schemeClr w14:val="tx1"/>
            </w14:solidFill>
          </w14:textFill>
        </w:rPr>
        <w:t>和解密</w:t>
      </w:r>
      <w:bookmarkEnd w:id="248"/>
      <w:bookmarkEnd w:id="249"/>
      <w:bookmarkEnd w:id="250"/>
      <w:bookmarkEnd w:id="251"/>
      <w:bookmarkEnd w:id="252"/>
      <w:bookmarkEnd w:id="253"/>
      <w:bookmarkEnd w:id="254"/>
      <w:bookmarkEnd w:id="255"/>
      <w:bookmarkEnd w:id="256"/>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19.1响应文件递交截止时间：</w:t>
      </w:r>
      <w:r>
        <w:rPr>
          <w:rFonts w:hint="eastAsia" w:ascii="宋体" w:hAnsi="宋体" w:cs="宋体"/>
          <w:bCs/>
          <w:color w:val="000000" w:themeColor="text1"/>
          <w:szCs w:val="21"/>
          <w:highlight w:val="none"/>
          <w14:textFill>
            <w14:solidFill>
              <w14:schemeClr w14:val="tx1"/>
            </w14:solidFill>
          </w14:textFill>
        </w:rPr>
        <w:t>详见《供应商须知前附表》第9条</w:t>
      </w:r>
      <w:r>
        <w:rPr>
          <w:rFonts w:hint="eastAsia" w:ascii="宋体" w:hAnsi="宋体" w:cs="宋体"/>
          <w:color w:val="000000" w:themeColor="text1"/>
          <w:szCs w:val="21"/>
          <w:highlight w:val="none"/>
          <w14:textFill>
            <w14:solidFill>
              <w14:schemeClr w14:val="tx1"/>
            </w14:solidFill>
          </w14:textFill>
        </w:rPr>
        <w:t>。</w:t>
      </w:r>
    </w:p>
    <w:p>
      <w:pPr>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19.2响应文件解密时间：</w:t>
      </w:r>
      <w:r>
        <w:rPr>
          <w:rFonts w:hint="eastAsia" w:ascii="宋体" w:hAnsi="宋体" w:cs="宋体"/>
          <w:bCs/>
          <w:color w:val="000000" w:themeColor="text1"/>
          <w:szCs w:val="21"/>
          <w:highlight w:val="none"/>
          <w14:textFill>
            <w14:solidFill>
              <w14:schemeClr w14:val="tx1"/>
            </w14:solidFill>
          </w14:textFill>
        </w:rPr>
        <w:t>详见《供应商须知前附表》第10条。</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19.3除采购文件另有规定外，供应商所递交的响应文件不予退还。</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19.4电子响应文件的相关说明</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进行电子响应应安装客户端软件，并按照采购文件和电子交易平台的要求编制并加密响应文件。供应商未按规定加密的响应文件，电子交易平台将拒收。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将拒收。</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（2）如有特殊情况，采购代理机构延长截止时间和开标时间，采购代理机构和供应商的权利和义务将受到新的截止时间和开标时间的约束。</w:t>
      </w:r>
    </w:p>
    <w:p>
      <w:pPr>
        <w:spacing w:line="440" w:lineRule="atLeast"/>
        <w:jc w:val="center"/>
        <w:rPr>
          <w:rFonts w:hint="eastAsia" w:ascii="宋体" w:hAnsi="宋体" w:cs="宋体"/>
          <w:b/>
          <w:color w:val="000000" w:themeColor="text1"/>
          <w:szCs w:val="21"/>
          <w:highlight w:val="none"/>
          <w14:textFill>
            <w14:solidFill>
              <w14:schemeClr w14:val="tx1"/>
            </w14:solidFill>
          </w14:textFill>
        </w:rPr>
      </w:pPr>
      <w:bookmarkStart w:id="257" w:name="_Toc11101"/>
      <w:bookmarkStart w:id="258" w:name="_Toc15422"/>
      <w:bookmarkStart w:id="259" w:name="_Toc495841757"/>
      <w:bookmarkStart w:id="260" w:name="_Toc16916"/>
      <w:bookmarkStart w:id="261" w:name="_Toc15658"/>
      <w:bookmarkStart w:id="262" w:name="_Toc28414"/>
      <w:bookmarkStart w:id="263" w:name="_Toc307"/>
      <w:bookmarkStart w:id="264" w:name="_Toc27866"/>
      <w:bookmarkStart w:id="265" w:name="_Toc1327"/>
      <w:bookmarkStart w:id="266" w:name="_Toc9336"/>
      <w:r>
        <w:rPr>
          <w:rFonts w:hint="eastAsia" w:ascii="宋体" w:hAnsi="宋体" w:cs="宋体"/>
          <w:b/>
          <w:color w:val="000000" w:themeColor="text1"/>
          <w:szCs w:val="21"/>
          <w:highlight w:val="none"/>
          <w14:textFill>
            <w14:solidFill>
              <w14:schemeClr w14:val="tx1"/>
            </w14:solidFill>
          </w14:textFill>
        </w:rPr>
        <w:t>四、开标</w:t>
      </w:r>
      <w:bookmarkEnd w:id="257"/>
      <w:bookmarkEnd w:id="258"/>
      <w:bookmarkEnd w:id="259"/>
      <w:bookmarkEnd w:id="260"/>
      <w:bookmarkEnd w:id="261"/>
      <w:bookmarkEnd w:id="262"/>
      <w:bookmarkEnd w:id="263"/>
      <w:bookmarkEnd w:id="264"/>
      <w:bookmarkEnd w:id="265"/>
      <w:bookmarkEnd w:id="266"/>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267" w:name="_Toc18990"/>
      <w:bookmarkStart w:id="268" w:name="_Toc25198"/>
      <w:bookmarkStart w:id="269" w:name="_Toc9558"/>
      <w:bookmarkStart w:id="270" w:name="_Toc12561"/>
      <w:bookmarkStart w:id="271" w:name="_Toc19384"/>
      <w:bookmarkStart w:id="272" w:name="_Toc29865"/>
      <w:bookmarkStart w:id="273" w:name="_Toc17073"/>
      <w:bookmarkStart w:id="274" w:name="_Toc17938"/>
      <w:bookmarkStart w:id="275" w:name="_Toc26511"/>
      <w:bookmarkStart w:id="276" w:name="_Toc5291"/>
      <w:bookmarkStart w:id="277" w:name="_Toc17568"/>
      <w:bookmarkStart w:id="278" w:name="_Toc495841758"/>
      <w:bookmarkStart w:id="279" w:name="_Toc13013"/>
      <w:r>
        <w:rPr>
          <w:rFonts w:hint="eastAsia" w:ascii="宋体" w:hAnsi="宋体" w:cs="宋体"/>
          <w:b/>
          <w:color w:val="000000" w:themeColor="text1"/>
          <w:szCs w:val="21"/>
          <w:highlight w:val="none"/>
          <w14:textFill>
            <w14:solidFill>
              <w14:schemeClr w14:val="tx1"/>
            </w14:solidFill>
          </w14:textFill>
        </w:rPr>
        <w:t>20.开标时间及地点</w:t>
      </w:r>
      <w:bookmarkEnd w:id="267"/>
      <w:bookmarkEnd w:id="268"/>
      <w:bookmarkEnd w:id="269"/>
      <w:bookmarkEnd w:id="270"/>
      <w:bookmarkEnd w:id="271"/>
      <w:bookmarkEnd w:id="272"/>
      <w:bookmarkEnd w:id="273"/>
      <w:bookmarkEnd w:id="274"/>
      <w:bookmarkEnd w:id="275"/>
      <w:bookmarkEnd w:id="276"/>
      <w:bookmarkEnd w:id="277"/>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20.1开标时间及地点：</w:t>
      </w:r>
    </w:p>
    <w:p>
      <w:pPr>
        <w:spacing w:line="440" w:lineRule="atLeast"/>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开标时间：详见《供应商须知前附表》。</w:t>
      </w:r>
    </w:p>
    <w:p>
      <w:pPr>
        <w:spacing w:line="440" w:lineRule="atLeast"/>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shd w:val="clear" w:color="auto" w:fill="FFFFFF"/>
          <w14:textFill>
            <w14:solidFill>
              <w14:schemeClr w14:val="tx1"/>
            </w14:solidFill>
          </w14:textFill>
        </w:rPr>
        <w:t>通过</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shd w:val="clear" w:color="auto" w:fill="FFFFFF"/>
          <w14:textFill>
            <w14:solidFill>
              <w14:schemeClr w14:val="tx1"/>
            </w14:solidFill>
          </w14:textFill>
        </w:rPr>
        <w:t>平台实行在线开标</w:t>
      </w:r>
      <w:r>
        <w:rPr>
          <w:rFonts w:hint="eastAsia" w:ascii="宋体" w:hAnsi="宋体" w:cs="宋体"/>
          <w:color w:val="000000" w:themeColor="text1"/>
          <w:szCs w:val="21"/>
          <w:highlight w:val="none"/>
          <w14:textFill>
            <w14:solidFill>
              <w14:schemeClr w14:val="tx1"/>
            </w14:solidFill>
          </w14:textFill>
        </w:rPr>
        <w:t>。</w:t>
      </w:r>
    </w:p>
    <w:p>
      <w:pPr>
        <w:tabs>
          <w:tab w:val="left" w:pos="1305"/>
        </w:tabs>
        <w:spacing w:line="440" w:lineRule="atLeast"/>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本项目使用电子开标，并通过</w:t>
      </w:r>
      <w:r>
        <w:rPr>
          <w:rFonts w:hint="eastAsia" w:ascii="宋体" w:hAnsi="宋体" w:cs="宋体"/>
          <w:color w:val="000000" w:themeColor="text1"/>
          <w:szCs w:val="21"/>
          <w:highlight w:val="none"/>
          <w:lang w:val="en-US" w:eastAsia="zh-CN"/>
          <w14:textFill>
            <w14:solidFill>
              <w14:schemeClr w14:val="tx1"/>
            </w14:solidFill>
          </w14:textFill>
        </w:rPr>
        <w:t>广西政府采购云</w:t>
      </w:r>
      <w:r>
        <w:rPr>
          <w:rFonts w:hint="eastAsia" w:ascii="宋体" w:hAnsi="宋体" w:cs="宋体"/>
          <w:color w:val="000000" w:themeColor="text1"/>
          <w:szCs w:val="21"/>
          <w:highlight w:val="none"/>
          <w14:textFill>
            <w14:solidFill>
              <w14:schemeClr w14:val="tx1"/>
            </w14:solidFill>
          </w14:textFill>
        </w:rPr>
        <w:t>平台实行在线解密开启。</w:t>
      </w:r>
    </w:p>
    <w:p>
      <w:pPr>
        <w:spacing w:line="440" w:lineRule="atLeast"/>
        <w:ind w:firstLine="630" w:firstLineChars="3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提交电子备份投标文件方式：详见《供应商须知前附表》。</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20.2供应商不足3家的，不得开标，采购人或者采购代理机构应当重新组织采购。</w:t>
      </w:r>
    </w:p>
    <w:p>
      <w:pPr>
        <w:spacing w:line="440" w:lineRule="atLeast"/>
        <w:rPr>
          <w:rFonts w:hint="eastAsia" w:ascii="宋体" w:hAnsi="宋体" w:cs="宋体"/>
          <w:b/>
          <w:bCs/>
          <w:color w:val="000000" w:themeColor="text1"/>
          <w:szCs w:val="21"/>
          <w:highlight w:val="none"/>
          <w14:textFill>
            <w14:solidFill>
              <w14:schemeClr w14:val="tx1"/>
            </w14:solidFill>
          </w14:textFill>
        </w:rPr>
      </w:pPr>
      <w:bookmarkStart w:id="280" w:name="_Toc15515"/>
      <w:bookmarkStart w:id="281" w:name="_Toc8462"/>
      <w:bookmarkStart w:id="282" w:name="_Toc11217"/>
      <w:r>
        <w:rPr>
          <w:rFonts w:hint="eastAsia" w:ascii="宋体" w:hAnsi="宋体" w:cs="宋体"/>
          <w:b/>
          <w:bCs/>
          <w:color w:val="000000" w:themeColor="text1"/>
          <w:szCs w:val="21"/>
          <w:highlight w:val="none"/>
          <w14:textFill>
            <w14:solidFill>
              <w14:schemeClr w14:val="tx1"/>
            </w14:solidFill>
          </w14:textFill>
        </w:rPr>
        <w:t>21.开标程序</w:t>
      </w:r>
      <w:bookmarkEnd w:id="280"/>
      <w:bookmarkEnd w:id="281"/>
      <w:bookmarkEnd w:id="282"/>
    </w:p>
    <w:p>
      <w:pPr>
        <w:spacing w:line="440" w:lineRule="atLeas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21.1开标准备</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21.1.1.开标的准备工作由采购代理机构负责落实；</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21.1.2.采购代理机构将按照竞争性磋商规定的时间通过“政府采购云平台”组织开标、开启响应文件，所有供应商均应当准时在线参加。供应商如不参加开标会的，视同认可开标结果，事后不得对采购相关人员、开标过程和开标结果提出异议，同时供应商因未在线参加开标而导致响应文件无法按时解密等一切后果由供应商自己承担。</w:t>
      </w:r>
    </w:p>
    <w:p>
      <w:pPr>
        <w:spacing w:line="440" w:lineRule="atLeas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22.1开标程序</w:t>
      </w:r>
    </w:p>
    <w:p>
      <w:pPr>
        <w:spacing w:line="440" w:lineRule="atLeas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22.1.1.向各供应商发出电子加密响应文件【开始解密】通知，由供应商按采购文件规定的时间内自行进行响应文件解密。供应商在规定的时间内无法完成已递交的“电子加密响应文件”解密的，如已按规定递交了电子备份响应文件的，将由采购组织机构按“政府采购云平台”操作规范将备份响应文件上传至“政府采购云平台”，上传成功后，“电子加密响应文件”自动失效。如未提供备份电子响应文件，将不进行再次解密程序。无法在线解密视为供应商放弃投标。在线解密时间为30分钟。</w:t>
      </w:r>
    </w:p>
    <w:p>
      <w:pPr>
        <w:spacing w:line="440" w:lineRule="atLeas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22.1.2.响应文件解密结束后，开标活动组织人员在线开启响应文件。</w:t>
      </w:r>
    </w:p>
    <w:p>
      <w:pPr>
        <w:spacing w:line="440" w:lineRule="atLeast"/>
        <w:ind w:firstLine="422" w:firstLineChars="20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特别说明：如遇“政府采购云平台”电子化开标或评审程序调整的，按调整后程序执行。</w:t>
      </w:r>
    </w:p>
    <w:p>
      <w:pPr>
        <w:spacing w:line="440" w:lineRule="atLeast"/>
        <w:jc w:val="center"/>
        <w:rPr>
          <w:rFonts w:hint="eastAsia" w:ascii="宋体" w:hAnsi="宋体" w:cs="宋体"/>
          <w:b/>
          <w:color w:val="000000" w:themeColor="text1"/>
          <w:szCs w:val="21"/>
          <w:highlight w:val="none"/>
          <w14:textFill>
            <w14:solidFill>
              <w14:schemeClr w14:val="tx1"/>
            </w14:solidFill>
          </w14:textFill>
        </w:rPr>
      </w:pPr>
      <w:bookmarkStart w:id="283" w:name="_Toc21248"/>
      <w:bookmarkStart w:id="284" w:name="_Toc31385"/>
      <w:bookmarkStart w:id="285" w:name="_Toc27381"/>
      <w:bookmarkStart w:id="286" w:name="_Toc19671"/>
      <w:bookmarkStart w:id="287" w:name="_Toc30016"/>
      <w:bookmarkStart w:id="288" w:name="_Toc30458"/>
      <w:bookmarkStart w:id="289" w:name="_Toc1563"/>
      <w:bookmarkStart w:id="290" w:name="_Toc19819"/>
      <w:r>
        <w:rPr>
          <w:rFonts w:hint="eastAsia" w:ascii="宋体" w:hAnsi="宋体" w:cs="宋体"/>
          <w:b/>
          <w:color w:val="000000" w:themeColor="text1"/>
          <w:szCs w:val="21"/>
          <w:highlight w:val="none"/>
          <w14:textFill>
            <w14:solidFill>
              <w14:schemeClr w14:val="tx1"/>
            </w14:solidFill>
          </w14:textFill>
        </w:rPr>
        <w:t>五、</w:t>
      </w:r>
      <w:bookmarkEnd w:id="278"/>
      <w:bookmarkEnd w:id="279"/>
      <w:bookmarkEnd w:id="283"/>
      <w:bookmarkEnd w:id="284"/>
      <w:bookmarkEnd w:id="285"/>
      <w:bookmarkEnd w:id="286"/>
      <w:bookmarkEnd w:id="287"/>
      <w:bookmarkEnd w:id="288"/>
      <w:bookmarkEnd w:id="289"/>
      <w:bookmarkEnd w:id="290"/>
      <w:bookmarkStart w:id="291" w:name="_Toc31543"/>
      <w:bookmarkStart w:id="292" w:name="_Toc495841760"/>
      <w:r>
        <w:rPr>
          <w:rFonts w:hint="eastAsia" w:ascii="宋体" w:hAnsi="宋体" w:cs="宋体"/>
          <w:b/>
          <w:color w:val="000000" w:themeColor="text1"/>
          <w:szCs w:val="21"/>
          <w:highlight w:val="none"/>
          <w14:textFill>
            <w14:solidFill>
              <w14:schemeClr w14:val="tx1"/>
            </w14:solidFill>
          </w14:textFill>
        </w:rPr>
        <w:t>竞争性磋商（简称磋商）与评审</w:t>
      </w:r>
    </w:p>
    <w:p>
      <w:pPr>
        <w:tabs>
          <w:tab w:val="center" w:pos="4411"/>
          <w:tab w:val="left" w:pos="5475"/>
        </w:tabs>
        <w:spacing w:line="440" w:lineRule="atLeas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23.磋商小组组成及磋商时间、地点、人员</w:t>
      </w:r>
    </w:p>
    <w:p>
      <w:pPr>
        <w:spacing w:line="440" w:lineRule="atLeast"/>
        <w:ind w:firstLine="435"/>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23.1磋商小组组成：</w:t>
      </w:r>
    </w:p>
    <w:p>
      <w:pPr>
        <w:spacing w:line="440" w:lineRule="atLeast"/>
        <w:ind w:firstLine="43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磋商及评审工作由采购代理机构负责组织，具体磋商、评审工作由依法组建的磋商小组负责，磋商小组由采购人代表和有关方面的专家组成。磋商小组的构成：</w:t>
      </w:r>
      <w:r>
        <w:rPr>
          <w:rFonts w:hint="eastAsia" w:ascii="宋体" w:hAnsi="宋体" w:cs="宋体"/>
          <w:color w:val="000000" w:themeColor="text1"/>
          <w:szCs w:val="21"/>
          <w:highlight w:val="none"/>
          <w:u w:val="singl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人，其中采购人代表</w:t>
      </w:r>
      <w:r>
        <w:rPr>
          <w:rFonts w:hint="eastAsia" w:ascii="宋体" w:hAnsi="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人，专家</w:t>
      </w:r>
      <w:r>
        <w:rPr>
          <w:rFonts w:hint="eastAsia" w:ascii="宋体" w:hAnsi="宋体" w:cs="宋体"/>
          <w:color w:val="000000" w:themeColor="text1"/>
          <w:szCs w:val="21"/>
          <w:highlight w:val="none"/>
          <w:u w:val="singl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人。专家确定方式：</w:t>
      </w:r>
      <w:r>
        <w:rPr>
          <w:rFonts w:hint="eastAsia" w:ascii="宋体" w:hAnsi="宋体" w:cs="宋体"/>
          <w:color w:val="000000" w:themeColor="text1"/>
          <w:szCs w:val="21"/>
          <w:highlight w:val="none"/>
          <w:u w:val="single"/>
          <w14:textFill>
            <w14:solidFill>
              <w14:schemeClr w14:val="tx1"/>
            </w14:solidFill>
          </w14:textFill>
        </w:rPr>
        <w:t>磋商前由采购代理机构从广西政采云专家库中通过电脑随机抽取</w:t>
      </w:r>
      <w:r>
        <w:rPr>
          <w:rFonts w:hint="eastAsia" w:ascii="宋体" w:hAnsi="宋体" w:cs="宋体"/>
          <w:color w:val="000000" w:themeColor="text1"/>
          <w:szCs w:val="21"/>
          <w:highlight w:val="none"/>
          <w14:textFill>
            <w14:solidFill>
              <w14:schemeClr w14:val="tx1"/>
            </w14:solidFill>
          </w14:textFill>
        </w:rPr>
        <w:t>。</w:t>
      </w:r>
    </w:p>
    <w:p>
      <w:pPr>
        <w:tabs>
          <w:tab w:val="left" w:pos="1140"/>
        </w:tabs>
        <w:spacing w:line="440" w:lineRule="atLeast"/>
        <w:ind w:firstLine="422"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23.2磋商时间、地点、人员：</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23.2.1磋商时间：响应文件递交截止时间后。</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23.2.2磋商地点：详见供应商须知前附表。</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23.2.3磋商参加人员：详见供应商须知前附表</w:t>
      </w:r>
      <w:r>
        <w:rPr>
          <w:rFonts w:hint="eastAsia" w:ascii="宋体" w:hAnsi="宋体" w:cs="宋体"/>
          <w:b/>
          <w:color w:val="000000" w:themeColor="text1"/>
          <w:szCs w:val="21"/>
          <w:highlight w:val="none"/>
          <w14:textFill>
            <w14:solidFill>
              <w14:schemeClr w14:val="tx1"/>
            </w14:solidFill>
          </w14:textFill>
        </w:rPr>
        <w:t>。</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position w:val="-2"/>
          <w:szCs w:val="21"/>
          <w:highlight w:val="none"/>
          <w14:textFill>
            <w14:solidFill>
              <w14:schemeClr w14:val="tx1"/>
            </w14:solidFill>
          </w14:textFill>
        </w:rPr>
        <w:t>23.2.4</w:t>
      </w:r>
      <w:r>
        <w:rPr>
          <w:rFonts w:hint="eastAsia" w:ascii="宋体" w:hAnsi="宋体" w:cs="宋体"/>
          <w:bCs/>
          <w:color w:val="000000" w:themeColor="text1"/>
          <w:szCs w:val="21"/>
          <w:highlight w:val="none"/>
          <w14:textFill>
            <w14:solidFill>
              <w14:schemeClr w14:val="tx1"/>
            </w14:solidFill>
          </w14:textFill>
        </w:rPr>
        <w:t>响应文件递交截止时间后，由磋商小组在评标室内线上开启响应文件。</w:t>
      </w:r>
    </w:p>
    <w:p>
      <w:pPr>
        <w:tabs>
          <w:tab w:val="left" w:pos="1140"/>
        </w:tabs>
        <w:spacing w:line="440" w:lineRule="atLeast"/>
        <w:ind w:left="59" w:hanging="59" w:hangingChars="28"/>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24.评审原则和评审办法</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24.1磋商小组必须坚持公平、公正、科学和择优的原则。</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24.2评审办法：具体详见第三章评审办法。</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24.3磋商小组应按磋商文件进行评审，不得擅自更改评审办法。</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24.4在评审过程中，磋商小组任何人不得对某个供应商发表任何倾向性意见，不得向其他磋商小组成员明示或者暗示自己的评审意见。</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24.5磋商小组成员对需要共同认定的事项存在争议的，按照少数服从多数的原则作出结论。持不同意见的磋商小组成员应当在评审报告上签署不同意见并说明理由，否则视为同意。</w:t>
      </w:r>
    </w:p>
    <w:p>
      <w:pPr>
        <w:tabs>
          <w:tab w:val="left" w:pos="1140"/>
        </w:tabs>
        <w:spacing w:line="440" w:lineRule="atLeast"/>
        <w:ind w:left="59" w:hanging="59" w:hangingChars="28"/>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25.评审程序及磋商要求</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25.1采购代理机构核实磋商小组成员身份，告知回避要求，宣布评审工作纪律和程序，统一保管通讯工具或相关电子设备，推选磋商小组组长。</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25.3磋商小组依据法律法规和竞争性磋商文件的规定，首先对响应文件中的资格证明等进行资格性审查，以确定供应商是否具备本项目供应商资格；</w:t>
      </w:r>
    </w:p>
    <w:p>
      <w:pPr>
        <w:spacing w:line="440" w:lineRule="atLeast"/>
        <w:ind w:firstLine="316" w:firstLineChars="15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在进行资格性审查时，磋商小组将进入《国家企业信用信息公示系统》对企业股东及出资等信息进行查询，对存在《中华人民共和国政府采购法实施条例》第十八条第一款情形的，其响应文件将被视为无效文件。</w:t>
      </w:r>
    </w:p>
    <w:p>
      <w:pPr>
        <w:spacing w:line="440" w:lineRule="atLeast"/>
        <w:ind w:firstLine="316" w:firstLineChars="15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审查流程</w:t>
      </w:r>
    </w:p>
    <w:p>
      <w:pPr>
        <w:spacing w:line="440" w:lineRule="atLeast"/>
        <w:ind w:firstLine="316" w:firstLineChars="15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1、进入《国家企业信用信息公示系统》（网址：http://www.gsxt.gov.cn/index.html），输入企业名称，进入企业信息主页面。</w:t>
      </w:r>
    </w:p>
    <w:p>
      <w:pPr>
        <w:spacing w:line="440" w:lineRule="atLeast"/>
        <w:ind w:firstLine="316" w:firstLineChars="15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2、查看主页“股东及出资信息”栏，或年报中的“股东及出资信息”栏信息。</w:t>
      </w:r>
    </w:p>
    <w:p>
      <w:pPr>
        <w:spacing w:line="440" w:lineRule="atLeast"/>
        <w:ind w:firstLine="316" w:firstLineChars="15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3、将各供应商的股东及出资信息进行比对，如发现存在单位负责人为同一人或者存在直接控股、管理关系的不同供应商参加同一合同项下的政府采购活动，按无效处理。</w:t>
      </w:r>
    </w:p>
    <w:p>
      <w:pPr>
        <w:spacing w:line="440" w:lineRule="atLeast"/>
        <w:ind w:firstLine="316" w:firstLineChars="15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4、将相关资料打印存档。</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再对通过资格性审查的供应商响应文件的有效性、完整性和对磋商文件的响应程度进行符合性审查，以确定是否对磋商文件的实质性要求做出响应。</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25.4磋商小组如发现供应商提供采购需求要求的证明文件不齐全或不符合规定格式的，应一次性告知供应商，供应商应在规定的时间内当场补正或更正。</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澄清、说明或者更正应由其法定代表人、负责人或相应的授权委托代表签字或者加盖供应商公章。</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根据磋商文件规定的程序、评定成交的标准等事项与实质性响应竞争性磋商文件要求的供应商进行磋商。未实质性响应磋商文件的响应文件按无效处理，磋商小组应当告知有关供应商。</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磋商小组所有成员应当按已确定的磋商顺序集中与单一供应商分别进行磋商，并给予所有实质性响应竞争性磋商文件要求的供应商平等的磋商机会。</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磋商中，磋商小组不得透露与磋商有关的其他供应商的技术资料、价格和其他信息。</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采购代理机构对磋商过程和重要磋商内容进行记录，磋商双方在记录上签字确认。</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25.6在磋商过程中，磋商小组可以根据磋商文件和磋商情况实质性变动项目需求中的技术、服务要求以及合同草案条款，但不得变动磋商文件中的其他内容。实质性变动的内容，须经采购人代表确认。</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对磋商文件作出的实质性变动是磋商文件的有效组成部分，磋商小组应当及时以书面形式同时通知所有参加磋商的供应商。</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供应商应当按照磋商文件的变动情况和磋商小组的要求重新提交响应文件，并由其法定代表人、负责人或相应的授权委托代表签字或者加盖供应商公章。逾时不交的，视同放弃磋商。</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25.8最后报价</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25.8.1磋商文件能够详细列明采购标的的技术、服务要求的，磋商结束后，磋商小组应当要求所有继续参加磋商的供应商在规定时间内密封提交最后报价，提交最后报价的供应商不得少于3家。</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25.8.2磋商文件不能详细列明采购标的的技术、服务要求的，需由磋商供应商提供最终设计方案或解决方案的，磋商结束后，磋商小组应当按照少数服从多数的原则投票推荐3家以上（含3家）供应商的设计方案或者解决方案，并要求其在规定时间内密封提交最后报价。</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25.8.3最后报价是供应商响应文件的有效组成部分。</w:t>
      </w:r>
    </w:p>
    <w:p>
      <w:pPr>
        <w:spacing w:line="440" w:lineRule="atLeas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25.9已提交响应文件的供应商，在提交最后报价之前，可以根据磋商情况书面退出磋商。</w:t>
      </w:r>
    </w:p>
    <w:p>
      <w:pPr>
        <w:spacing w:line="440" w:lineRule="atLeas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未书面退出磋商的供应商在规定时间内密封提交最后报价，其最后报价超过预算金额导致已通过评审的响应文件无效的，按供应商在提交响应文件截止时间后撤销响应文件处理。</w:t>
      </w:r>
    </w:p>
    <w:p>
      <w:pPr>
        <w:widowControl/>
        <w:tabs>
          <w:tab w:val="left" w:pos="540"/>
        </w:tabs>
        <w:spacing w:line="440" w:lineRule="atLeas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25.10评审报告</w:t>
      </w:r>
    </w:p>
    <w:p>
      <w:pPr>
        <w:spacing w:line="440" w:lineRule="atLeas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磋商小组应当从质量和服务均能满足磋商文件全部实质性响应要求的供应商中，按照最后综合得分由高到低的顺序提出3名以上（含3名）成交候选人，并编写评审报告。</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25.11采购代理机构发现磋商小组有明显的违规倾向或歧视现象，或不按评审办法进行，或其他不正常行为的，应当及时制止。如制止无效，应及时向采购监督管理机构报告。</w:t>
      </w:r>
    </w:p>
    <w:p>
      <w:pPr>
        <w:pStyle w:val="21"/>
        <w:spacing w:line="440" w:lineRule="atLeast"/>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26.确定成交供应商</w:t>
      </w:r>
    </w:p>
    <w:p>
      <w:pPr>
        <w:spacing w:line="440" w:lineRule="atLeast"/>
        <w:ind w:firstLine="420" w:firstLineChars="20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（1）磋商小组应当根据综合得分由高到低排列次序，若得分相同时，以最后报价由低到高顺序排列；若仍相同的，依次按设计技术方案分、服务承诺分、企业实力分由高到低顺序排列并推荐成交候选供应商。</w:t>
      </w:r>
    </w:p>
    <w:p>
      <w:pPr>
        <w:tabs>
          <w:tab w:val="left" w:pos="4214"/>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（2）磋商小组可推荐前三名为中标候选人，采购人应当确定磋商小组推荐排名第一的中标候选人为成交供应商。</w:t>
      </w:r>
    </w:p>
    <w:p>
      <w:pPr>
        <w:snapToGrid w:val="0"/>
        <w:spacing w:line="440" w:lineRule="atLeast"/>
        <w:ind w:firstLine="420" w:firstLineChars="200"/>
        <w:outlineLvl w:val="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排名第一的中标候选人放弃中标、因不可抗力提出不能履行合同，或者磋商文件规定应当提交履约保证金而在规定的期限内未能提交的，或因失信行为被取消中标候选人资格的，采购人可以确定排名第二的中标候选人为成交供应商或者重新组织招标。</w:t>
      </w:r>
    </w:p>
    <w:p>
      <w:pPr>
        <w:widowControl/>
        <w:shd w:val="clear" w:color="auto" w:fill="FFFFFF"/>
        <w:spacing w:line="440" w:lineRule="atLeast"/>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27.</w:t>
      </w:r>
      <w:r>
        <w:rPr>
          <w:rFonts w:hint="eastAsia" w:ascii="宋体" w:hAnsi="宋体" w:cs="宋体"/>
          <w:b/>
          <w:color w:val="000000" w:themeColor="text1"/>
          <w:szCs w:val="21"/>
          <w:highlight w:val="none"/>
          <w14:textFill>
            <w14:solidFill>
              <w14:schemeClr w14:val="tx1"/>
            </w14:solidFill>
          </w14:textFill>
        </w:rPr>
        <w:t>属于下列情况之一者，响应文件无效：</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（1）未按磋商文件规定完整线上提交响应文件或未按规定要求线上签字、签章的；</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（2）不具备磋商文件规定的资格要求的；</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（3）响应文件未按磋商文件的内容和要求编制，或提供虚假材料的；</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（4）供应商未就“项目要求”中的所有内容作完整唯一报价的，或报价超过上限控制价的；</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（5）未在磋商小组规定的时间内提交响应文件(包括最后报价)的；</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（6）超越了按照法律法规规定必须获得行政许可或者行政审批的经营范围的；</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（7）未满足磋商文件实质性要求的或者响应文件有采购人不能接受的附加条件的；</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（8）响应文件实质性要求未做变动，供应商最后报价高于第一次报价的；</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（9）不符合法律、法规和磋商文件规定的其他实质性要求和条件的。</w:t>
      </w:r>
    </w:p>
    <w:p>
      <w:pPr>
        <w:snapToGrid w:val="0"/>
        <w:spacing w:line="440" w:lineRule="atLeast"/>
        <w:ind w:firstLine="525" w:firstLineChars="249"/>
        <w:outlineLvl w:val="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供应商有下列情形之一的，视为串通磋商，关联供应商响应文件将全部被视为无效：</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（1）不同供应商的响应文件由同一单位或者个人编制；或不同供应商报名的IP地址一致的；</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（2）不同供应商委托同一单位或者个人办理磋商事宜；</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（3）不同的供应商的响应文件载明的项目管理员为同一个人；</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（4）不同供应商的响应文件异常一致或磋商报价呈规律性差异；</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（5）不同供应商的响应文件相互混装；</w:t>
      </w:r>
    </w:p>
    <w:p>
      <w:pPr>
        <w:tabs>
          <w:tab w:val="left" w:pos="1140"/>
        </w:tabs>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（6）响应文件实质性要求未做变动，供应商最终报价高于第一次报价的。</w:t>
      </w:r>
    </w:p>
    <w:p>
      <w:pPr>
        <w:snapToGrid w:val="0"/>
        <w:spacing w:line="440" w:lineRule="atLeast"/>
        <w:outlineLvl w:val="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28.出现下列情形之一的，采购人或者采购代理机构应当终止竞争性磋商采购活动，发布项目终止公告并说明原因，重新开展采购活动：</w:t>
      </w:r>
    </w:p>
    <w:p>
      <w:pPr>
        <w:snapToGrid w:val="0"/>
        <w:spacing w:line="440" w:lineRule="atLeast"/>
        <w:ind w:firstLine="411" w:firstLineChars="196"/>
        <w:outlineLvl w:val="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（1）因情况变化，不再符合规定的竞争性磋商采购方式适用情形的；</w:t>
      </w:r>
    </w:p>
    <w:p>
      <w:pPr>
        <w:snapToGrid w:val="0"/>
        <w:spacing w:line="440" w:lineRule="atLeast"/>
        <w:ind w:firstLine="411" w:firstLineChars="196"/>
        <w:outlineLvl w:val="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（2）出现影响采购公正的违法、违规行为的；</w:t>
      </w:r>
    </w:p>
    <w:p>
      <w:pPr>
        <w:snapToGrid w:val="0"/>
        <w:spacing w:line="440" w:lineRule="atLeast"/>
        <w:ind w:firstLine="411" w:firstLineChars="196"/>
        <w:outlineLvl w:val="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（3）在采购过程中符合竞争要求的供应商或者报价未超过采购预算的供应商不足3家的。</w:t>
      </w:r>
    </w:p>
    <w:p>
      <w:pPr>
        <w:snapToGrid w:val="0"/>
        <w:spacing w:line="440" w:lineRule="atLeast"/>
        <w:outlineLvl w:val="4"/>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29.磋商过程的监控</w:t>
      </w:r>
    </w:p>
    <w:p>
      <w:pPr>
        <w:pStyle w:val="21"/>
        <w:spacing w:line="440" w:lineRule="atLeast"/>
        <w:ind w:firstLine="411" w:firstLineChars="196"/>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本项目磋商过程实行全程录音、录像监控，供应商在磋商过程中所进行的试图影响磋商结果的不公正活动，可能导致其磋商被拒绝。</w:t>
      </w:r>
    </w:p>
    <w:p>
      <w:pPr>
        <w:pStyle w:val="21"/>
        <w:spacing w:line="440" w:lineRule="atLeast"/>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30.成交公告及成交通知书</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napToGrid w:val="0"/>
        <w:spacing w:line="440" w:lineRule="atLeast"/>
        <w:ind w:firstLine="411" w:firstLineChars="196"/>
        <w:outlineLvl w:val="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25.2在发布成交公告的同时，采购代理机构向成交供应商发出成交通知书。如成交供应商自接到通知之日起七个工作日内，不办理成交通知书领取手续的，按违约处理。采购单位将取消其成交资格，成交供应商所有磋商的全部保证金不予退还，从磋商小组推荐的成交候选人中按顺序重新确定成交供应商。</w:t>
      </w:r>
    </w:p>
    <w:p>
      <w:pPr>
        <w:pStyle w:val="21"/>
        <w:spacing w:line="440" w:lineRule="atLeast"/>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25.3采购代理机构无义务向未成交的供应商解释未成交原因和退还响应文件。</w:t>
      </w:r>
    </w:p>
    <w:p>
      <w:pPr>
        <w:pStyle w:val="21"/>
        <w:spacing w:line="440" w:lineRule="atLeast"/>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31.信用查询</w:t>
      </w:r>
    </w:p>
    <w:p>
      <w:pPr>
        <w:autoSpaceDE w:val="0"/>
        <w:autoSpaceDN w:val="0"/>
        <w:snapToGrid w:val="0"/>
        <w:spacing w:line="440" w:lineRule="atLeast"/>
        <w:ind w:firstLine="420" w:firstLineChars="20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由采购代理机构对第一成交候选人进行信用查询：</w:t>
      </w:r>
    </w:p>
    <w:p>
      <w:pPr>
        <w:autoSpaceDE w:val="0"/>
        <w:autoSpaceDN w:val="0"/>
        <w:snapToGrid w:val="0"/>
        <w:spacing w:line="440" w:lineRule="atLeast"/>
        <w:ind w:firstLine="420" w:firstLineChars="20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⑴查询渠道：“信用中国”网站(www.creditchina.gov.cn)等；</w:t>
      </w:r>
    </w:p>
    <w:p>
      <w:pPr>
        <w:autoSpaceDE w:val="0"/>
        <w:autoSpaceDN w:val="0"/>
        <w:snapToGrid w:val="0"/>
        <w:spacing w:line="440" w:lineRule="atLeast"/>
        <w:ind w:firstLine="420" w:firstLineChars="200"/>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⑵查询截止时点：成交通知书发出前；</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⑶信用信息查询记录和证据留存方式：在查询网站中直接打印查询记录，打印材料作为采购活动资料保存。</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⑷信用信息使用规则：对在“信用中国”网站(www.creditchina.gov.cn)等渠道列入失信被执行人、重大税收违法案件当事人名单、政府采购严重违法失信行为记录名单及其他不符合《中华人民共和国政府采购法》第二十二条规定条件的供应商，取消其成交候选人资格。</w:t>
      </w:r>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293" w:name="_Toc2554"/>
      <w:bookmarkStart w:id="294" w:name="_Toc28208"/>
      <w:bookmarkStart w:id="295" w:name="_Toc28418"/>
      <w:bookmarkStart w:id="296" w:name="_Toc25576"/>
      <w:bookmarkStart w:id="297" w:name="_Toc5190"/>
      <w:bookmarkStart w:id="298" w:name="_Toc2338"/>
      <w:bookmarkStart w:id="299" w:name="_Toc30671"/>
      <w:bookmarkStart w:id="300" w:name="_Toc27551"/>
      <w:r>
        <w:rPr>
          <w:rFonts w:hint="eastAsia" w:ascii="宋体" w:hAnsi="宋体" w:cs="宋体"/>
          <w:b/>
          <w:color w:val="000000" w:themeColor="text1"/>
          <w:szCs w:val="21"/>
          <w:highlight w:val="none"/>
          <w14:textFill>
            <w14:solidFill>
              <w14:schemeClr w14:val="tx1"/>
            </w14:solidFill>
          </w14:textFill>
        </w:rPr>
        <w:t>32.成交公告及成交通知书</w:t>
      </w:r>
    </w:p>
    <w:p>
      <w:pPr>
        <w:spacing w:line="440" w:lineRule="atLeas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32.1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pPr>
        <w:spacing w:line="440" w:lineRule="atLeas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32.2中小企业在政府采购活动过程中，请根据自己的真实情况出具《中小企业声明函》。采购人或采购代理机构在公告成交结果时，同时公告其《中小企业声明函》，接受社会监督。</w:t>
      </w:r>
    </w:p>
    <w:p>
      <w:pPr>
        <w:spacing w:line="440" w:lineRule="atLeast"/>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32.3在发布成交公告的同时，采购代理机构向成交供应商发出成交通知书。成交供应商应自接到通知之日起七个工作日内，办理成交通知书领取手续。</w:t>
      </w:r>
    </w:p>
    <w:p>
      <w:pPr>
        <w:spacing w:line="440" w:lineRule="atLeas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32.4采购代理机构无义务向未成交的供应商解释未成交原因和退还响应文件。</w:t>
      </w:r>
    </w:p>
    <w:p>
      <w:pPr>
        <w:spacing w:line="440" w:lineRule="atLeas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六、履约保证金及签订合同</w:t>
      </w:r>
      <w:bookmarkEnd w:id="291"/>
      <w:bookmarkEnd w:id="292"/>
      <w:bookmarkEnd w:id="293"/>
      <w:bookmarkEnd w:id="294"/>
      <w:bookmarkEnd w:id="295"/>
      <w:bookmarkEnd w:id="296"/>
      <w:bookmarkEnd w:id="297"/>
      <w:bookmarkEnd w:id="298"/>
      <w:bookmarkEnd w:id="299"/>
      <w:bookmarkEnd w:id="300"/>
    </w:p>
    <w:p>
      <w:pPr>
        <w:spacing w:line="440" w:lineRule="atLeast"/>
        <w:rPr>
          <w:rFonts w:hint="eastAsia" w:ascii="宋体" w:hAnsi="宋体" w:cs="宋体"/>
          <w:color w:val="000000" w:themeColor="text1"/>
          <w:szCs w:val="21"/>
          <w:highlight w:val="none"/>
          <w14:textFill>
            <w14:solidFill>
              <w14:schemeClr w14:val="tx1"/>
            </w14:solidFill>
          </w14:textFill>
        </w:rPr>
      </w:pPr>
      <w:bookmarkStart w:id="301" w:name="_Toc12652"/>
      <w:bookmarkStart w:id="302" w:name="_Toc23694"/>
      <w:bookmarkStart w:id="303" w:name="_Toc6994"/>
      <w:bookmarkStart w:id="304" w:name="_Toc18671"/>
      <w:bookmarkStart w:id="305" w:name="_Toc6419"/>
      <w:bookmarkStart w:id="306" w:name="_Toc30853"/>
      <w:bookmarkStart w:id="307" w:name="_Toc19555"/>
      <w:bookmarkStart w:id="308" w:name="_Toc25841"/>
      <w:bookmarkStart w:id="309" w:name="_Toc75"/>
      <w:r>
        <w:rPr>
          <w:rFonts w:hint="eastAsia" w:ascii="宋体" w:hAnsi="宋体" w:cs="宋体"/>
          <w:b/>
          <w:color w:val="000000" w:themeColor="text1"/>
          <w:szCs w:val="21"/>
          <w:highlight w:val="none"/>
          <w14:textFill>
            <w14:solidFill>
              <w14:schemeClr w14:val="tx1"/>
            </w14:solidFill>
          </w14:textFill>
        </w:rPr>
        <w:t>33.履约保证金</w:t>
      </w:r>
      <w:bookmarkEnd w:id="301"/>
      <w:bookmarkEnd w:id="302"/>
      <w:bookmarkEnd w:id="303"/>
      <w:bookmarkEnd w:id="304"/>
      <w:bookmarkEnd w:id="305"/>
      <w:bookmarkEnd w:id="306"/>
      <w:bookmarkEnd w:id="307"/>
      <w:bookmarkEnd w:id="308"/>
      <w:bookmarkEnd w:id="309"/>
      <w:r>
        <w:rPr>
          <w:rFonts w:hint="eastAsia" w:ascii="宋体" w:hAnsi="宋体" w:cs="宋体"/>
          <w:b/>
          <w:color w:val="000000" w:themeColor="text1"/>
          <w:szCs w:val="21"/>
          <w:highlight w:val="none"/>
          <w14:textFill>
            <w14:solidFill>
              <w14:schemeClr w14:val="tx1"/>
            </w14:solidFill>
          </w14:textFill>
        </w:rPr>
        <w:t>：“无”</w:t>
      </w:r>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310" w:name="_Toc7195"/>
      <w:bookmarkStart w:id="311" w:name="_Toc18160"/>
      <w:bookmarkStart w:id="312" w:name="_Toc29802"/>
      <w:bookmarkStart w:id="313" w:name="_Toc11201"/>
      <w:bookmarkStart w:id="314" w:name="_Toc19699"/>
      <w:bookmarkStart w:id="315" w:name="_Toc26689"/>
      <w:bookmarkStart w:id="316" w:name="_Toc1860"/>
      <w:bookmarkStart w:id="317" w:name="_Toc15903"/>
      <w:bookmarkStart w:id="318" w:name="_Toc7237"/>
      <w:r>
        <w:rPr>
          <w:rFonts w:hint="eastAsia" w:ascii="宋体" w:hAnsi="宋体" w:cs="宋体"/>
          <w:b/>
          <w:color w:val="000000" w:themeColor="text1"/>
          <w:szCs w:val="21"/>
          <w:highlight w:val="none"/>
          <w14:textFill>
            <w14:solidFill>
              <w14:schemeClr w14:val="tx1"/>
            </w14:solidFill>
          </w14:textFill>
        </w:rPr>
        <w:t>34.签订合同</w:t>
      </w:r>
      <w:bookmarkEnd w:id="310"/>
      <w:bookmarkEnd w:id="311"/>
      <w:bookmarkEnd w:id="312"/>
      <w:bookmarkEnd w:id="313"/>
      <w:bookmarkEnd w:id="314"/>
      <w:bookmarkEnd w:id="315"/>
      <w:bookmarkEnd w:id="316"/>
      <w:bookmarkEnd w:id="317"/>
      <w:bookmarkEnd w:id="318"/>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34.1签订合同时间：成交通知书发出之日起8个工作日内。成交供应商领取成交通知书后，应按规定与采购人签订合同。</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34.2如中标供应商有下列情形之一的，情节严重的，由财政部门将其列入不良行为记录名单，在一至三年内禁止参加政府采购活动，并予以通报。采购人或者采购代理机构可从磋商小组推荐的中标候选供应商中按顺序重新确定中标供应商或重新组织磋商。</w:t>
      </w:r>
    </w:p>
    <w:p>
      <w:pPr>
        <w:spacing w:line="440" w:lineRule="atLeast"/>
        <w:ind w:firstLine="315" w:firstLineChars="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（1）中标后不与采购人签订合同的（不可抗力除外）；</w:t>
      </w:r>
    </w:p>
    <w:p>
      <w:pPr>
        <w:spacing w:line="440" w:lineRule="atLeast"/>
        <w:ind w:firstLine="315" w:firstLineChars="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（2）将中标项目转让给他人，或者在响应文件中未说明，且未经采购人同意，将中标项目分包给他人的；</w:t>
      </w:r>
    </w:p>
    <w:p>
      <w:pPr>
        <w:spacing w:line="440" w:lineRule="atLeast"/>
        <w:ind w:firstLine="315" w:firstLineChars="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（3）拒绝履行合同义务的。</w:t>
      </w:r>
    </w:p>
    <w:p>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34.3合同备案存档：政府采购合同双方自签订之日起一个工作日内将合同原件一份交采购代理机构。采购代理机构将政府采购合同在省级以上人民政府财政部门指定媒体上公告。</w:t>
      </w:r>
    </w:p>
    <w:p>
      <w:pPr>
        <w:spacing w:line="440" w:lineRule="atLeast"/>
        <w:jc w:val="center"/>
        <w:rPr>
          <w:rFonts w:hint="eastAsia" w:ascii="宋体" w:hAnsi="宋体" w:cs="宋体"/>
          <w:b/>
          <w:color w:val="000000" w:themeColor="text1"/>
          <w:szCs w:val="21"/>
          <w:highlight w:val="none"/>
          <w14:textFill>
            <w14:solidFill>
              <w14:schemeClr w14:val="tx1"/>
            </w14:solidFill>
          </w14:textFill>
        </w:rPr>
      </w:pPr>
      <w:bookmarkStart w:id="319" w:name="_Toc12109"/>
      <w:bookmarkStart w:id="320" w:name="_Toc5916"/>
      <w:bookmarkStart w:id="321" w:name="_Toc16119"/>
      <w:bookmarkStart w:id="322" w:name="_Toc495841761"/>
      <w:bookmarkStart w:id="323" w:name="_Toc5538"/>
      <w:bookmarkStart w:id="324" w:name="_Toc10925"/>
      <w:bookmarkStart w:id="325" w:name="_Toc19724"/>
      <w:bookmarkStart w:id="326" w:name="_Toc15739"/>
      <w:bookmarkStart w:id="327" w:name="_Toc23824"/>
      <w:bookmarkStart w:id="328" w:name="_Toc1909"/>
      <w:r>
        <w:rPr>
          <w:rFonts w:hint="eastAsia" w:ascii="宋体" w:hAnsi="宋体" w:cs="宋体"/>
          <w:b/>
          <w:color w:val="000000" w:themeColor="text1"/>
          <w:szCs w:val="21"/>
          <w:highlight w:val="none"/>
          <w14:textFill>
            <w14:solidFill>
              <w14:schemeClr w14:val="tx1"/>
            </w14:solidFill>
          </w14:textFill>
        </w:rPr>
        <w:t>七、其他事项</w:t>
      </w:r>
      <w:bookmarkEnd w:id="319"/>
      <w:bookmarkEnd w:id="320"/>
      <w:bookmarkEnd w:id="321"/>
      <w:bookmarkEnd w:id="322"/>
      <w:bookmarkEnd w:id="323"/>
      <w:bookmarkEnd w:id="324"/>
      <w:bookmarkEnd w:id="325"/>
      <w:bookmarkEnd w:id="326"/>
      <w:bookmarkEnd w:id="327"/>
      <w:bookmarkEnd w:id="328"/>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329" w:name="_Toc4309"/>
      <w:bookmarkStart w:id="330" w:name="_Toc5655"/>
      <w:bookmarkStart w:id="331" w:name="_Toc2437"/>
      <w:bookmarkStart w:id="332" w:name="_Toc21456"/>
      <w:bookmarkStart w:id="333" w:name="_Toc16252"/>
      <w:bookmarkStart w:id="334" w:name="_Toc8239"/>
      <w:bookmarkStart w:id="335" w:name="_Toc19503"/>
      <w:bookmarkStart w:id="336" w:name="_Toc319"/>
      <w:bookmarkStart w:id="337" w:name="_Toc17643"/>
      <w:bookmarkStart w:id="338" w:name="_Toc27055"/>
      <w:bookmarkStart w:id="339" w:name="_Toc8046"/>
      <w:bookmarkStart w:id="340" w:name="_Toc1652"/>
      <w:bookmarkStart w:id="341" w:name="_Toc32243"/>
      <w:r>
        <w:rPr>
          <w:rFonts w:hint="eastAsia" w:ascii="宋体" w:hAnsi="宋体" w:cs="宋体"/>
          <w:b/>
          <w:color w:val="000000" w:themeColor="text1"/>
          <w:szCs w:val="21"/>
          <w:highlight w:val="none"/>
          <w14:textFill>
            <w14:solidFill>
              <w14:schemeClr w14:val="tx1"/>
            </w14:solidFill>
          </w14:textFill>
        </w:rPr>
        <w:t>35.采购代理服务费</w:t>
      </w:r>
      <w:bookmarkEnd w:id="329"/>
      <w:bookmarkEnd w:id="330"/>
      <w:bookmarkEnd w:id="331"/>
      <w:bookmarkEnd w:id="332"/>
      <w:bookmarkEnd w:id="333"/>
      <w:bookmarkEnd w:id="334"/>
      <w:bookmarkEnd w:id="335"/>
      <w:bookmarkEnd w:id="336"/>
      <w:bookmarkEnd w:id="337"/>
      <w:bookmarkEnd w:id="338"/>
      <w:bookmarkEnd w:id="339"/>
      <w:bookmarkEnd w:id="340"/>
    </w:p>
    <w:p>
      <w:pPr>
        <w:pStyle w:val="14"/>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bookmarkStart w:id="342" w:name="_Toc19529"/>
      <w:r>
        <w:rPr>
          <w:rFonts w:hint="eastAsia" w:ascii="宋体" w:hAnsi="宋体" w:cs="宋体"/>
          <w:color w:val="000000" w:themeColor="text1"/>
          <w:szCs w:val="21"/>
          <w:highlight w:val="none"/>
          <w14:textFill>
            <w14:solidFill>
              <w14:schemeClr w14:val="tx1"/>
            </w14:solidFill>
          </w14:textFill>
        </w:rPr>
        <w:t>35.1成交供应商在领取成交通知书前，向采购代理机构一次性付清采购代理服务费，本项目采购代理服务收费标准参照计价格[2002]1980号《招标代理服务收费管理暂行办法》</w:t>
      </w:r>
      <w:r>
        <w:rPr>
          <w:rFonts w:hint="eastAsia" w:ascii="宋体" w:hAnsi="宋体" w:cs="宋体"/>
          <w:color w:val="000000" w:themeColor="text1"/>
          <w:szCs w:val="21"/>
          <w:highlight w:val="none"/>
          <w:lang w:val="en-US" w:eastAsia="zh-CN"/>
          <w14:textFill>
            <w14:solidFill>
              <w14:schemeClr w14:val="tx1"/>
            </w14:solidFill>
          </w14:textFill>
        </w:rPr>
        <w:t>服务类</w:t>
      </w:r>
      <w:r>
        <w:rPr>
          <w:rFonts w:hint="eastAsia" w:ascii="宋体" w:hAnsi="宋体" w:cs="宋体"/>
          <w:color w:val="000000" w:themeColor="text1"/>
          <w:szCs w:val="21"/>
          <w:highlight w:val="none"/>
          <w14:textFill>
            <w14:solidFill>
              <w14:schemeClr w14:val="tx1"/>
            </w14:solidFill>
          </w14:textFill>
        </w:rPr>
        <w:t>收费标准</w:t>
      </w:r>
      <w:r>
        <w:rPr>
          <w:rFonts w:hint="eastAsia" w:ascii="宋体" w:hAnsi="宋体" w:cs="宋体"/>
          <w:color w:val="000000" w:themeColor="text1"/>
          <w:szCs w:val="21"/>
          <w:highlight w:val="none"/>
          <w:lang w:val="en-US" w:eastAsia="zh-CN"/>
          <w14:textFill>
            <w14:solidFill>
              <w14:schemeClr w14:val="tx1"/>
            </w14:solidFill>
          </w14:textFill>
        </w:rPr>
        <w:t>的85%</w:t>
      </w:r>
      <w:r>
        <w:rPr>
          <w:rFonts w:hint="eastAsia" w:ascii="宋体" w:hAnsi="宋体" w:cs="宋体"/>
          <w:color w:val="000000" w:themeColor="text1"/>
          <w:szCs w:val="21"/>
          <w:highlight w:val="none"/>
          <w14:textFill>
            <w14:solidFill>
              <w14:schemeClr w14:val="tx1"/>
            </w14:solidFill>
          </w14:textFill>
        </w:rPr>
        <w:t>向成交供应商收取。</w:t>
      </w:r>
    </w:p>
    <w:p>
      <w:pPr>
        <w:spacing w:line="440" w:lineRule="atLeast"/>
        <w:ind w:firstLine="420" w:firstLineChars="20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35.2代理服务收费标准：</w:t>
      </w:r>
    </w:p>
    <w:tbl>
      <w:tblPr>
        <w:tblStyle w:val="37"/>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1841"/>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80" w:type="dxa"/>
            <w:vAlign w:val="top"/>
          </w:tcPr>
          <w:p>
            <w:pPr>
              <w:pStyle w:val="21"/>
              <w:rPr>
                <w:rFonts w:hint="eastAsia"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563245</wp:posOffset>
                      </wp:positionH>
                      <wp:positionV relativeFrom="paragraph">
                        <wp:posOffset>10795</wp:posOffset>
                      </wp:positionV>
                      <wp:extent cx="1209675" cy="587375"/>
                      <wp:effectExtent l="1905" t="4445" r="7620" b="17780"/>
                      <wp:wrapNone/>
                      <wp:docPr id="1" name="直线 105"/>
                      <wp:cNvGraphicFramePr/>
                      <a:graphic xmlns:a="http://schemas.openxmlformats.org/drawingml/2006/main">
                        <a:graphicData uri="http://schemas.microsoft.com/office/word/2010/wordprocessingShape">
                          <wps:wsp>
                            <wps:cNvCnPr/>
                            <wps:spPr>
                              <a:xfrm>
                                <a:off x="0" y="0"/>
                                <a:ext cx="1209675" cy="5873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5" o:spid="_x0000_s1026" o:spt="20" style="position:absolute;left:0pt;margin-left:44.35pt;margin-top:0.85pt;height:46.25pt;width:95.25pt;z-index:251659264;mso-width-relative:page;mso-height-relative:page;" filled="f" stroked="t" coordsize="21600,21600" o:gfxdata="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EYs&#10;rNUAAAAHAQAADwAAAAAAAAABACAAAAAiAAAAZHJzL2Rvd25yZXYueG1sUEsBAhQAFAAAAAgAh07i&#10;QBYq3TzsAQAA4gMAAA4AAAAAAAAAAQAgAAAAJAEAAGRycy9lMm9Eb2MueG1sUEsFBgAAAAAGAAYA&#10;WQEAAIIFAAAAAA==&#10;">
                      <v:fill on="f" focussize="0,0"/>
                      <v:stroke color="#000000" joinstyle="round"/>
                      <v:imagedata o:title=""/>
                      <o:lock v:ext="edit" aspectratio="f"/>
                    </v:line>
                  </w:pict>
                </mc:Fallback>
              </mc:AlternateContent>
            </w:r>
            <w:r>
              <w:rPr>
                <w:rFonts w:hint="eastAsia" w:hAnsi="宋体" w:cs="宋体"/>
                <w:color w:val="000000" w:themeColor="text1"/>
                <w:kern w:val="0"/>
                <w:szCs w:val="21"/>
                <w:highlight w:val="none"/>
                <w14:textFill>
                  <w14:solidFill>
                    <w14:schemeClr w14:val="tx1"/>
                  </w14:solidFill>
                </w14:textFill>
              </w:rPr>
              <w:t>费率服务             类型</w:t>
            </w:r>
          </w:p>
          <w:p>
            <w:pPr>
              <w:pStyle w:val="21"/>
              <w:rPr>
                <w:rFonts w:hint="eastAsia"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39370</wp:posOffset>
                      </wp:positionV>
                      <wp:extent cx="1824355" cy="354330"/>
                      <wp:effectExtent l="635" t="4445" r="3810" b="22225"/>
                      <wp:wrapNone/>
                      <wp:docPr id="2" name="直线 106"/>
                      <wp:cNvGraphicFramePr/>
                      <a:graphic xmlns:a="http://schemas.openxmlformats.org/drawingml/2006/main">
                        <a:graphicData uri="http://schemas.microsoft.com/office/word/2010/wordprocessingShape">
                          <wps:wsp>
                            <wps:cNvCnPr/>
                            <wps:spPr>
                              <a:xfrm>
                                <a:off x="0" y="0"/>
                                <a:ext cx="1824355" cy="3543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6" o:spid="_x0000_s1026" o:spt="20" style="position:absolute;left:0pt;margin-left:-5.4pt;margin-top:3.1pt;height:27.9pt;width:143.65pt;z-index:251660288;mso-width-relative:page;mso-height-relative:page;" filled="f" stroked="t" coordsize="21600,21600" o:gfxdata="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YeBl3WAAAACAEAAA8AAAAAAAAAAQAgAAAAIgAAAGRycy9kb3ducmV2LnhtbFBLAQIUABQAAAAI&#10;AIdO4kAPON0J7wEAAOIDAAAOAAAAAAAAAAEAIAAAACUBAABkcnMvZTJvRG9jLnhtbFBLBQYAAAAA&#10;BgAGAFkBAACGBQAAAAA=&#10;">
                      <v:fill on="f" focussize="0,0"/>
                      <v:stroke color="#000000" joinstyle="round"/>
                      <v:imagedata o:title=""/>
                      <o:lock v:ext="edit" aspectratio="f"/>
                    </v:line>
                  </w:pict>
                </mc:Fallback>
              </mc:AlternateContent>
            </w:r>
          </w:p>
          <w:p>
            <w:pPr>
              <w:pStyle w:val="21"/>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成交金额</w:t>
            </w:r>
          </w:p>
        </w:tc>
        <w:tc>
          <w:tcPr>
            <w:tcW w:w="1841" w:type="dxa"/>
            <w:vAlign w:val="center"/>
          </w:tcPr>
          <w:p>
            <w:pPr>
              <w:pStyle w:val="21"/>
              <w:jc w:val="center"/>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货物采购</w:t>
            </w:r>
          </w:p>
        </w:tc>
        <w:tc>
          <w:tcPr>
            <w:tcW w:w="1992" w:type="dxa"/>
            <w:vAlign w:val="center"/>
          </w:tcPr>
          <w:p>
            <w:pPr>
              <w:pStyle w:val="21"/>
              <w:jc w:val="center"/>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服务采购</w:t>
            </w:r>
          </w:p>
        </w:tc>
        <w:tc>
          <w:tcPr>
            <w:tcW w:w="2293" w:type="dxa"/>
            <w:vAlign w:val="center"/>
          </w:tcPr>
          <w:p>
            <w:pPr>
              <w:pStyle w:val="21"/>
              <w:jc w:val="center"/>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jc w:val="center"/>
        </w:trPr>
        <w:tc>
          <w:tcPr>
            <w:tcW w:w="2880" w:type="dxa"/>
            <w:vAlign w:val="top"/>
          </w:tcPr>
          <w:p>
            <w:pPr>
              <w:pStyle w:val="21"/>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100万元以下</w:t>
            </w:r>
          </w:p>
        </w:tc>
        <w:tc>
          <w:tcPr>
            <w:tcW w:w="1841" w:type="dxa"/>
            <w:vAlign w:val="top"/>
          </w:tcPr>
          <w:p>
            <w:pPr>
              <w:pStyle w:val="110"/>
              <w:spacing w:after="0" w:line="24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1992" w:type="dxa"/>
            <w:vAlign w:val="top"/>
          </w:tcPr>
          <w:p>
            <w:pPr>
              <w:pStyle w:val="110"/>
              <w:spacing w:after="0" w:line="24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1.5%</w:t>
            </w:r>
          </w:p>
        </w:tc>
        <w:tc>
          <w:tcPr>
            <w:tcW w:w="2293" w:type="dxa"/>
            <w:vAlign w:val="top"/>
          </w:tcPr>
          <w:p>
            <w:pPr>
              <w:pStyle w:val="110"/>
              <w:spacing w:after="0" w:line="24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jc w:val="center"/>
        </w:trPr>
        <w:tc>
          <w:tcPr>
            <w:tcW w:w="2880" w:type="dxa"/>
            <w:vAlign w:val="top"/>
          </w:tcPr>
          <w:p>
            <w:pPr>
              <w:pStyle w:val="21"/>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100～500万元</w:t>
            </w:r>
          </w:p>
        </w:tc>
        <w:tc>
          <w:tcPr>
            <w:tcW w:w="1841" w:type="dxa"/>
            <w:vAlign w:val="top"/>
          </w:tcPr>
          <w:p>
            <w:pPr>
              <w:pStyle w:val="110"/>
              <w:spacing w:after="0" w:line="24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1.1%</w:t>
            </w:r>
          </w:p>
        </w:tc>
        <w:tc>
          <w:tcPr>
            <w:tcW w:w="1992" w:type="dxa"/>
            <w:vAlign w:val="top"/>
          </w:tcPr>
          <w:p>
            <w:pPr>
              <w:pStyle w:val="110"/>
              <w:spacing w:after="0" w:line="24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0.8%</w:t>
            </w:r>
          </w:p>
        </w:tc>
        <w:tc>
          <w:tcPr>
            <w:tcW w:w="2293" w:type="dxa"/>
            <w:vAlign w:val="top"/>
          </w:tcPr>
          <w:p>
            <w:pPr>
              <w:pStyle w:val="110"/>
              <w:spacing w:after="0" w:line="240" w:lineRule="auto"/>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vAlign w:val="top"/>
          </w:tcPr>
          <w:p>
            <w:pPr>
              <w:pStyle w:val="21"/>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500～1000万元</w:t>
            </w:r>
          </w:p>
        </w:tc>
        <w:tc>
          <w:tcPr>
            <w:tcW w:w="1841" w:type="dxa"/>
            <w:vAlign w:val="top"/>
          </w:tcPr>
          <w:p>
            <w:pPr>
              <w:pStyle w:val="21"/>
              <w:jc w:val="center"/>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0.8%</w:t>
            </w:r>
          </w:p>
        </w:tc>
        <w:tc>
          <w:tcPr>
            <w:tcW w:w="1992" w:type="dxa"/>
            <w:vAlign w:val="top"/>
          </w:tcPr>
          <w:p>
            <w:pPr>
              <w:pStyle w:val="21"/>
              <w:jc w:val="center"/>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0.45%</w:t>
            </w:r>
          </w:p>
        </w:tc>
        <w:tc>
          <w:tcPr>
            <w:tcW w:w="2293" w:type="dxa"/>
            <w:vAlign w:val="top"/>
          </w:tcPr>
          <w:p>
            <w:pPr>
              <w:pStyle w:val="21"/>
              <w:jc w:val="center"/>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2880" w:type="dxa"/>
            <w:vAlign w:val="top"/>
          </w:tcPr>
          <w:p>
            <w:pPr>
              <w:pStyle w:val="21"/>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1000～5000万元</w:t>
            </w:r>
          </w:p>
        </w:tc>
        <w:tc>
          <w:tcPr>
            <w:tcW w:w="1841" w:type="dxa"/>
            <w:vAlign w:val="top"/>
          </w:tcPr>
          <w:p>
            <w:pPr>
              <w:pStyle w:val="21"/>
              <w:jc w:val="center"/>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0.5%</w:t>
            </w:r>
          </w:p>
        </w:tc>
        <w:tc>
          <w:tcPr>
            <w:tcW w:w="1992" w:type="dxa"/>
            <w:vAlign w:val="top"/>
          </w:tcPr>
          <w:p>
            <w:pPr>
              <w:pStyle w:val="21"/>
              <w:jc w:val="center"/>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0.25%</w:t>
            </w:r>
          </w:p>
        </w:tc>
        <w:tc>
          <w:tcPr>
            <w:tcW w:w="2293" w:type="dxa"/>
            <w:vAlign w:val="top"/>
          </w:tcPr>
          <w:p>
            <w:pPr>
              <w:pStyle w:val="21"/>
              <w:jc w:val="center"/>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0.35%</w:t>
            </w:r>
          </w:p>
        </w:tc>
      </w:tr>
    </w:tbl>
    <w:p>
      <w:pPr>
        <w:pStyle w:val="21"/>
        <w:spacing w:line="440" w:lineRule="atLeast"/>
        <w:jc w:val="left"/>
        <w:rPr>
          <w:rFonts w:hint="eastAsia" w:hAnsi="宋体" w:cs="宋体"/>
          <w:color w:val="000000" w:themeColor="text1"/>
          <w:kern w:val="0"/>
          <w:szCs w:val="21"/>
          <w:highlight w:val="none"/>
          <w14:textFill>
            <w14:solidFill>
              <w14:schemeClr w14:val="tx1"/>
            </w14:solidFill>
          </w14:textFill>
        </w:rPr>
      </w:pPr>
      <w:r>
        <w:rPr>
          <w:rFonts w:hint="eastAsia" w:hAnsi="宋体" w:cs="宋体"/>
          <w:color w:val="000000" w:themeColor="text1"/>
          <w:kern w:val="0"/>
          <w:szCs w:val="21"/>
          <w:highlight w:val="none"/>
          <w14:textFill>
            <w14:solidFill>
              <w14:schemeClr w14:val="tx1"/>
            </w14:solidFill>
          </w14:textFill>
        </w:rPr>
        <w:t>注：代理服务收费按差额定率累进法计算。</w:t>
      </w:r>
    </w:p>
    <w:p>
      <w:pPr>
        <w:spacing w:line="440" w:lineRule="atLeast"/>
        <w:ind w:firstLine="422"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35.3交纳代理服务费的银行账户：</w:t>
      </w:r>
    </w:p>
    <w:p>
      <w:pPr>
        <w:spacing w:line="440" w:lineRule="atLeast"/>
        <w:ind w:firstLine="420" w:firstLineChars="200"/>
        <w:rPr>
          <w:rFonts w:hint="eastAsia" w:ascii="宋体" w:hAnsi="宋体" w:cs="宋体"/>
          <w:bCs/>
          <w:color w:val="000000" w:themeColor="text1"/>
          <w:szCs w:val="21"/>
          <w:highlight w:val="none"/>
          <w:lang w:val="en-US" w:eastAsia="zh-CN"/>
          <w14:textFill>
            <w14:solidFill>
              <w14:schemeClr w14:val="tx1"/>
            </w14:solidFill>
          </w14:textFill>
        </w:rPr>
      </w:pPr>
      <w:bookmarkStart w:id="343" w:name="_Toc13720"/>
      <w:bookmarkStart w:id="344" w:name="_Toc293"/>
      <w:bookmarkStart w:id="345" w:name="_Toc27278"/>
      <w:bookmarkStart w:id="346" w:name="_Toc2754"/>
      <w:bookmarkStart w:id="347" w:name="_Toc31960"/>
      <w:bookmarkStart w:id="348" w:name="_Toc25183"/>
      <w:bookmarkStart w:id="349" w:name="_Toc11469"/>
      <w:r>
        <w:rPr>
          <w:rFonts w:hint="eastAsia" w:ascii="宋体" w:hAnsi="宋体" w:cs="宋体"/>
          <w:bCs/>
          <w:color w:val="000000" w:themeColor="text1"/>
          <w:szCs w:val="21"/>
          <w:highlight w:val="none"/>
          <w:lang w:val="en-US" w:eastAsia="zh-CN"/>
          <w14:textFill>
            <w14:solidFill>
              <w14:schemeClr w14:val="tx1"/>
            </w14:solidFill>
          </w14:textFill>
        </w:rPr>
        <w:t>开户银行：中国银行股份有限公司桂林市中隐路支行</w:t>
      </w:r>
    </w:p>
    <w:p>
      <w:pPr>
        <w:spacing w:line="440" w:lineRule="atLeast"/>
        <w:ind w:firstLine="420" w:firstLineChars="200"/>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账户名称：广西嘉弘项目管理有限公司</w:t>
      </w:r>
    </w:p>
    <w:p>
      <w:pPr>
        <w:spacing w:line="440" w:lineRule="atLeast"/>
        <w:ind w:firstLine="420" w:firstLineChars="200"/>
        <w:rPr>
          <w:rFonts w:hint="eastAsia" w:ascii="宋体" w:hAnsi="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银行账号：614585769629</w:t>
      </w:r>
    </w:p>
    <w:p>
      <w:pPr>
        <w:spacing w:line="440" w:lineRule="atLeas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36.解释权</w:t>
      </w:r>
      <w:bookmarkEnd w:id="342"/>
      <w:bookmarkEnd w:id="343"/>
      <w:bookmarkEnd w:id="344"/>
      <w:bookmarkEnd w:id="345"/>
      <w:bookmarkEnd w:id="346"/>
      <w:bookmarkEnd w:id="347"/>
      <w:bookmarkEnd w:id="348"/>
      <w:bookmarkEnd w:id="349"/>
    </w:p>
    <w:p>
      <w:pPr>
        <w:snapToGrid w:val="0"/>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竞争性磋商文件是根据《中华人民共和国政府采购法》、《中华人民共和国政府采购法实施条例》、《政府采购非招标采购方式管理办法》、《政府采购竞争性磋商采购方式管理暂行办法》和政府采购管理有关规定编制，本竞争性磋商文件的解释权属于采购代理机构。</w:t>
      </w:r>
      <w:bookmarkEnd w:id="341"/>
    </w:p>
    <w:p>
      <w:pPr>
        <w:spacing w:line="440" w:lineRule="atLeast"/>
        <w:rPr>
          <w:rFonts w:hint="eastAsia" w:ascii="宋体" w:hAnsi="宋体" w:cs="宋体"/>
          <w:b/>
          <w:color w:val="000000" w:themeColor="text1"/>
          <w:szCs w:val="21"/>
          <w:highlight w:val="none"/>
          <w14:textFill>
            <w14:solidFill>
              <w14:schemeClr w14:val="tx1"/>
            </w14:solidFill>
          </w14:textFill>
        </w:rPr>
      </w:pPr>
      <w:bookmarkStart w:id="350" w:name="_Toc5379"/>
      <w:bookmarkStart w:id="351" w:name="_Toc13151"/>
      <w:bookmarkStart w:id="352" w:name="_Toc18714"/>
      <w:bookmarkStart w:id="353" w:name="_Toc23921"/>
      <w:bookmarkStart w:id="354" w:name="_Toc3570"/>
      <w:bookmarkStart w:id="355" w:name="_Toc16322"/>
      <w:bookmarkStart w:id="356" w:name="_Toc9936"/>
      <w:bookmarkStart w:id="357" w:name="_Toc6702"/>
      <w:bookmarkStart w:id="358" w:name="_Toc11077"/>
      <w:r>
        <w:rPr>
          <w:rFonts w:hint="eastAsia" w:ascii="宋体" w:hAnsi="宋体" w:cs="宋体"/>
          <w:b/>
          <w:color w:val="000000" w:themeColor="text1"/>
          <w:szCs w:val="21"/>
          <w:highlight w:val="none"/>
          <w14:textFill>
            <w14:solidFill>
              <w14:schemeClr w14:val="tx1"/>
            </w14:solidFill>
          </w14:textFill>
        </w:rPr>
        <w:t>37.监督管理机构</w:t>
      </w:r>
      <w:bookmarkEnd w:id="350"/>
      <w:bookmarkEnd w:id="351"/>
      <w:bookmarkEnd w:id="352"/>
      <w:bookmarkEnd w:id="353"/>
      <w:bookmarkEnd w:id="354"/>
      <w:bookmarkEnd w:id="355"/>
      <w:bookmarkEnd w:id="356"/>
      <w:bookmarkEnd w:id="357"/>
    </w:p>
    <w:bookmarkEnd w:id="358"/>
    <w:p>
      <w:pPr>
        <w:snapToGrid w:val="0"/>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bookmarkStart w:id="359" w:name="_Toc17907"/>
      <w:bookmarkStart w:id="360" w:name="_Toc23297"/>
      <w:r>
        <w:rPr>
          <w:rFonts w:hint="eastAsia" w:ascii="宋体" w:hAnsi="宋体" w:cs="宋体"/>
          <w:color w:val="000000" w:themeColor="text1"/>
          <w:szCs w:val="21"/>
          <w:highlight w:val="none"/>
          <w:lang w:eastAsia="zh-CN"/>
          <w14:textFill>
            <w14:solidFill>
              <w14:schemeClr w14:val="tx1"/>
            </w14:solidFill>
          </w14:textFill>
        </w:rPr>
        <w:t xml:space="preserve">桂林市秀峰区政府采购办公室 </w:t>
      </w:r>
      <w:r>
        <w:rPr>
          <w:rFonts w:hint="eastAsia" w:ascii="宋体" w:hAnsi="宋体" w:cs="宋体"/>
          <w:color w:val="000000" w:themeColor="text1"/>
          <w:szCs w:val="21"/>
          <w:highlight w:val="none"/>
          <w14:textFill>
            <w14:solidFill>
              <w14:schemeClr w14:val="tx1"/>
            </w14:solidFill>
          </w14:textFill>
        </w:rPr>
        <w:t xml:space="preserve">     电话：</w:t>
      </w:r>
      <w:r>
        <w:rPr>
          <w:rFonts w:hint="eastAsia" w:ascii="宋体" w:hAnsi="宋体" w:cs="宋体"/>
          <w:color w:val="000000" w:themeColor="text1"/>
          <w:szCs w:val="21"/>
          <w:highlight w:val="none"/>
          <w:lang w:eastAsia="zh-CN"/>
          <w14:textFill>
            <w14:solidFill>
              <w14:schemeClr w14:val="tx1"/>
            </w14:solidFill>
          </w14:textFill>
        </w:rPr>
        <w:t>0773-2831930</w:t>
      </w:r>
      <w:r>
        <w:rPr>
          <w:rFonts w:hint="eastAsia" w:ascii="宋体" w:hAnsi="宋体" w:cs="宋体"/>
          <w:color w:val="000000" w:themeColor="text1"/>
          <w:szCs w:val="21"/>
          <w:highlight w:val="none"/>
          <w14:textFill>
            <w14:solidFill>
              <w14:schemeClr w14:val="tx1"/>
            </w14:solidFill>
          </w14:textFill>
        </w:rPr>
        <w:t>。</w:t>
      </w:r>
    </w:p>
    <w:p>
      <w:pPr>
        <w:pStyle w:val="3"/>
        <w:rPr>
          <w:rFonts w:ascii="宋体" w:hAnsi="宋体" w:cs="宋体"/>
          <w:color w:val="000000" w:themeColor="text1"/>
          <w:highlight w:val="none"/>
          <w14:textFill>
            <w14:solidFill>
              <w14:schemeClr w14:val="tx1"/>
            </w14:solidFill>
          </w14:textFill>
        </w:rPr>
      </w:pPr>
      <w:r>
        <w:rPr>
          <w:rStyle w:val="54"/>
          <w:b w:val="0"/>
          <w:bCs w:val="0"/>
          <w:color w:val="000000" w:themeColor="text1"/>
          <w:highlight w:val="none"/>
          <w14:textFill>
            <w14:solidFill>
              <w14:schemeClr w14:val="tx1"/>
            </w14:solidFill>
          </w14:textFill>
        </w:rPr>
        <w:br w:type="page"/>
      </w:r>
      <w:bookmarkEnd w:id="359"/>
      <w:bookmarkStart w:id="361" w:name="_Toc88"/>
      <w:r>
        <w:rPr>
          <w:rFonts w:hint="eastAsia" w:ascii="宋体" w:hAnsi="宋体" w:cs="宋体"/>
          <w:color w:val="000000" w:themeColor="text1"/>
          <w:highlight w:val="none"/>
          <w14:textFill>
            <w14:solidFill>
              <w14:schemeClr w14:val="tx1"/>
            </w14:solidFill>
          </w14:textFill>
        </w:rPr>
        <w:t>第三章  采购需求</w:t>
      </w:r>
      <w:bookmarkEnd w:id="361"/>
    </w:p>
    <w:tbl>
      <w:tblPr>
        <w:tblStyle w:val="37"/>
        <w:tblW w:w="99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0"/>
        <w:gridCol w:w="1400"/>
        <w:gridCol w:w="6433"/>
        <w:gridCol w:w="650"/>
        <w:gridCol w:w="70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44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项号</w:t>
            </w:r>
          </w:p>
        </w:tc>
        <w:tc>
          <w:tcPr>
            <w:tcW w:w="140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44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服务名称</w:t>
            </w:r>
          </w:p>
        </w:tc>
        <w:tc>
          <w:tcPr>
            <w:tcW w:w="6433"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44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服务需求</w:t>
            </w:r>
          </w:p>
        </w:tc>
        <w:tc>
          <w:tcPr>
            <w:tcW w:w="65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44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70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440" w:lineRule="exact"/>
              <w:jc w:val="center"/>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8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0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44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桂林市秀峰区2024年老旧小区改造工程设计</w:t>
            </w:r>
          </w:p>
        </w:tc>
        <w:tc>
          <w:tcPr>
            <w:tcW w:w="6433" w:type="dxa"/>
            <w:tcBorders>
              <w:top w:val="single" w:color="auto" w:sz="4" w:space="0"/>
              <w:left w:val="single" w:color="auto" w:sz="4" w:space="0"/>
              <w:bottom w:val="single" w:color="auto" w:sz="4" w:space="0"/>
              <w:right w:val="single" w:color="auto" w:sz="4" w:space="0"/>
            </w:tcBorders>
            <w:vAlign w:val="center"/>
          </w:tcPr>
          <w:p>
            <w:pPr>
              <w:widowControl w:val="0"/>
              <w:wordWrap/>
              <w:adjustRightInd/>
              <w:snapToGrid/>
              <w:spacing w:line="440" w:lineRule="exact"/>
              <w:jc w:val="lef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一、项目基本情况：</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项目名称：</w:t>
            </w:r>
            <w:r>
              <w:rPr>
                <w:rFonts w:hint="eastAsia" w:ascii="宋体" w:hAnsi="宋体" w:eastAsia="宋体" w:cs="宋体"/>
                <w:color w:val="000000" w:themeColor="text1"/>
                <w:sz w:val="21"/>
                <w:szCs w:val="21"/>
                <w:highlight w:val="none"/>
                <w:lang w:eastAsia="zh-CN"/>
                <w14:textFill>
                  <w14:solidFill>
                    <w14:schemeClr w14:val="tx1"/>
                  </w14:solidFill>
                </w14:textFill>
              </w:rPr>
              <w:t>桂林市秀峰区2024年老旧小区改造工程设计</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建设地点：</w:t>
            </w:r>
            <w:r>
              <w:rPr>
                <w:rFonts w:hint="eastAsia" w:ascii="宋体" w:hAnsi="宋体" w:eastAsia="宋体" w:cs="宋体"/>
                <w:color w:val="000000" w:themeColor="text1"/>
                <w:sz w:val="21"/>
                <w:szCs w:val="21"/>
                <w:highlight w:val="none"/>
                <w:lang w:val="en-US" w:eastAsia="zh-CN"/>
                <w14:textFill>
                  <w14:solidFill>
                    <w14:schemeClr w14:val="tx1"/>
                  </w14:solidFill>
                </w14:textFill>
              </w:rPr>
              <w:t>桂林市</w:t>
            </w:r>
            <w:r>
              <w:rPr>
                <w:rFonts w:hint="eastAsia" w:ascii="宋体" w:hAnsi="宋体" w:eastAsia="宋体" w:cs="宋体"/>
                <w:color w:val="000000" w:themeColor="text1"/>
                <w:sz w:val="21"/>
                <w:szCs w:val="21"/>
                <w:highlight w:val="none"/>
                <w:lang w:eastAsia="zh-CN"/>
                <w14:textFill>
                  <w14:solidFill>
                    <w14:schemeClr w14:val="tx1"/>
                  </w14:solidFill>
                </w14:textFill>
              </w:rPr>
              <w:t>秀峰区</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建设规模：项目对秀峰区的7个社区21个小区，福利社区1个、长海社区4个、红头岭社区2个、骝马山社区6个、九岗岭社区2个、丽狮社区2个、东华社区4个，涉及改造户数2167户，楼栋数143栋，住宅建筑面积约15.98万平方米。</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本次老旧小区相关配套基础设施改造方案主要建设内容包括：</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1、基础类：改造路面39740平方米，排水管道（沟）约4850米，改造建筑外墙38860平方米、楼道墙面27327平方米、楼道顶棚7870平方米、围墙1684平方米。</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2、完善类：健身器材</w:t>
            </w:r>
            <w:r>
              <w:rPr>
                <w:rFonts w:hint="eastAsia" w:ascii="宋体" w:hAnsi="宋体" w:cs="宋体"/>
                <w:color w:val="000000" w:themeColor="text1"/>
                <w:sz w:val="21"/>
                <w:szCs w:val="21"/>
                <w:highlight w:val="none"/>
                <w:lang w:val="en-US" w:eastAsia="zh-CN"/>
                <w14:textFill>
                  <w14:solidFill>
                    <w14:schemeClr w14:val="tx1"/>
                  </w14:solidFill>
                </w14:textFill>
              </w:rPr>
              <w:t>23</w:t>
            </w:r>
            <w:r>
              <w:rPr>
                <w:rFonts w:hint="eastAsia" w:ascii="宋体" w:hAnsi="宋体" w:eastAsia="宋体" w:cs="宋体"/>
                <w:color w:val="000000" w:themeColor="text1"/>
                <w:sz w:val="21"/>
                <w:szCs w:val="21"/>
                <w:highlight w:val="none"/>
                <w14:textFill>
                  <w14:solidFill>
                    <w14:schemeClr w14:val="tx1"/>
                  </w14:solidFill>
                </w14:textFill>
              </w:rPr>
              <w:t>套，改造栏杆、护栏链条</w:t>
            </w:r>
            <w:r>
              <w:rPr>
                <w:rFonts w:hint="eastAsia" w:ascii="宋体" w:hAnsi="宋体" w:cs="宋体"/>
                <w:color w:val="000000" w:themeColor="text1"/>
                <w:sz w:val="21"/>
                <w:szCs w:val="21"/>
                <w:highlight w:val="none"/>
                <w:lang w:val="en-US" w:eastAsia="zh-CN"/>
                <w14:textFill>
                  <w14:solidFill>
                    <w14:schemeClr w14:val="tx1"/>
                  </w14:solidFill>
                </w14:textFill>
              </w:rPr>
              <w:t>74</w:t>
            </w:r>
            <w:r>
              <w:rPr>
                <w:rFonts w:hint="eastAsia" w:ascii="宋体" w:hAnsi="宋体" w:eastAsia="宋体" w:cs="宋体"/>
                <w:color w:val="000000" w:themeColor="text1"/>
                <w:sz w:val="21"/>
                <w:szCs w:val="21"/>
                <w:highlight w:val="none"/>
                <w14:textFill>
                  <w14:solidFill>
                    <w14:schemeClr w14:val="tx1"/>
                  </w14:solidFill>
                </w14:textFill>
              </w:rPr>
              <w:t>米，树池16个，太阳能壁灯96套、楼道灯219套，监控摄像头15套，充电机4套，改造绿地</w:t>
            </w:r>
            <w:r>
              <w:rPr>
                <w:rFonts w:hint="eastAsia" w:ascii="宋体" w:hAnsi="宋体" w:cs="宋体"/>
                <w:color w:val="000000" w:themeColor="text1"/>
                <w:sz w:val="21"/>
                <w:szCs w:val="21"/>
                <w:highlight w:val="none"/>
                <w:lang w:val="en-US" w:eastAsia="zh-CN"/>
                <w14:textFill>
                  <w14:solidFill>
                    <w14:schemeClr w14:val="tx1"/>
                  </w14:solidFill>
                </w14:textFill>
              </w:rPr>
              <w:t>2515</w:t>
            </w:r>
            <w:r>
              <w:rPr>
                <w:rFonts w:hint="eastAsia" w:ascii="宋体" w:hAnsi="宋体" w:eastAsia="宋体" w:cs="宋体"/>
                <w:color w:val="000000" w:themeColor="text1"/>
                <w:sz w:val="21"/>
                <w:szCs w:val="21"/>
                <w:highlight w:val="none"/>
                <w14:textFill>
                  <w14:solidFill>
                    <w14:schemeClr w14:val="tx1"/>
                  </w14:solidFill>
                </w14:textFill>
              </w:rPr>
              <w:t>平方米，改造铺装3</w:t>
            </w: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平方米等相关内容。</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bookmarkStart w:id="362" w:name="_Toc22853"/>
            <w:bookmarkStart w:id="363" w:name="_Toc24133"/>
            <w:bookmarkStart w:id="364" w:name="_Toc1199"/>
            <w:bookmarkStart w:id="365" w:name="_Toc14368"/>
            <w:bookmarkStart w:id="366" w:name="_Toc15845"/>
            <w:r>
              <w:rPr>
                <w:rFonts w:hint="eastAsia" w:ascii="宋体" w:hAnsi="宋体" w:eastAsia="宋体" w:cs="宋体"/>
                <w:color w:val="000000" w:themeColor="text1"/>
                <w:sz w:val="21"/>
                <w:szCs w:val="21"/>
                <w:highlight w:val="none"/>
                <w14:textFill>
                  <w14:solidFill>
                    <w14:schemeClr w14:val="tx1"/>
                  </w14:solidFill>
                </w14:textFill>
              </w:rPr>
              <w:t>设计阶段、范围及内容</w:t>
            </w:r>
            <w:bookmarkEnd w:id="362"/>
            <w:bookmarkEnd w:id="363"/>
            <w:bookmarkEnd w:id="364"/>
            <w:bookmarkEnd w:id="365"/>
            <w:bookmarkEnd w:id="366"/>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设计阶段：☑</w:t>
            </w:r>
            <w:r>
              <w:rPr>
                <w:rFonts w:hint="eastAsia" w:ascii="宋体" w:hAnsi="宋体" w:eastAsia="宋体" w:cs="宋体"/>
                <w:color w:val="000000" w:themeColor="text1"/>
                <w:sz w:val="21"/>
                <w:szCs w:val="21"/>
                <w:highlight w:val="none"/>
                <w:lang w:val="en-US" w:eastAsia="zh-CN"/>
                <w14:textFill>
                  <w14:solidFill>
                    <w14:schemeClr w14:val="tx1"/>
                  </w14:solidFill>
                </w14:textFill>
              </w:rPr>
              <w:t>初步</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含概算编制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☑施工图设计</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设计范围：包括小区沿街建筑立面改造风貌与市政道路、给排水及配套工程的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初步</w:t>
            </w:r>
            <w:r>
              <w:rPr>
                <w:rFonts w:hint="eastAsia" w:ascii="宋体" w:hAnsi="宋体" w:eastAsia="宋体" w:cs="宋体"/>
                <w:color w:val="000000" w:themeColor="text1"/>
                <w:sz w:val="21"/>
                <w:szCs w:val="21"/>
                <w:highlight w:val="none"/>
                <w14:textFill>
                  <w14:solidFill>
                    <w14:schemeClr w14:val="tx1"/>
                  </w14:solidFill>
                </w14:textFill>
              </w:rPr>
              <w:t>设计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含概算编制</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、施工图设计及施工配合阶段服务等；</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bookmarkStart w:id="367" w:name="_Toc10578"/>
            <w:bookmarkStart w:id="368" w:name="_Toc1746"/>
            <w:bookmarkStart w:id="369" w:name="_Toc22542"/>
            <w:bookmarkStart w:id="370" w:name="_Toc7348"/>
            <w:r>
              <w:rPr>
                <w:rFonts w:hint="eastAsia" w:ascii="宋体" w:hAnsi="宋体" w:eastAsia="宋体" w:cs="宋体"/>
                <w:color w:val="000000" w:themeColor="text1"/>
                <w:sz w:val="21"/>
                <w:szCs w:val="21"/>
                <w:highlight w:val="none"/>
                <w:lang w:val="en-US" w:eastAsia="zh-CN"/>
                <w14:textFill>
                  <w14:solidFill>
                    <w14:schemeClr w14:val="tx1"/>
                  </w14:solidFill>
                </w14:textFill>
              </w:rPr>
              <w:t>设计依据</w:t>
            </w:r>
            <w:bookmarkEnd w:id="367"/>
            <w:bookmarkEnd w:id="368"/>
            <w:bookmarkEnd w:id="369"/>
            <w:bookmarkEnd w:id="370"/>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与工程设计有关的依据性文件的名称和文号，如选址及环境评价报告、用地红线图、规划条件、政府有关主管部门对立项报告的批文等；国家、行业、项目所在地规范、标准、规程名录等；项目相关的设计资料。具体包括但不限于：</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（1）本设计任务书。</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（2）国家、地方有关法律、法规、文件及行业设计规范。</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（3）建设区域资料。</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（4）相关规划文件。</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（5）采购人提供的其他资料。</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bookmarkStart w:id="371" w:name="_Toc10750"/>
            <w:bookmarkStart w:id="372" w:name="_Toc28797"/>
            <w:bookmarkStart w:id="373" w:name="_Toc22663"/>
            <w:bookmarkStart w:id="374" w:name="_Toc23654"/>
            <w:bookmarkStart w:id="375" w:name="_Toc22601"/>
            <w:r>
              <w:rPr>
                <w:rFonts w:hint="eastAsia" w:ascii="宋体" w:hAnsi="宋体" w:eastAsia="宋体" w:cs="宋体"/>
                <w:color w:val="000000" w:themeColor="text1"/>
                <w:sz w:val="21"/>
                <w:szCs w:val="21"/>
                <w:highlight w:val="none"/>
                <w:lang w:val="en-US" w:eastAsia="zh-CN"/>
                <w14:textFill>
                  <w14:solidFill>
                    <w14:schemeClr w14:val="tx1"/>
                  </w14:solidFill>
                </w14:textFill>
              </w:rPr>
              <w:t>项目使用功能的要求</w:t>
            </w:r>
            <w:bookmarkEnd w:id="371"/>
            <w:bookmarkEnd w:id="372"/>
            <w:bookmarkEnd w:id="373"/>
            <w:bookmarkEnd w:id="374"/>
            <w:bookmarkEnd w:id="375"/>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包含设计标准、设计风格（造型、色彩、布置）、工艺要求、经济性、使用功能等：</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7.设计原则</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（1）本项目规划定位为老旧小区改造项目，除能满足、改善老旧小区道路交通条件外，还应能满足、改善老旧小区居民的对给水、排水、电力、通信、照明、园林绿化等城市基础设施的需要。</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（2）确保用户的正常用水，确保其生活、运营安全、正常进行。</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（3）保证社会、经济、环境效益的统一，本着安全可靠，技术先进，经济合理的原则。</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76" w:name="_Toc14846"/>
            <w:bookmarkStart w:id="377" w:name="_Toc16226"/>
            <w:bookmarkStart w:id="378" w:name="_Toc6146"/>
            <w:bookmarkStart w:id="379" w:name="_Toc21247"/>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设计人员要求</w:t>
            </w:r>
            <w:bookmarkEnd w:id="376"/>
            <w:bookmarkEnd w:id="377"/>
            <w:bookmarkEnd w:id="378"/>
            <w:bookmarkEnd w:id="379"/>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80" w:name="_Toc13580"/>
            <w:bookmarkStart w:id="381" w:name="_Toc27903"/>
            <w:bookmarkStart w:id="382" w:name="_Toc8427"/>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.1项目设计负责人的资格要求：具备</w:t>
            </w:r>
            <w:r>
              <w:rPr>
                <w:rFonts w:hint="eastAsia" w:ascii="宋体" w:hAnsi="宋体" w:cs="宋体"/>
                <w:color w:val="000000" w:themeColor="text1"/>
                <w:sz w:val="21"/>
                <w:szCs w:val="21"/>
                <w:highlight w:val="none"/>
                <w:lang w:val="en-US" w:eastAsia="zh-CN"/>
                <w14:textFill>
                  <w14:solidFill>
                    <w14:schemeClr w14:val="tx1"/>
                  </w14:solidFill>
                </w14:textFill>
              </w:rPr>
              <w:t>道路与桥梁高级</w:t>
            </w:r>
            <w:r>
              <w:rPr>
                <w:rFonts w:hint="eastAsia" w:ascii="宋体" w:hAnsi="宋体" w:eastAsia="宋体" w:cs="宋体"/>
                <w:color w:val="000000" w:themeColor="text1"/>
                <w:sz w:val="21"/>
                <w:szCs w:val="21"/>
                <w:highlight w:val="none"/>
                <w14:textFill>
                  <w14:solidFill>
                    <w14:schemeClr w14:val="tx1"/>
                  </w14:solidFill>
                </w14:textFill>
              </w:rPr>
              <w:t>工程师及以上职称（必须为</w:t>
            </w:r>
            <w:r>
              <w:rPr>
                <w:rFonts w:hint="eastAsia" w:ascii="宋体" w:hAnsi="宋体" w:eastAsia="宋体" w:cs="宋体"/>
                <w:color w:val="000000" w:themeColor="text1"/>
                <w:sz w:val="21"/>
                <w:szCs w:val="21"/>
                <w:highlight w:val="none"/>
                <w:lang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单位注册人员）。</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.2其他主要人员要求：最低人员配备（除项目负责人外）：房屋建筑专业1人，市政道路专业1人、给排水专业1人、电气专业1人、园林绿化专业1人。各专业设计人员均具备工程师或以上职称。</w:t>
            </w:r>
            <w:bookmarkEnd w:id="380"/>
            <w:bookmarkEnd w:id="381"/>
            <w:bookmarkEnd w:id="382"/>
          </w:p>
          <w:p>
            <w:pPr>
              <w:widowControl w:val="0"/>
              <w:wordWrap/>
              <w:adjustRightInd/>
              <w:snapToGrid/>
              <w:spacing w:line="440" w:lineRule="exact"/>
              <w:jc w:val="left"/>
              <w:textAlignment w:val="auto"/>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二、</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设计成果</w:t>
            </w:r>
            <w:r>
              <w:rPr>
                <w:rFonts w:hint="eastAsia" w:ascii="宋体" w:hAnsi="宋体" w:eastAsia="宋体" w:cs="宋体"/>
                <w:b/>
                <w:bCs/>
                <w:color w:val="000000" w:themeColor="text1"/>
                <w:sz w:val="21"/>
                <w:szCs w:val="21"/>
                <w:highlight w:val="none"/>
                <w:lang w:val="zh-CN"/>
                <w14:textFill>
                  <w14:solidFill>
                    <w14:schemeClr w14:val="tx1"/>
                  </w14:solidFill>
                </w14:textFill>
              </w:rPr>
              <w:t>要求：</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各阶段设计内容及深度应分别达到国家及建筑行业设计规范中规定的各项设计深度要求。</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服务内容：对</w:t>
            </w:r>
            <w:r>
              <w:rPr>
                <w:rFonts w:hint="eastAsia" w:ascii="宋体" w:hAnsi="宋体" w:eastAsia="宋体" w:cs="宋体"/>
                <w:color w:val="000000" w:themeColor="text1"/>
                <w:sz w:val="21"/>
                <w:szCs w:val="21"/>
                <w:highlight w:val="none"/>
                <w:lang w:eastAsia="zh-CN"/>
                <w14:textFill>
                  <w14:solidFill>
                    <w14:schemeClr w14:val="tx1"/>
                  </w14:solidFill>
                </w14:textFill>
              </w:rPr>
              <w:t>桂林市秀峰区2024年老旧小区改造工程</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提供初步</w:t>
            </w:r>
            <w:r>
              <w:rPr>
                <w:rFonts w:hint="eastAsia" w:ascii="宋体" w:hAnsi="宋体" w:eastAsia="宋体" w:cs="宋体"/>
                <w:color w:val="000000" w:themeColor="text1"/>
                <w:sz w:val="21"/>
                <w:szCs w:val="21"/>
                <w:highlight w:val="none"/>
                <w:lang w:eastAsia="zh-CN"/>
                <w14:textFill>
                  <w14:solidFill>
                    <w14:schemeClr w14:val="tx1"/>
                  </w14:solidFill>
                </w14:textFill>
              </w:rPr>
              <w:t>设计</w:t>
            </w:r>
            <w:r>
              <w:rPr>
                <w:rFonts w:hint="eastAsia" w:ascii="宋体" w:hAnsi="宋体" w:eastAsia="宋体" w:cs="宋体"/>
                <w:color w:val="000000" w:themeColor="text1"/>
                <w:sz w:val="21"/>
                <w:szCs w:val="21"/>
                <w:highlight w:val="none"/>
                <w:lang w:val="zh-CN"/>
                <w14:textFill>
                  <w14:solidFill>
                    <w14:schemeClr w14:val="tx1"/>
                  </w14:solidFill>
                </w14:textFill>
              </w:rPr>
              <w:t>及施工现场设计服务工作，同时，要求协助采购人获得上级主管部门对各阶段设计报告文件的批复和按时提交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初步</w:t>
            </w:r>
            <w:r>
              <w:rPr>
                <w:rFonts w:hint="eastAsia" w:ascii="宋体" w:hAnsi="宋体" w:eastAsia="宋体" w:cs="宋体"/>
                <w:color w:val="000000" w:themeColor="text1"/>
                <w:sz w:val="21"/>
                <w:szCs w:val="21"/>
                <w:highlight w:val="none"/>
                <w:lang w:val="zh-CN"/>
                <w14:textFill>
                  <w14:solidFill>
                    <w14:schemeClr w14:val="tx1"/>
                  </w14:solidFill>
                </w14:textFill>
              </w:rPr>
              <w:t>设计（</w:t>
            </w:r>
            <w:r>
              <w:rPr>
                <w:rFonts w:hint="eastAsia" w:ascii="宋体" w:hAnsi="宋体" w:eastAsia="宋体" w:cs="宋体"/>
                <w:color w:val="000000" w:themeColor="text1"/>
                <w:sz w:val="21"/>
                <w:szCs w:val="21"/>
                <w:highlight w:val="none"/>
                <w:lang w:val="en-US" w:eastAsia="zh-CN"/>
                <w14:textFill>
                  <w14:solidFill>
                    <w14:schemeClr w14:val="tx1"/>
                  </w14:solidFill>
                </w14:textFill>
              </w:rPr>
              <w:t>含概算</w:t>
            </w:r>
            <w:r>
              <w:rPr>
                <w:rFonts w:hint="eastAsia" w:ascii="宋体" w:hAnsi="宋体" w:eastAsia="宋体" w:cs="宋体"/>
                <w:color w:val="000000" w:themeColor="text1"/>
                <w:sz w:val="21"/>
                <w:szCs w:val="21"/>
                <w:highlight w:val="none"/>
                <w:lang w:val="zh-CN"/>
                <w14:textFill>
                  <w14:solidFill>
                    <w14:schemeClr w14:val="tx1"/>
                  </w14:solidFill>
                </w14:textFill>
              </w:rPr>
              <w:t>）、施工图设计文件，并做好项目施工现场技术服务工作</w:t>
            </w:r>
            <w:r>
              <w:rPr>
                <w:rFonts w:hint="eastAsia" w:ascii="宋体" w:hAnsi="宋体" w:eastAsia="宋体" w:cs="宋体"/>
                <w:color w:val="000000" w:themeColor="text1"/>
                <w:sz w:val="21"/>
                <w:szCs w:val="21"/>
                <w:highlight w:val="none"/>
                <w14:textFill>
                  <w14:solidFill>
                    <w14:schemeClr w14:val="tx1"/>
                  </w14:solidFill>
                </w14:textFill>
              </w:rPr>
              <w:t>。</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服务成果：</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val="zh-CN"/>
                <w14:textFill>
                  <w14:solidFill>
                    <w14:schemeClr w14:val="tx1"/>
                  </w14:solidFill>
                </w14:textFill>
              </w:rPr>
              <w:t>）通过技术评审工程初步设计文件：初步设计报告书、概算书、图纸等报批所需资料及其他附件各1</w:t>
            </w:r>
            <w:r>
              <w:rPr>
                <w:rFonts w:hint="eastAsia" w:ascii="宋体" w:hAnsi="宋体" w:eastAsia="宋体" w:cs="宋体"/>
                <w:color w:val="000000" w:themeColor="text1"/>
                <w:sz w:val="21"/>
                <w:szCs w:val="21"/>
                <w:highlight w:val="none"/>
                <w14:textFill>
                  <w14:solidFill>
                    <w14:schemeClr w14:val="tx1"/>
                  </w14:solidFill>
                </w14:textFill>
              </w:rPr>
              <w:t>0</w:t>
            </w:r>
            <w:r>
              <w:rPr>
                <w:rFonts w:hint="eastAsia" w:ascii="宋体" w:hAnsi="宋体" w:eastAsia="宋体" w:cs="宋体"/>
                <w:color w:val="000000" w:themeColor="text1"/>
                <w:sz w:val="21"/>
                <w:szCs w:val="21"/>
                <w:highlight w:val="none"/>
                <w:lang w:val="zh-CN"/>
                <w14:textFill>
                  <w14:solidFill>
                    <w14:schemeClr w14:val="tx1"/>
                  </w14:solidFill>
                </w14:textFill>
              </w:rPr>
              <w:t>份，文件光盘2份。</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施工图</w:t>
            </w:r>
            <w:r>
              <w:rPr>
                <w:rFonts w:hint="eastAsia" w:ascii="宋体" w:hAnsi="宋体" w:eastAsia="宋体" w:cs="宋体"/>
                <w:color w:val="000000" w:themeColor="text1"/>
                <w:sz w:val="21"/>
                <w:szCs w:val="21"/>
                <w:highlight w:val="none"/>
                <w:lang w:val="zh-CN"/>
                <w14:textFill>
                  <w14:solidFill>
                    <w14:schemeClr w14:val="tx1"/>
                  </w14:solidFill>
                </w14:textFill>
              </w:rPr>
              <w:t>设计文件：工程项目各部分施工技术及工艺要求、图纸及其他附件各8份；上述文件数字格式光盘1份。</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初步设计概算总投资按广西壮族自治区有关规定进行编制，并应充分优化方案，节约工程投资。</w:t>
            </w:r>
          </w:p>
          <w:p>
            <w:pPr>
              <w:widowControl w:val="0"/>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以上条款所有成果数字光盘格式要求：采用PDF格式。</w:t>
            </w:r>
          </w:p>
          <w:p>
            <w:pPr>
              <w:pStyle w:val="16"/>
              <w:widowControl w:val="0"/>
              <w:wordWrap/>
              <w:adjustRightInd/>
              <w:snapToGrid/>
              <w:spacing w:line="440" w:lineRule="exact"/>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三.其他要求</w:t>
            </w:r>
          </w:p>
          <w:p>
            <w:pPr>
              <w:pStyle w:val="4"/>
              <w:wordWrap/>
              <w:adjustRightInd/>
              <w:snapToGrid/>
              <w:spacing w:before="0" w:after="0" w:line="440" w:lineRule="exact"/>
              <w:jc w:val="lef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383" w:name="_Toc32592"/>
            <w:bookmarkStart w:id="384" w:name="_Toc23529"/>
            <w:bookmarkStart w:id="385" w:name="_Toc26907"/>
            <w:bookmarkStart w:id="386" w:name="_Toc5251"/>
            <w:bookmarkStart w:id="387" w:name="_Toc11747"/>
            <w:bookmarkStart w:id="388" w:name="_Toc28386"/>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14:textFill>
                  <w14:solidFill>
                    <w14:schemeClr w14:val="tx1"/>
                  </w14:solidFill>
                </w14:textFill>
              </w:rPr>
              <w:t>采购人财产清单</w:t>
            </w:r>
            <w:bookmarkEnd w:id="383"/>
            <w:bookmarkEnd w:id="384"/>
            <w:bookmarkEnd w:id="385"/>
            <w:bookmarkEnd w:id="386"/>
            <w:bookmarkEnd w:id="387"/>
            <w:bookmarkEnd w:id="388"/>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89" w:name="_Toc6677"/>
            <w:bookmarkStart w:id="390" w:name="_Toc21532"/>
            <w:bookmarkStart w:id="391" w:name="_Toc19954"/>
            <w:bookmarkStart w:id="392" w:name="_Toc15313"/>
            <w:bookmarkStart w:id="393" w:name="_Toc16396"/>
            <w:bookmarkStart w:id="394" w:name="_Toc15614"/>
            <w:bookmarkStart w:id="395" w:name="_Toc30720"/>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1.采购人提供的设备、设施：</w:t>
            </w:r>
            <w:bookmarkEnd w:id="389"/>
            <w:bookmarkEnd w:id="390"/>
            <w:bookmarkEnd w:id="391"/>
            <w:bookmarkEnd w:id="392"/>
            <w:bookmarkEnd w:id="393"/>
            <w:bookmarkEnd w:id="394"/>
            <w:bookmarkEnd w:id="395"/>
            <w:r>
              <w:rPr>
                <w:rFonts w:hint="eastAsia" w:ascii="宋体" w:hAnsi="宋体" w:eastAsia="宋体" w:cs="宋体"/>
                <w:color w:val="000000" w:themeColor="text1"/>
                <w:sz w:val="21"/>
                <w:szCs w:val="21"/>
                <w:highlight w:val="none"/>
                <w14:textFill>
                  <w14:solidFill>
                    <w14:schemeClr w14:val="tx1"/>
                  </w14:solidFill>
                </w14:textFill>
              </w:rPr>
              <w:t>无。</w:t>
            </w:r>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96" w:name="_Toc28047"/>
            <w:bookmarkStart w:id="397" w:name="_Toc2781"/>
            <w:bookmarkStart w:id="398" w:name="_Toc27143"/>
            <w:bookmarkStart w:id="399" w:name="_Toc19983"/>
            <w:bookmarkStart w:id="400" w:name="_Toc6492"/>
            <w:bookmarkStart w:id="401" w:name="_Toc24234"/>
            <w:bookmarkStart w:id="402" w:name="_Toc6511"/>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2.采购人提供的资料</w:t>
            </w:r>
            <w:bookmarkEnd w:id="396"/>
            <w:bookmarkEnd w:id="397"/>
            <w:bookmarkEnd w:id="398"/>
            <w:bookmarkEnd w:id="399"/>
            <w:bookmarkEnd w:id="400"/>
            <w:bookmarkEnd w:id="401"/>
            <w:bookmarkEnd w:id="402"/>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（1）本项目的相关要求资料；</w:t>
            </w:r>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（2）采购人提供的技术标准、规范；</w:t>
            </w:r>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（3）其他资料。</w:t>
            </w:r>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03" w:name="_Toc32702"/>
            <w:bookmarkStart w:id="404" w:name="_Toc30862"/>
            <w:bookmarkStart w:id="405" w:name="_Toc28664"/>
            <w:bookmarkStart w:id="406" w:name="_Toc13850"/>
            <w:bookmarkStart w:id="407" w:name="_Toc30259"/>
            <w:bookmarkStart w:id="408" w:name="_Toc30995"/>
            <w:bookmarkStart w:id="409" w:name="_Toc27645"/>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3.采购人财产使用要求及退还要求</w:t>
            </w:r>
            <w:bookmarkEnd w:id="403"/>
            <w:bookmarkEnd w:id="404"/>
            <w:bookmarkEnd w:id="405"/>
            <w:bookmarkEnd w:id="406"/>
            <w:bookmarkEnd w:id="407"/>
            <w:bookmarkEnd w:id="408"/>
            <w:bookmarkEnd w:id="409"/>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（1）采购人财产使用要求：☑无    □ 使用的要求</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（2）采购人财产退还要求：☑无    □ 归还期限</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pPr>
              <w:pStyle w:val="4"/>
              <w:wordWrap/>
              <w:adjustRightInd/>
              <w:snapToGrid/>
              <w:spacing w:before="0" w:after="0" w:line="44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410" w:name="_Toc1386"/>
            <w:bookmarkStart w:id="411" w:name="_Toc28927"/>
            <w:bookmarkStart w:id="412" w:name="_Toc26570"/>
            <w:bookmarkStart w:id="413" w:name="_Toc18595"/>
            <w:bookmarkStart w:id="414" w:name="_Toc18002"/>
            <w:bookmarkStart w:id="415" w:name="_Toc2579"/>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设计人需要自备的工作条件</w:t>
            </w:r>
            <w:bookmarkEnd w:id="410"/>
            <w:bookmarkEnd w:id="411"/>
            <w:bookmarkEnd w:id="412"/>
            <w:bookmarkEnd w:id="413"/>
            <w:bookmarkEnd w:id="414"/>
            <w:bookmarkEnd w:id="415"/>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1.设计人自备的工作手册：如本项目必备的规范标准、图集等</w:t>
            </w:r>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2.设计人自备的办公设备：如电脑、软件、投影、打印机、复印机、照相机等</w:t>
            </w:r>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3.设计人自备的交通工具：如出行车辆等</w:t>
            </w:r>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4.设计人自备的现场办公设施：如办公桌椅、文件柜等</w:t>
            </w:r>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5.设计人自备的安全设施：如安全帽、安全鞋、手电筒等</w:t>
            </w:r>
          </w:p>
          <w:p>
            <w:pPr>
              <w:pStyle w:val="4"/>
              <w:wordWrap/>
              <w:adjustRightInd/>
              <w:snapToGrid/>
              <w:spacing w:before="0" w:after="0" w:line="440" w:lineRule="exact"/>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bookmarkStart w:id="416" w:name="_Toc10863"/>
            <w:bookmarkStart w:id="417" w:name="_Toc17075"/>
            <w:bookmarkStart w:id="418" w:name="_Toc14980"/>
            <w:bookmarkStart w:id="419" w:name="_Toc16269"/>
            <w:bookmarkStart w:id="420" w:name="_Toc25702"/>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采购人的其他要求</w:t>
            </w:r>
            <w:bookmarkEnd w:id="416"/>
            <w:bookmarkEnd w:id="417"/>
            <w:bookmarkEnd w:id="418"/>
            <w:bookmarkEnd w:id="419"/>
            <w:bookmarkEnd w:id="420"/>
          </w:p>
          <w:p>
            <w:pPr>
              <w:wordWrap/>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采购人认为需事先约定的内容，如配合报建、保密措施、知识产权归属、设计服务、设计费支付条件以及支付方式、开票要求等。</w:t>
            </w:r>
          </w:p>
          <w:p>
            <w:pPr>
              <w:wordWrap/>
              <w:autoSpaceDE w:val="0"/>
              <w:autoSpaceDN w:val="0"/>
              <w:adjustRightInd/>
              <w:snapToGrid/>
              <w:spacing w:line="440" w:lineRule="exact"/>
              <w:ind w:left="90" w:leftChars="43"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21" w:name="_Toc450743227"/>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1.设计条件</w:t>
            </w:r>
            <w:bookmarkEnd w:id="421"/>
          </w:p>
          <w:p>
            <w:pPr>
              <w:wordWrap/>
              <w:autoSpaceDE w:val="0"/>
              <w:autoSpaceDN w:val="0"/>
              <w:adjustRightInd/>
              <w:snapToGrid/>
              <w:spacing w:line="440" w:lineRule="exact"/>
              <w:ind w:left="90" w:leftChars="43"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（1）本设计任务书。</w:t>
            </w:r>
          </w:p>
          <w:p>
            <w:pPr>
              <w:wordWrap/>
              <w:autoSpaceDE w:val="0"/>
              <w:autoSpaceDN w:val="0"/>
              <w:adjustRightInd/>
              <w:snapToGrid/>
              <w:spacing w:line="440" w:lineRule="exact"/>
              <w:ind w:left="90" w:leftChars="43"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（2）国家、地方有关法律、法规、文件及行业设计规范。</w:t>
            </w:r>
          </w:p>
          <w:p>
            <w:pPr>
              <w:wordWrap/>
              <w:autoSpaceDE w:val="0"/>
              <w:autoSpaceDN w:val="0"/>
              <w:adjustRightInd/>
              <w:snapToGrid/>
              <w:spacing w:line="440" w:lineRule="exact"/>
              <w:ind w:left="90" w:leftChars="43"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（3）建设用地规划条件。</w:t>
            </w:r>
          </w:p>
          <w:p>
            <w:pPr>
              <w:wordWrap/>
              <w:autoSpaceDE w:val="0"/>
              <w:autoSpaceDN w:val="0"/>
              <w:adjustRightInd/>
              <w:snapToGrid/>
              <w:spacing w:line="440" w:lineRule="exact"/>
              <w:ind w:left="90" w:leftChars="43"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（4）项目建议书及批复。</w:t>
            </w:r>
          </w:p>
          <w:p>
            <w:pPr>
              <w:wordWrap/>
              <w:autoSpaceDE w:val="0"/>
              <w:autoSpaceDN w:val="0"/>
              <w:adjustRightInd/>
              <w:snapToGrid/>
              <w:spacing w:line="440" w:lineRule="exact"/>
              <w:ind w:left="90" w:leftChars="43"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（5）项目可行性研究报告及批复。</w:t>
            </w:r>
          </w:p>
          <w:p>
            <w:pPr>
              <w:wordWrap/>
              <w:autoSpaceDE w:val="0"/>
              <w:autoSpaceDN w:val="0"/>
              <w:adjustRightInd/>
              <w:snapToGrid/>
              <w:spacing w:line="440" w:lineRule="exact"/>
              <w:ind w:left="90" w:leftChars="43"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（6）采购人提供的其他资料。</w:t>
            </w:r>
          </w:p>
          <w:p>
            <w:pPr>
              <w:wordWrap/>
              <w:autoSpaceDE w:val="0"/>
              <w:autoSpaceDN w:val="0"/>
              <w:adjustRightInd/>
              <w:snapToGrid/>
              <w:spacing w:line="440" w:lineRule="exact"/>
              <w:ind w:left="90" w:leftChars="43"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（7）设计单位要按照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文件中所要求参数设计</w:t>
            </w:r>
          </w:p>
          <w:p>
            <w:pPr>
              <w:pStyle w:val="16"/>
              <w:rPr>
                <w:rFonts w:hint="eastAsia"/>
                <w:color w:val="000000" w:themeColor="text1"/>
                <w:lang w:val="en-US" w:eastAsia="zh-CN"/>
                <w14:textFill>
                  <w14:solidFill>
                    <w14:schemeClr w14:val="tx1"/>
                  </w14:solidFill>
                </w14:textFill>
              </w:rPr>
            </w:pPr>
          </w:p>
        </w:tc>
        <w:tc>
          <w:tcPr>
            <w:tcW w:w="650" w:type="dxa"/>
            <w:tcBorders>
              <w:top w:val="single" w:color="auto" w:sz="4" w:space="0"/>
              <w:left w:val="single" w:color="auto" w:sz="4" w:space="0"/>
              <w:bottom w:val="single" w:color="auto" w:sz="4" w:space="0"/>
              <w:right w:val="single" w:color="auto" w:sz="4" w:space="0"/>
            </w:tcBorders>
            <w:vAlign w:val="center"/>
          </w:tcPr>
          <w:p>
            <w:pPr>
              <w:wordWrap/>
              <w:adjustRightInd/>
              <w:snapToGrid/>
              <w:spacing w:line="440" w:lineRule="exact"/>
              <w:jc w:val="center"/>
              <w:textAlignment w:val="auto"/>
              <w:rPr>
                <w:rFonts w:hint="eastAsia" w:ascii="宋体" w:hAnsi="宋体" w:eastAsia="宋体" w:cs="宋体"/>
                <w:color w:val="000000" w:themeColor="text1"/>
                <w:spacing w:val="-14"/>
                <w:sz w:val="21"/>
                <w:szCs w:val="21"/>
                <w:highlight w:val="none"/>
                <w:lang w:val="zh-CN" w:bidi="zh-CN"/>
                <w14:textFill>
                  <w14:solidFill>
                    <w14:schemeClr w14:val="tx1"/>
                  </w14:solidFill>
                </w14:textFill>
              </w:rPr>
            </w:pPr>
            <w:r>
              <w:rPr>
                <w:rFonts w:hint="eastAsia" w:ascii="宋体" w:hAnsi="宋体" w:eastAsia="宋体" w:cs="宋体"/>
                <w:color w:val="000000" w:themeColor="text1"/>
                <w:spacing w:val="-14"/>
                <w:sz w:val="21"/>
                <w:szCs w:val="21"/>
                <w:highlight w:val="none"/>
                <w:lang w:val="zh-CN" w:bidi="zh-CN"/>
                <w14:textFill>
                  <w14:solidFill>
                    <w14:schemeClr w14:val="tx1"/>
                  </w14:solidFill>
                </w14:textFill>
              </w:rPr>
              <w:t>1</w:t>
            </w:r>
          </w:p>
        </w:tc>
        <w:tc>
          <w:tcPr>
            <w:tcW w:w="700" w:type="dxa"/>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olor w:val="000000" w:themeColor="text1"/>
                <w:spacing w:val="-14"/>
                <w:sz w:val="21"/>
                <w:szCs w:val="21"/>
                <w:highlight w:val="none"/>
                <w:lang w:val="zh-CN" w:bidi="zh-CN"/>
                <w14:textFill>
                  <w14:solidFill>
                    <w14:schemeClr w14:val="tx1"/>
                  </w14:solidFill>
                </w14:textFill>
              </w:rPr>
            </w:pPr>
            <w:r>
              <w:rPr>
                <w:rFonts w:hint="eastAsia" w:ascii="宋体" w:hAnsi="宋体" w:eastAsia="宋体" w:cs="宋体"/>
                <w:color w:val="000000" w:themeColor="text1"/>
                <w:spacing w:val="-14"/>
                <w:sz w:val="21"/>
                <w:szCs w:val="21"/>
                <w:highlight w:val="none"/>
                <w:lang w:val="zh-CN" w:bidi="zh-CN"/>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63" w:type="dxa"/>
            <w:gridSpan w:val="5"/>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b/>
                <w:bCs/>
                <w:color w:val="000000" w:themeColor="text1"/>
                <w:spacing w:val="-14"/>
                <w:sz w:val="21"/>
                <w:szCs w:val="21"/>
                <w:highlight w:val="none"/>
                <w:lang w:val="zh-CN" w:bidi="zh-CN"/>
                <w14:textFill>
                  <w14:solidFill>
                    <w14:schemeClr w14:val="tx1"/>
                  </w14:solidFill>
                </w14:textFill>
              </w:rPr>
            </w:pPr>
            <w:r>
              <w:rPr>
                <w:rFonts w:hint="eastAsia" w:ascii="宋体" w:hAnsi="宋体" w:eastAsia="宋体" w:cs="宋体"/>
                <w:b/>
                <w:bCs/>
                <w:color w:val="000000" w:themeColor="text1"/>
                <w:sz w:val="21"/>
                <w:szCs w:val="21"/>
                <w:highlight w:val="none"/>
                <w:lang w:val="zh-CN"/>
                <w14:textFill>
                  <w14:solidFill>
                    <w14:schemeClr w14:val="tx1"/>
                  </w14:solidFill>
                </w14:textFill>
              </w:rPr>
              <w:t>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80" w:type="dxa"/>
            <w:gridSpan w:val="2"/>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b/>
                <w:bCs/>
                <w:color w:val="000000" w:themeColor="text1"/>
                <w:spacing w:val="-14"/>
                <w:sz w:val="21"/>
                <w:szCs w:val="21"/>
                <w:highlight w:val="none"/>
                <w:lang w:val="zh-CN" w:bidi="zh-CN"/>
                <w14:textFill>
                  <w14:solidFill>
                    <w14:schemeClr w14:val="tx1"/>
                  </w14:solidFill>
                </w14:textFill>
              </w:rPr>
            </w:pPr>
            <w:r>
              <w:rPr>
                <w:rFonts w:hint="eastAsia" w:ascii="宋体" w:hAnsi="宋体" w:eastAsia="宋体" w:cs="宋体"/>
                <w:b/>
                <w:bCs/>
                <w:color w:val="000000" w:themeColor="text1"/>
                <w:spacing w:val="-14"/>
                <w:sz w:val="21"/>
                <w:szCs w:val="21"/>
                <w:highlight w:val="none"/>
                <w:lang w:val="zh-CN" w:bidi="zh-CN"/>
                <w14:textFill>
                  <w14:solidFill>
                    <w14:schemeClr w14:val="tx1"/>
                  </w14:solidFill>
                </w14:textFill>
              </w:rPr>
              <w:t>服务质量要求</w:t>
            </w:r>
          </w:p>
        </w:tc>
        <w:tc>
          <w:tcPr>
            <w:tcW w:w="7783"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各阶段设计内容及深度应分别达到国家及建筑行业设计规范中规定的各项设计深度要求。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80" w:type="dxa"/>
            <w:gridSpan w:val="2"/>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b/>
                <w:bCs/>
                <w:color w:val="000000" w:themeColor="text1"/>
                <w:spacing w:val="-14"/>
                <w:sz w:val="21"/>
                <w:szCs w:val="21"/>
                <w:highlight w:val="none"/>
                <w:lang w:val="zh-CN" w:bidi="zh-CN"/>
                <w14:textFill>
                  <w14:solidFill>
                    <w14:schemeClr w14:val="tx1"/>
                  </w14:solidFill>
                </w14:textFill>
              </w:rPr>
            </w:pPr>
            <w:r>
              <w:rPr>
                <w:rFonts w:hint="eastAsia" w:ascii="宋体" w:hAnsi="宋体" w:eastAsia="宋体" w:cs="宋体"/>
                <w:b/>
                <w:bCs/>
                <w:color w:val="000000" w:themeColor="text1"/>
                <w:spacing w:val="-14"/>
                <w:sz w:val="21"/>
                <w:szCs w:val="21"/>
                <w:highlight w:val="none"/>
                <w:lang w:val="zh-CN" w:bidi="zh-CN"/>
                <w14:textFill>
                  <w14:solidFill>
                    <w14:schemeClr w14:val="tx1"/>
                  </w14:solidFill>
                </w14:textFill>
              </w:rPr>
              <w:t>服务时间及地点</w:t>
            </w:r>
          </w:p>
        </w:tc>
        <w:tc>
          <w:tcPr>
            <w:tcW w:w="7783"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提交服务成果时间：</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初步</w:t>
            </w:r>
            <w:r>
              <w:rPr>
                <w:rFonts w:hint="eastAsia" w:ascii="宋体" w:hAnsi="宋体" w:eastAsia="宋体" w:cs="宋体"/>
                <w:color w:val="000000" w:themeColor="text1"/>
                <w:kern w:val="2"/>
                <w:sz w:val="21"/>
                <w:szCs w:val="21"/>
                <w:highlight w:val="none"/>
                <w14:textFill>
                  <w14:solidFill>
                    <w14:schemeClr w14:val="tx1"/>
                  </w14:solidFill>
                </w14:textFill>
              </w:rPr>
              <w:t>设计</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含概算编制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签订合同之日起</w:t>
            </w:r>
            <w:r>
              <w:rPr>
                <w:rFonts w:hint="eastAsia" w:ascii="宋体" w:hAnsi="宋体" w:eastAsia="宋体" w:cs="宋体"/>
                <w:color w:val="000000" w:themeColor="text1"/>
                <w:kern w:val="2"/>
                <w:sz w:val="21"/>
                <w:szCs w:val="21"/>
                <w:highlight w:val="none"/>
                <w14:textFill>
                  <w14:solidFill>
                    <w14:schemeClr w14:val="tx1"/>
                  </w14:solidFill>
                </w14:textFill>
              </w:rPr>
              <w:t>15日历天完成；施工图设计：</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初步设计批复后20</w:t>
            </w:r>
            <w:r>
              <w:rPr>
                <w:rFonts w:hint="eastAsia" w:ascii="宋体" w:hAnsi="宋体" w:eastAsia="宋体" w:cs="宋体"/>
                <w:color w:val="000000" w:themeColor="text1"/>
                <w:kern w:val="2"/>
                <w:sz w:val="21"/>
                <w:szCs w:val="21"/>
                <w:highlight w:val="none"/>
                <w14:textFill>
                  <w14:solidFill>
                    <w14:schemeClr w14:val="tx1"/>
                  </w14:solidFill>
                </w14:textFill>
              </w:rPr>
              <w:t>日历天内完成。</w:t>
            </w:r>
          </w:p>
          <w:p>
            <w:pPr>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服务地点：采购人指定地点。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80" w:type="dxa"/>
            <w:gridSpan w:val="2"/>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b/>
                <w:bCs/>
                <w:color w:val="000000" w:themeColor="text1"/>
                <w:spacing w:val="-14"/>
                <w:sz w:val="21"/>
                <w:szCs w:val="21"/>
                <w:highlight w:val="none"/>
                <w:lang w:val="zh-CN" w:bidi="zh-CN"/>
                <w14:textFill>
                  <w14:solidFill>
                    <w14:schemeClr w14:val="tx1"/>
                  </w14:solidFill>
                </w14:textFill>
              </w:rPr>
            </w:pPr>
            <w:r>
              <w:rPr>
                <w:rFonts w:hint="eastAsia" w:ascii="宋体" w:hAnsi="宋体" w:eastAsia="宋体" w:cs="宋体"/>
                <w:b/>
                <w:bCs/>
                <w:color w:val="000000" w:themeColor="text1"/>
                <w:spacing w:val="-14"/>
                <w:sz w:val="21"/>
                <w:szCs w:val="21"/>
                <w:highlight w:val="none"/>
                <w:lang w:val="zh-CN" w:bidi="zh-CN"/>
                <w14:textFill>
                  <w14:solidFill>
                    <w14:schemeClr w14:val="tx1"/>
                  </w14:solidFill>
                </w14:textFill>
              </w:rPr>
              <w:t>付款方式</w:t>
            </w:r>
          </w:p>
        </w:tc>
        <w:tc>
          <w:tcPr>
            <w:tcW w:w="7783"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付款方法和条件：全部款项分阶段分期付清，具体按合同条款付款。付费次序、占合同款的比例、付款时间如下：</w:t>
            </w:r>
          </w:p>
          <w:p>
            <w:pPr>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支付方式：</w:t>
            </w:r>
          </w:p>
          <w:p>
            <w:pPr>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乙方向甲方提交初步设计</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及概算</w:t>
            </w:r>
            <w:r>
              <w:rPr>
                <w:rFonts w:hint="eastAsia" w:ascii="宋体" w:hAnsi="宋体" w:eastAsia="宋体" w:cs="宋体"/>
                <w:color w:val="000000" w:themeColor="text1"/>
                <w:sz w:val="21"/>
                <w:szCs w:val="21"/>
                <w:highlight w:val="none"/>
                <w:lang w:val="zh-CN"/>
                <w14:textFill>
                  <w14:solidFill>
                    <w14:schemeClr w14:val="tx1"/>
                  </w14:solidFill>
                </w14:textFill>
              </w:rPr>
              <w:t>成果后，甲方</w:t>
            </w:r>
            <w:r>
              <w:rPr>
                <w:rFonts w:hint="eastAsia" w:ascii="宋体" w:hAnsi="宋体" w:eastAsia="宋体" w:cs="宋体"/>
                <w:color w:val="000000" w:themeColor="text1"/>
                <w:sz w:val="21"/>
                <w:szCs w:val="21"/>
                <w:highlight w:val="none"/>
                <w:lang w:val="zh-CN" w:eastAsia="zh-CN"/>
                <w14:textFill>
                  <w14:solidFill>
                    <w14:schemeClr w14:val="tx1"/>
                  </w14:solidFill>
                </w14:textFill>
              </w:rPr>
              <w:t>支付相应设计费</w:t>
            </w:r>
            <w:r>
              <w:rPr>
                <w:rFonts w:hint="eastAsia" w:ascii="宋体" w:hAnsi="宋体" w:eastAsia="宋体" w:cs="宋体"/>
                <w:color w:val="000000" w:themeColor="text1"/>
                <w:sz w:val="21"/>
                <w:szCs w:val="21"/>
                <w:highlight w:val="none"/>
                <w:lang w:val="zh-CN"/>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lang w:val="zh-CN"/>
                <w14:textFill>
                  <w14:solidFill>
                    <w14:schemeClr w14:val="tx1"/>
                  </w14:solidFill>
                </w14:textFill>
              </w:rPr>
              <w:t>%给乙方；</w:t>
            </w:r>
          </w:p>
          <w:p>
            <w:pPr>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乙方向甲方提交施工图成果后，甲方</w:t>
            </w:r>
            <w:r>
              <w:rPr>
                <w:rFonts w:hint="eastAsia" w:ascii="宋体" w:hAnsi="宋体" w:eastAsia="宋体" w:cs="宋体"/>
                <w:color w:val="000000" w:themeColor="text1"/>
                <w:sz w:val="21"/>
                <w:szCs w:val="21"/>
                <w:highlight w:val="none"/>
                <w:lang w:val="zh-CN" w:eastAsia="zh-CN"/>
                <w14:textFill>
                  <w14:solidFill>
                    <w14:schemeClr w14:val="tx1"/>
                  </w14:solidFill>
                </w14:textFill>
              </w:rPr>
              <w:t>支付相应设计费的</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lang w:val="zh-CN"/>
                <w14:textFill>
                  <w14:solidFill>
                    <w14:schemeClr w14:val="tx1"/>
                  </w14:solidFill>
                </w14:textFill>
              </w:rPr>
              <w:t>%给乙方；</w:t>
            </w:r>
          </w:p>
          <w:p>
            <w:pPr>
              <w:wordWrap/>
              <w:adjustRightInd/>
              <w:snapToGrid/>
              <w:spacing w:line="440" w:lineRule="exact"/>
              <w:ind w:left="420" w:hanging="420" w:hanging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设计费结算，待工程项目完工验收合格后，甲方支付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设计费剩余20%</w:t>
            </w:r>
            <w:r>
              <w:rPr>
                <w:rFonts w:hint="eastAsia" w:ascii="宋体" w:hAnsi="宋体" w:eastAsia="宋体" w:cs="宋体"/>
                <w:color w:val="000000" w:themeColor="text1"/>
                <w:sz w:val="21"/>
                <w:szCs w:val="21"/>
                <w:highlight w:val="none"/>
                <w:lang w:val="zh-CN"/>
                <w14:textFill>
                  <w14:solidFill>
                    <w14:schemeClr w14:val="tx1"/>
                  </w14:solidFill>
                </w14:textFill>
              </w:rPr>
              <w:t>给乙</w:t>
            </w:r>
            <w:r>
              <w:rPr>
                <w:rFonts w:hint="eastAsia" w:ascii="宋体" w:hAnsi="宋体" w:eastAsia="宋体" w:cs="宋体"/>
                <w:color w:val="000000" w:themeColor="text1"/>
                <w:sz w:val="21"/>
                <w:szCs w:val="21"/>
                <w:highlight w:val="none"/>
                <w:lang w:val="en-US" w:eastAsia="zh-CN"/>
                <w14:textFill>
                  <w14:solidFill>
                    <w14:schemeClr w14:val="tx1"/>
                  </w14:solidFill>
                </w14:textFill>
              </w:rPr>
              <w:t>方</w:t>
            </w:r>
          </w:p>
          <w:p>
            <w:pPr>
              <w:wordWrap/>
              <w:adjustRightInd/>
              <w:snapToGrid/>
              <w:spacing w:line="440" w:lineRule="exact"/>
              <w:ind w:left="420" w:leftChars="200" w:firstLine="0" w:firstLine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zh-CN"/>
                <w14:textFill>
                  <w14:solidFill>
                    <w14:schemeClr w14:val="tx1"/>
                  </w14:solidFill>
                </w14:textFill>
              </w:rPr>
              <w:t>人向</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zh-CN"/>
                <w14:textFill>
                  <w14:solidFill>
                    <w14:schemeClr w14:val="tx1"/>
                  </w14:solidFill>
                </w14:textFill>
              </w:rPr>
              <w:t>支付设计费前，</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zh-CN"/>
                <w14:textFill>
                  <w14:solidFill>
                    <w14:schemeClr w14:val="tx1"/>
                  </w14:solidFill>
                </w14:textFill>
              </w:rPr>
              <w:t>应向</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zh-CN"/>
                <w14:textFill>
                  <w14:solidFill>
                    <w14:schemeClr w14:val="tx1"/>
                  </w14:solidFill>
                </w14:textFill>
              </w:rPr>
              <w:t>开具合格有效税务发票，否则</w:t>
            </w:r>
            <w:r>
              <w:rPr>
                <w:rFonts w:hint="eastAsia" w:ascii="宋体" w:hAnsi="宋体" w:eastAsia="宋体" w:cs="宋体"/>
                <w:color w:val="000000" w:themeColor="text1"/>
                <w:sz w:val="21"/>
                <w:szCs w:val="21"/>
                <w:highlight w:val="none"/>
                <w:lang w:val="en-US" w:eastAsia="zh-CN"/>
                <w14:textFill>
                  <w14:solidFill>
                    <w14:schemeClr w14:val="tx1"/>
                  </w14:solidFill>
                </w14:textFill>
              </w:rPr>
              <w:t>甲</w:t>
            </w:r>
          </w:p>
          <w:p>
            <w:pPr>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方</w:t>
            </w:r>
            <w:r>
              <w:rPr>
                <w:rFonts w:hint="eastAsia" w:ascii="宋体" w:hAnsi="宋体" w:eastAsia="宋体" w:cs="宋体"/>
                <w:color w:val="000000" w:themeColor="text1"/>
                <w:sz w:val="21"/>
                <w:szCs w:val="21"/>
                <w:highlight w:val="none"/>
                <w:lang w:val="zh-CN"/>
                <w14:textFill>
                  <w14:solidFill>
                    <w14:schemeClr w14:val="tx1"/>
                  </w14:solidFill>
                </w14:textFill>
              </w:rPr>
              <w:t>有权拒绝付款并顺延付款时间。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180" w:type="dxa"/>
            <w:gridSpan w:val="2"/>
            <w:tcBorders>
              <w:top w:val="single" w:color="auto" w:sz="4" w:space="0"/>
              <w:left w:val="single" w:color="auto" w:sz="4" w:space="0"/>
              <w:bottom w:val="single" w:color="auto" w:sz="4" w:space="0"/>
              <w:right w:val="single" w:color="auto" w:sz="4" w:space="0"/>
            </w:tcBorders>
            <w:vAlign w:val="center"/>
          </w:tcPr>
          <w:p>
            <w:pPr>
              <w:widowControl/>
              <w:wordWrap/>
              <w:adjustRightInd/>
              <w:snapToGrid/>
              <w:spacing w:line="440" w:lineRule="exact"/>
              <w:jc w:val="center"/>
              <w:textAlignment w:val="auto"/>
              <w:rPr>
                <w:rFonts w:hint="eastAsia" w:ascii="宋体" w:hAnsi="宋体" w:eastAsia="宋体" w:cs="宋体"/>
                <w:color w:val="000000" w:themeColor="text1"/>
                <w:spacing w:val="-14"/>
                <w:sz w:val="21"/>
                <w:szCs w:val="21"/>
                <w:highlight w:val="none"/>
                <w:lang w:val="zh-CN" w:bidi="zh-CN"/>
                <w14:textFill>
                  <w14:solidFill>
                    <w14:schemeClr w14:val="tx1"/>
                  </w14:solidFill>
                </w14:textFill>
              </w:rPr>
            </w:pPr>
            <w:r>
              <w:rPr>
                <w:rFonts w:hint="eastAsia" w:ascii="宋体" w:hAnsi="宋体" w:eastAsia="宋体" w:cs="宋体"/>
                <w:color w:val="000000" w:themeColor="text1"/>
                <w:spacing w:val="-14"/>
                <w:sz w:val="21"/>
                <w:szCs w:val="21"/>
                <w:highlight w:val="none"/>
                <w:lang w:val="zh-CN" w:bidi="zh-CN"/>
                <w14:textFill>
                  <w14:solidFill>
                    <w14:schemeClr w14:val="tx1"/>
                  </w14:solidFill>
                </w14:textFill>
              </w:rPr>
              <w:t>其他要求</w:t>
            </w:r>
          </w:p>
        </w:tc>
        <w:tc>
          <w:tcPr>
            <w:tcW w:w="7783" w:type="dxa"/>
            <w:gridSpan w:val="3"/>
            <w:tcBorders>
              <w:top w:val="single" w:color="auto" w:sz="4" w:space="0"/>
              <w:left w:val="single" w:color="auto" w:sz="4" w:space="0"/>
              <w:bottom w:val="single" w:color="auto" w:sz="4" w:space="0"/>
              <w:right w:val="single" w:color="auto" w:sz="4" w:space="0"/>
            </w:tcBorders>
            <w:vAlign w:val="center"/>
          </w:tcPr>
          <w:p>
            <w:pPr>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1、成交供应商在调查过程获取的调查成果数据必须全部提交给采购人，不得外传和留存。</w:t>
            </w:r>
          </w:p>
          <w:p>
            <w:pPr>
              <w:wordWrap/>
              <w:adjustRightInd/>
              <w:snapToGrid/>
              <w:spacing w:line="440" w:lineRule="exact"/>
              <w:jc w:val="left"/>
              <w:textAlignment w:val="auto"/>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2、本项目采购预算金额为</w:t>
            </w:r>
            <w:r>
              <w:rPr>
                <w:rFonts w:hint="eastAsia" w:ascii="宋体" w:hAnsi="宋体" w:eastAsia="宋体" w:cs="宋体"/>
                <w:b/>
                <w:bCs/>
                <w:color w:val="000000" w:themeColor="text1"/>
                <w:sz w:val="21"/>
                <w:szCs w:val="21"/>
                <w:highlight w:val="none"/>
                <w:lang w:val="zh-CN"/>
                <w14:textFill>
                  <w14:solidFill>
                    <w14:schemeClr w14:val="tx1"/>
                  </w14:solidFill>
                </w14:textFill>
              </w:rPr>
              <w:t>玖拾万元整（¥9</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0</w:t>
            </w:r>
            <w:r>
              <w:rPr>
                <w:rFonts w:hint="eastAsia" w:ascii="宋体" w:hAnsi="宋体" w:eastAsia="宋体" w:cs="宋体"/>
                <w:b/>
                <w:bCs/>
                <w:color w:val="000000" w:themeColor="text1"/>
                <w:sz w:val="21"/>
                <w:szCs w:val="21"/>
                <w:highlight w:val="none"/>
                <w:lang w:val="zh-CN"/>
                <w14:textFill>
                  <w14:solidFill>
                    <w14:schemeClr w14:val="tx1"/>
                  </w14:solidFill>
                </w14:textFill>
              </w:rPr>
              <w:t>0000.00），本项目采用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固定金额</w:t>
            </w:r>
            <w:r>
              <w:rPr>
                <w:rFonts w:hint="eastAsia" w:ascii="宋体" w:hAnsi="宋体" w:eastAsia="宋体" w:cs="宋体"/>
                <w:b/>
                <w:bCs/>
                <w:color w:val="000000" w:themeColor="text1"/>
                <w:sz w:val="21"/>
                <w:szCs w:val="21"/>
                <w:highlight w:val="none"/>
                <w:lang w:val="zh-CN"/>
                <w14:textFill>
                  <w14:solidFill>
                    <w14:schemeClr w14:val="tx1"/>
                  </w14:solidFill>
                </w14:textFill>
              </w:rPr>
              <w:t>报价，报价超过</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预算</w:t>
            </w:r>
            <w:r>
              <w:rPr>
                <w:rFonts w:hint="eastAsia" w:ascii="宋体" w:hAnsi="宋体" w:eastAsia="宋体" w:cs="宋体"/>
                <w:b/>
                <w:bCs/>
                <w:color w:val="000000" w:themeColor="text1"/>
                <w:sz w:val="21"/>
                <w:szCs w:val="21"/>
                <w:highlight w:val="none"/>
                <w:lang w:val="zh-CN"/>
                <w14:textFill>
                  <w14:solidFill>
                    <w14:schemeClr w14:val="tx1"/>
                  </w14:solidFill>
                </w14:textFill>
              </w:rPr>
              <w:t>价的，响应文件作无效处理。</w:t>
            </w:r>
          </w:p>
          <w:p>
            <w:pPr>
              <w:wordWrap/>
              <w:adjustRightInd/>
              <w:snapToGrid/>
              <w:spacing w:line="440" w:lineRule="exact"/>
              <w:jc w:val="left"/>
              <w:textAlignment w:val="auto"/>
              <w:rPr>
                <w:rFonts w:hint="eastAsia" w:ascii="宋体" w:hAnsi="宋体" w:eastAsia="宋体" w:cs="宋体"/>
                <w:color w:val="000000" w:themeColor="text1"/>
                <w:sz w:val="21"/>
                <w:szCs w:val="21"/>
                <w:highlight w:val="none"/>
                <w:lang w:val="zh-CN"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lang w:val="zh-CN" w:eastAsia="zh-CN"/>
                <w14:textFill>
                  <w14:solidFill>
                    <w14:schemeClr w14:val="tx1"/>
                  </w14:solidFill>
                </w14:textFill>
              </w:rPr>
              <w:t>本项目</w:t>
            </w:r>
            <w:r>
              <w:rPr>
                <w:rFonts w:hint="eastAsia" w:ascii="宋体" w:hAnsi="宋体" w:cs="宋体"/>
                <w:color w:val="000000" w:themeColor="text1"/>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sz w:val="21"/>
                <w:szCs w:val="21"/>
                <w:highlight w:val="none"/>
                <w:lang w:val="zh-CN" w:eastAsia="zh-CN"/>
                <w14:textFill>
                  <w14:solidFill>
                    <w14:schemeClr w14:val="tx1"/>
                  </w14:solidFill>
                </w14:textFill>
              </w:rPr>
              <w:t>设计劳务费补偿，所有</w:t>
            </w:r>
            <w:r>
              <w:rPr>
                <w:rFonts w:hint="eastAsia" w:ascii="宋体" w:hAnsi="宋体" w:eastAsia="宋体" w:cs="宋体"/>
                <w:color w:val="000000" w:themeColor="text1"/>
                <w:sz w:val="21"/>
                <w:szCs w:val="21"/>
                <w:highlight w:val="none"/>
                <w:lang w:val="en-US" w:eastAsia="zh-CN"/>
                <w14:textFill>
                  <w14:solidFill>
                    <w14:schemeClr w14:val="tx1"/>
                  </w14:solidFill>
                </w14:textFill>
              </w:rPr>
              <w:t>竞标</w:t>
            </w:r>
            <w:r>
              <w:rPr>
                <w:rFonts w:hint="eastAsia" w:ascii="宋体" w:hAnsi="宋体" w:eastAsia="宋体" w:cs="宋体"/>
                <w:color w:val="000000" w:themeColor="text1"/>
                <w:sz w:val="21"/>
                <w:szCs w:val="21"/>
                <w:highlight w:val="none"/>
                <w:lang w:val="zh-CN" w:eastAsia="zh-CN"/>
                <w14:textFill>
                  <w14:solidFill>
                    <w14:schemeClr w14:val="tx1"/>
                  </w14:solidFill>
                </w14:textFill>
              </w:rPr>
              <w:t>产生的费用均由供应商自行承担。</w:t>
            </w:r>
          </w:p>
          <w:p>
            <w:pPr>
              <w:wordWrap/>
              <w:adjustRightInd/>
              <w:snapToGrid/>
              <w:spacing w:line="440" w:lineRule="exact"/>
              <w:jc w:val="left"/>
              <w:textAlignment w:val="auto"/>
              <w:rPr>
                <w:rFonts w:hint="eastAsia" w:ascii="宋体" w:hAnsi="宋体" w:eastAsia="宋体" w:cs="宋体"/>
                <w:color w:val="000000" w:themeColor="text1"/>
                <w:sz w:val="21"/>
                <w:szCs w:val="21"/>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4、设计实施过程中，所涉及社区如有调整的，以采购人实际调整要求为准。</w:t>
            </w:r>
          </w:p>
        </w:tc>
      </w:tr>
    </w:tbl>
    <w:p>
      <w:pPr>
        <w:rPr>
          <w:color w:val="000000" w:themeColor="text1"/>
          <w:highlight w:val="none"/>
          <w14:textFill>
            <w14:solidFill>
              <w14:schemeClr w14:val="tx1"/>
            </w14:solidFill>
          </w14:textFill>
        </w:rPr>
      </w:pPr>
    </w:p>
    <w:p>
      <w:pPr>
        <w:pStyle w:val="3"/>
        <w:jc w:val="center"/>
        <w:rPr>
          <w:rStyle w:val="54"/>
          <w:rFonts w:hint="eastAsia"/>
          <w:b/>
          <w:bCs/>
          <w:color w:val="000000" w:themeColor="text1"/>
          <w:highlight w:val="none"/>
          <w14:textFill>
            <w14:solidFill>
              <w14:schemeClr w14:val="tx1"/>
            </w14:solidFill>
          </w14:textFill>
        </w:rPr>
      </w:pPr>
      <w:bookmarkStart w:id="422" w:name="_Toc7344"/>
      <w:r>
        <w:rPr>
          <w:rStyle w:val="54"/>
          <w:rFonts w:hint="eastAsia"/>
          <w:b/>
          <w:bCs/>
          <w:color w:val="000000" w:themeColor="text1"/>
          <w:highlight w:val="none"/>
          <w14:textFill>
            <w14:solidFill>
              <w14:schemeClr w14:val="tx1"/>
            </w14:solidFill>
          </w14:textFill>
        </w:rPr>
        <w:br w:type="page"/>
      </w:r>
      <w:r>
        <w:rPr>
          <w:rStyle w:val="54"/>
          <w:rFonts w:hint="eastAsia"/>
          <w:b/>
          <w:bCs/>
          <w:color w:val="000000" w:themeColor="text1"/>
          <w:highlight w:val="none"/>
          <w14:textFill>
            <w14:solidFill>
              <w14:schemeClr w14:val="tx1"/>
            </w14:solidFill>
          </w14:textFill>
        </w:rPr>
        <w:t>第四章  评审办法</w:t>
      </w:r>
      <w:bookmarkEnd w:id="422"/>
    </w:p>
    <w:p>
      <w:pPr>
        <w:pStyle w:val="57"/>
        <w:widowControl w:val="0"/>
        <w:wordWrap/>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评审依据及方式</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 磋商小组构成：本采购项目的评委分别由依法组成的专家、采购单位代表共 3 人构成，其中专家人数不少于成员总数的三分之二。</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（二）评标方式：以封闭方式进行。</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（三）采购人和采购代理机构、磋商小组成员要严格遵守相关法律制度，依法履行各自职责，公正、客观、审慎地组织和参与评审工作。</w:t>
      </w:r>
    </w:p>
    <w:p>
      <w:pPr>
        <w:pStyle w:val="57"/>
        <w:widowControl w:val="0"/>
        <w:wordWrap/>
        <w:spacing w:line="44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二、评定方法</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（一）对进入详评的，采用百分制综合评分法。</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（二）计分办法（按四舍五入取至百分位）：</w:t>
      </w:r>
    </w:p>
    <w:p>
      <w:pPr>
        <w:pStyle w:val="57"/>
        <w:widowControl w:val="0"/>
        <w:wordWrap/>
        <w:spacing w:line="440" w:lineRule="exact"/>
        <w:ind w:firstLine="211" w:firstLineChars="1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1、价格分……………………………………………………………………………………………满分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color w:val="000000" w:themeColor="text1"/>
          <w:sz w:val="21"/>
          <w:szCs w:val="21"/>
          <w:highlight w:val="none"/>
          <w14:textFill>
            <w14:solidFill>
              <w14:schemeClr w14:val="tx1"/>
            </w14:solidFill>
          </w14:textFill>
        </w:rPr>
        <w:t>0分</w:t>
      </w:r>
    </w:p>
    <w:p>
      <w:pPr>
        <w:pStyle w:val="21"/>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（1）评标价为供应商的磋商报价进行政策性扣除后的价格，评标价只是作为评标时使用。最终成交供应商的成交价＝磋商报价。</w:t>
      </w:r>
    </w:p>
    <w:p>
      <w:pPr>
        <w:pStyle w:val="21"/>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供应商为大中型企业与小型、微型企业组成联合体参与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，其中小型、微型企业的协议合同金额占到联合体协议合同总金额 30%以上（供应商须于《联合体协议书》中明确约定小型、微型企业的协议合同金额及所占比例，该金额应与谈判报价表所报金额对应一致），联合体供应商最后报价给予2%的价格扣除，扣除后的价格为评审报价，即评审报价=最后报价×（1-2%）</w:t>
      </w:r>
    </w:p>
    <w:p>
      <w:pPr>
        <w:pStyle w:val="21"/>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按照《政府采购促进中小企业发展管理办法》（财库〔2020〕46号）的规定，磋商供应商认定为小型和微型企业的（以响应文件提供《中小企业声明函》为准），对磋商报价给予20%的扣除，扣除后的价格为评标价，即评标价=磋商报价×（1-20%）；除上述情况外，评标价=磋商报价。</w:t>
      </w:r>
    </w:p>
    <w:p>
      <w:pPr>
        <w:pStyle w:val="21"/>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sz w:val="21"/>
          <w:szCs w:val="21"/>
          <w:highlight w:val="none"/>
          <w14:textFill>
            <w14:solidFill>
              <w14:schemeClr w14:val="tx1"/>
            </w14:solidFill>
          </w14:textFill>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pPr>
        <w:pStyle w:val="21"/>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14:textFill>
            <w14:solidFill>
              <w14:schemeClr w14:val="tx1"/>
            </w14:solidFill>
          </w14:textFill>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pPr>
        <w:pStyle w:val="21"/>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sz w:val="21"/>
          <w:szCs w:val="21"/>
          <w:highlight w:val="none"/>
          <w14:textFill>
            <w14:solidFill>
              <w14:schemeClr w14:val="tx1"/>
            </w14:solidFill>
          </w14:textFill>
        </w:rPr>
        <w:t>）以进入综合评分环节的最低的评标价为基准价，基准价报价得分为</w:t>
      </w:r>
      <w:r>
        <w:rPr>
          <w:rFonts w:hint="eastAsia"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0分。</w:t>
      </w:r>
    </w:p>
    <w:p>
      <w:pPr>
        <w:pStyle w:val="21"/>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sz w:val="21"/>
          <w:szCs w:val="21"/>
          <w:highlight w:val="none"/>
          <w14:textFill>
            <w14:solidFill>
              <w14:schemeClr w14:val="tx1"/>
            </w14:solidFill>
          </w14:textFill>
        </w:rPr>
        <w:t>）价格分计算公式：</w:t>
      </w:r>
    </w:p>
    <w:p>
      <w:pPr>
        <w:pStyle w:val="21"/>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某供应商价格分=基准价/某供应商评标价×</w:t>
      </w:r>
      <w:r>
        <w:rPr>
          <w:rFonts w:hint="eastAsia" w:hAnsi="宋体" w:cs="宋体"/>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sz w:val="21"/>
          <w:szCs w:val="21"/>
          <w:highlight w:val="none"/>
          <w14:textFill>
            <w14:solidFill>
              <w14:schemeClr w14:val="tx1"/>
            </w14:solidFill>
          </w14:textFill>
        </w:rPr>
        <w:t>0分</w:t>
      </w:r>
    </w:p>
    <w:p>
      <w:pPr>
        <w:pStyle w:val="21"/>
        <w:widowControl w:val="0"/>
        <w:wordWrap/>
        <w:spacing w:line="44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注：（1）评标价为供应商的磋商报价进行政策性扣除后的价格，评标价只是作为评标时使用。最终成交价＝磋商报价。</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磋商小组认为某供应商的有效磋商报价或者某些分项报价明显低于其他通过资格及符合性审查供应商的报价，有可能影响服务质量或者不能诚信履约的，应当要求其在评标现场合理的时间内提供书面说明及相关证明材料【书面说明包含但不限于以下内容：①经过第三方审计的项目成本预算（各种人员工资、水电、燃料和管理等项费用成本）；②类似低成本的案例合同及其验收报告书；③低成本完成本项目成果要求及质量要求的合理性说明及措施】；供应商不能证明其磋商报价合理性的，磋商小组应当将其作为无效竞标处理。</w:t>
      </w:r>
    </w:p>
    <w:p>
      <w:pPr>
        <w:pStyle w:val="57"/>
        <w:widowControl w:val="0"/>
        <w:wordWrap/>
        <w:spacing w:line="440" w:lineRule="exact"/>
        <w:ind w:firstLine="211" w:firstLineChars="1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2、设计技术方案分…………………………………………………………………………………满分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color w:val="000000" w:themeColor="text1"/>
          <w:sz w:val="21"/>
          <w:szCs w:val="21"/>
          <w:highlight w:val="none"/>
          <w14:textFill>
            <w14:solidFill>
              <w14:schemeClr w14:val="tx1"/>
            </w14:solidFill>
          </w14:textFill>
        </w:rPr>
        <w:t>0分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423" w:name="OLE_LINK111"/>
      <w:bookmarkStart w:id="424" w:name="OLE_LINK112"/>
      <w:r>
        <w:rPr>
          <w:rFonts w:hint="eastAsia" w:ascii="宋体" w:hAnsi="宋体" w:eastAsia="宋体" w:cs="宋体"/>
          <w:color w:val="000000" w:themeColor="text1"/>
          <w:sz w:val="21"/>
          <w:szCs w:val="21"/>
          <w:highlight w:val="none"/>
          <w14:textFill>
            <w14:solidFill>
              <w14:schemeClr w14:val="tx1"/>
            </w14:solidFill>
          </w14:textFill>
        </w:rPr>
        <w:t>评审小组根据响应文件中实施方案，对比各供应商的响应文件，独立评审并在档次内打分。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（1）对本</w:t>
      </w:r>
      <w:r>
        <w:rPr>
          <w:rFonts w:hint="eastAsia" w:ascii="宋体" w:hAnsi="宋体" w:eastAsia="宋体" w:cs="宋体"/>
          <w:color w:val="000000" w:themeColor="text1"/>
          <w:sz w:val="21"/>
          <w:szCs w:val="21"/>
          <w:highlight w:val="none"/>
          <w:lang w:val="en-US" w:eastAsia="zh-CN"/>
          <w14:textFill>
            <w14:solidFill>
              <w14:schemeClr w14:val="tx1"/>
            </w14:solidFill>
          </w14:textFill>
        </w:rPr>
        <w:t>设计</w:t>
      </w:r>
      <w:r>
        <w:rPr>
          <w:rFonts w:hint="eastAsia" w:ascii="宋体" w:hAnsi="宋体" w:eastAsia="宋体" w:cs="宋体"/>
          <w:color w:val="000000" w:themeColor="text1"/>
          <w:sz w:val="21"/>
          <w:szCs w:val="21"/>
          <w:highlight w:val="none"/>
          <w14:textFill>
            <w14:solidFill>
              <w14:schemeClr w14:val="tx1"/>
            </w14:solidFill>
          </w14:textFill>
        </w:rPr>
        <w:t>项目的理解（满分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包含但不限于：对工程概况、工程任务、工程规模、项目现状、项目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建设条件和相关设计的理解认识。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：对本项目任务理解与把握全面、深入、清晰、准确；</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：对本项目任务理解与把握较为全面、清晰；</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：对本项目任务理解与把握一般；</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：对本项目任务不理解，把握不准确。</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设计说明书</w:t>
      </w:r>
      <w:r>
        <w:rPr>
          <w:rFonts w:hint="eastAsia"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包含但不限于：道路、建筑、绿化亮化、管线工程</w:t>
      </w:r>
      <w:r>
        <w:rPr>
          <w:rFonts w:hint="eastAsia" w:ascii="宋体" w:hAnsi="宋体" w:eastAsia="宋体" w:cs="宋体"/>
          <w:color w:val="000000" w:themeColor="text1"/>
          <w:sz w:val="21"/>
          <w:szCs w:val="21"/>
          <w:highlight w:val="none"/>
          <w:lang w:eastAsia="zh-CN"/>
          <w14:textFill>
            <w14:solidFill>
              <w14:schemeClr w14:val="tx1"/>
            </w14:solidFill>
          </w14:textFill>
        </w:rPr>
        <w:t>、海绵城市</w:t>
      </w:r>
      <w:r>
        <w:rPr>
          <w:rFonts w:hint="eastAsia" w:ascii="宋体" w:hAnsi="宋体" w:eastAsia="宋体" w:cs="宋体"/>
          <w:color w:val="000000" w:themeColor="text1"/>
          <w:sz w:val="21"/>
          <w:szCs w:val="21"/>
          <w:highlight w:val="none"/>
          <w14:textFill>
            <w14:solidFill>
              <w14:schemeClr w14:val="tx1"/>
            </w14:solidFill>
          </w14:textFill>
        </w:rPr>
        <w:t>等的论述。</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：描述详细、清晰、合理；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：描述较详细、较清晰、较合理；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：描述基本详细、基本清晰、基本合理；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：描述不详细、不清晰、不合理。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（3）项目</w:t>
      </w:r>
      <w:r>
        <w:rPr>
          <w:rFonts w:hint="eastAsia" w:ascii="宋体" w:hAnsi="宋体" w:eastAsia="宋体" w:cs="宋体"/>
          <w:color w:val="000000" w:themeColor="text1"/>
          <w:sz w:val="21"/>
          <w:szCs w:val="21"/>
          <w:highlight w:val="none"/>
          <w14:textFill>
            <w14:solidFill>
              <w14:schemeClr w14:val="tx1"/>
            </w14:solidFill>
          </w14:textFill>
        </w:rPr>
        <w:t>技术说明和方案（满分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包含但不限于：项目目标（质量、工期）、项目实施组织形式、项目阶段划分、项目工作分解结构、</w:t>
      </w:r>
      <w:r>
        <w:rPr>
          <w:rFonts w:hint="eastAsia" w:ascii="宋体" w:hAnsi="宋体" w:eastAsia="宋体" w:cs="宋体"/>
          <w:color w:val="000000" w:themeColor="text1"/>
          <w:sz w:val="21"/>
          <w:szCs w:val="21"/>
          <w:highlight w:val="none"/>
          <w:lang w:eastAsia="zh-CN"/>
          <w14:textFill>
            <w14:solidFill>
              <w14:schemeClr w14:val="tx1"/>
            </w14:solidFill>
          </w14:textFill>
        </w:rPr>
        <w:t>项目技术方案、</w:t>
      </w:r>
      <w:r>
        <w:rPr>
          <w:rFonts w:hint="eastAsia" w:ascii="宋体" w:hAnsi="宋体" w:eastAsia="宋体" w:cs="宋体"/>
          <w:color w:val="000000" w:themeColor="text1"/>
          <w:sz w:val="21"/>
          <w:szCs w:val="21"/>
          <w:highlight w:val="none"/>
          <w14:textFill>
            <w14:solidFill>
              <w14:schemeClr w14:val="tx1"/>
            </w14:solidFill>
          </w14:textFill>
        </w:rPr>
        <w:t>对项目各阶段工作及文件的要求、项目沟通与协调程序。</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：描述详细、清晰、合理；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：描述较详细、较清晰、较合理；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：描述基本详细、基本清晰、基本合理；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：描述不详细、不清晰、不合理。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（4）进度保证措施（满分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优</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10分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对本项目进度计划及进度保证措施，描述详细、合理；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良</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7分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对本项目进度计划及进度保证措施，描述较详细、较合理；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4分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对本项目进度计划及进度保证措施，描述基本详细、基本合理；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差</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2分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：根据</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14:textFill>
            <w14:solidFill>
              <w14:schemeClr w14:val="tx1"/>
            </w14:solidFill>
          </w14:textFill>
        </w:rPr>
        <w:t>对本项目进度计划及进度保证措施，描述不详细、不合理。</w:t>
      </w:r>
    </w:p>
    <w:p>
      <w:pPr>
        <w:pStyle w:val="57"/>
        <w:widowControl w:val="0"/>
        <w:wordWrap/>
        <w:spacing w:line="44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注：供应商未提供</w:t>
      </w:r>
      <w:r>
        <w:rPr>
          <w:rFonts w:hint="eastAsia" w:ascii="宋体" w:hAnsi="宋体" w:eastAsia="宋体" w:cs="宋体"/>
          <w:b/>
          <w:color w:val="000000" w:themeColor="text1"/>
          <w:sz w:val="21"/>
          <w:szCs w:val="21"/>
          <w:highlight w:val="none"/>
          <w14:textFill>
            <w14:solidFill>
              <w14:schemeClr w14:val="tx1"/>
            </w14:solidFill>
          </w14:textFill>
        </w:rPr>
        <w:t>“设计技术方案</w:t>
      </w:r>
      <w:r>
        <w:rPr>
          <w:rFonts w:hint="eastAsia" w:ascii="宋体" w:hAnsi="宋体" w:eastAsia="宋体" w:cs="宋体"/>
          <w:b/>
          <w:bCs/>
          <w:color w:val="000000" w:themeColor="text1"/>
          <w:sz w:val="21"/>
          <w:szCs w:val="21"/>
          <w:highlight w:val="none"/>
          <w14:textFill>
            <w14:solidFill>
              <w14:schemeClr w14:val="tx1"/>
            </w14:solidFill>
          </w14:textFill>
        </w:rPr>
        <w:t>”的不得分。</w:t>
      </w:r>
    </w:p>
    <w:bookmarkEnd w:id="423"/>
    <w:bookmarkEnd w:id="424"/>
    <w:p>
      <w:pPr>
        <w:pStyle w:val="57"/>
        <w:widowControl w:val="0"/>
        <w:wordWrap/>
        <w:spacing w:line="440" w:lineRule="exact"/>
        <w:ind w:firstLine="211" w:firstLineChars="1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3、服务承诺分………………………………………………………………………………………满分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b/>
          <w:bCs/>
          <w:color w:val="000000" w:themeColor="text1"/>
          <w:sz w:val="21"/>
          <w:szCs w:val="21"/>
          <w:highlight w:val="none"/>
          <w14:textFill>
            <w14:solidFill>
              <w14:schemeClr w14:val="tx1"/>
            </w14:solidFill>
          </w14:textFill>
        </w:rPr>
        <w:t>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磋商小组根据各供应商的设计服务承诺（内容包括但不限于服务内容、服务措施、服务响应速度、后续服务承诺等方面）的优劣程度进行独立打分：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一档（4分）：设计服务承诺内容（服务内容、服务措施、服务响应速度、修改调整承诺、后续服务方案等方面）简单，各项承诺内容不够全面或缺项；</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二档（</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分）：设计服务承诺内容（服务内容、服务措施、服务响应速度、修改调整承诺、后续服务方案等方面）较完整，各项承诺内容基本合理，具有一定针对性，基本满足项目需求；</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三档（</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 xml:space="preserve"> 分）：设计服务承诺内容（服务内容、服务措施、服务响应速度、修改调整承诺、后续服务方案等方面）详细，各项承诺内容合理，针对性强，完全满足项目需求，充分为采购人考虑。</w:t>
      </w:r>
    </w:p>
    <w:p>
      <w:pPr>
        <w:pStyle w:val="16"/>
        <w:widowControl w:val="0"/>
        <w:wordWrap/>
        <w:autoSpaceDE w:val="0"/>
        <w:autoSpaceDN w:val="0"/>
        <w:spacing w:line="440" w:lineRule="exact"/>
        <w:ind w:firstLine="422" w:firstLineChars="2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注：供应商未提供</w:t>
      </w:r>
      <w:r>
        <w:rPr>
          <w:rFonts w:hint="eastAsia" w:ascii="宋体" w:hAnsi="宋体" w:eastAsia="宋体" w:cs="宋体"/>
          <w:b/>
          <w:color w:val="000000" w:themeColor="text1"/>
          <w:sz w:val="21"/>
          <w:szCs w:val="21"/>
          <w:highlight w:val="none"/>
          <w14:textFill>
            <w14:solidFill>
              <w14:schemeClr w14:val="tx1"/>
            </w14:solidFill>
          </w14:textFill>
        </w:rPr>
        <w:t>“服务承诺</w:t>
      </w:r>
      <w:r>
        <w:rPr>
          <w:rFonts w:hint="eastAsia" w:ascii="宋体" w:hAnsi="宋体" w:eastAsia="宋体" w:cs="宋体"/>
          <w:b/>
          <w:bCs/>
          <w:color w:val="000000" w:themeColor="text1"/>
          <w:sz w:val="21"/>
          <w:szCs w:val="21"/>
          <w:highlight w:val="none"/>
          <w14:textFill>
            <w14:solidFill>
              <w14:schemeClr w14:val="tx1"/>
            </w14:solidFill>
          </w14:textFill>
        </w:rPr>
        <w:t>”的不得分。</w:t>
      </w:r>
    </w:p>
    <w:p>
      <w:pPr>
        <w:pStyle w:val="57"/>
        <w:widowControl w:val="0"/>
        <w:wordWrap/>
        <w:spacing w:line="440" w:lineRule="exact"/>
        <w:ind w:firstLine="211" w:firstLineChars="10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4、企业实力分………………………………………………………………………………………满分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28</w:t>
      </w:r>
      <w:r>
        <w:rPr>
          <w:rFonts w:hint="eastAsia" w:ascii="宋体" w:hAnsi="宋体" w:eastAsia="宋体" w:cs="宋体"/>
          <w:b/>
          <w:bCs/>
          <w:color w:val="000000" w:themeColor="text1"/>
          <w:sz w:val="21"/>
          <w:szCs w:val="21"/>
          <w:highlight w:val="none"/>
          <w14:textFill>
            <w14:solidFill>
              <w14:schemeClr w14:val="tx1"/>
            </w14:solidFill>
          </w14:textFill>
        </w:rPr>
        <w:t>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供应商自2020年1月1日至本项目投标截止之日止，承接或完成过类似设计业绩的每一项得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注：类似设计业绩是指：城镇老旧小区改造等相似改造业绩；</w:t>
      </w:r>
      <w:r>
        <w:rPr>
          <w:rFonts w:hint="eastAsia" w:ascii="宋体" w:hAnsi="宋体" w:eastAsia="宋体" w:cs="宋体"/>
          <w:color w:val="000000" w:themeColor="text1"/>
          <w:sz w:val="21"/>
          <w:szCs w:val="21"/>
          <w:highlight w:val="none"/>
          <w14:textFill>
            <w14:solidFill>
              <w14:schemeClr w14:val="tx1"/>
            </w14:solidFill>
          </w14:textFill>
        </w:rPr>
        <w:t>需提供中标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通知书或合同协议书，以中标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通知书或合同协议书日期为准。</w:t>
      </w:r>
    </w:p>
    <w:p>
      <w:pPr>
        <w:pStyle w:val="57"/>
        <w:widowControl w:val="0"/>
        <w:wordWrap/>
        <w:spacing w:line="440" w:lineRule="exact"/>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eastAsia="zh-CN"/>
          <w14:textFill>
            <w14:solidFill>
              <w14:schemeClr w14:val="tx1"/>
            </w14:solidFill>
          </w14:textFill>
        </w:rPr>
        <w:t>近3年获得过国家级优秀工程勘察设计奖项，每项得2分；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eastAsia="zh-CN"/>
          <w14:textFill>
            <w14:solidFill>
              <w14:schemeClr w14:val="tx1"/>
            </w14:solidFill>
          </w14:textFill>
        </w:rPr>
        <w:t>近3年获得过省（自治区、直辖市）级优秀工程勘察设计奖项，每项得1分；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eastAsia="zh-CN"/>
          <w14:textFill>
            <w14:solidFill>
              <w14:schemeClr w14:val="tx1"/>
            </w14:solidFill>
          </w14:textFill>
        </w:rPr>
        <w:t>近3年获得过设区市级优秀工程勘察设计奖项， 每项得0.5分；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本项满分10分。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w:t>
      </w:r>
      <w:r>
        <w:rPr>
          <w:rFonts w:hint="eastAsia" w:ascii="宋体" w:hAnsi="宋体" w:eastAsia="宋体" w:cs="宋体"/>
          <w:color w:val="000000" w:themeColor="text1"/>
          <w:sz w:val="21"/>
          <w:szCs w:val="21"/>
          <w:highlight w:val="none"/>
          <w:lang w:eastAsia="zh-CN"/>
          <w14:textFill>
            <w14:solidFill>
              <w14:schemeClr w14:val="tx1"/>
            </w14:solidFill>
          </w14:textFill>
        </w:rPr>
        <w:t>“优秀工程勘察设计奖”，是指由各级住房城乡建设主管部门或各级勘察设计协会评定的优秀工程勘察设计奖项，其他奖项均不计分。其中“国家级”，指“全国优秀工程勘察设计金（银、铜）奖或全国优秀工程勘察设计行业一、二、三等奖”。</w:t>
      </w:r>
      <w:r>
        <w:rPr>
          <w:rFonts w:hint="eastAsia" w:ascii="宋体" w:hAnsi="宋体" w:eastAsia="宋体" w:cs="宋体"/>
          <w:color w:val="000000" w:themeColor="text1"/>
          <w:sz w:val="21"/>
          <w:szCs w:val="21"/>
          <w:highlight w:val="none"/>
          <w:lang w:val="en-US" w:eastAsia="zh-CN"/>
          <w14:textFill>
            <w14:solidFill>
              <w14:schemeClr w14:val="tx1"/>
            </w14:solidFill>
          </w14:textFill>
        </w:rPr>
        <w:t>【备注：同一工程项目同类型的奖项，以最高奖项计分，不重复计分。】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）设计实施人员配备</w:t>
      </w:r>
      <w:r>
        <w:rPr>
          <w:rFonts w:hint="eastAsia" w:ascii="宋体" w:hAnsi="宋体" w:eastAsia="宋体" w:cs="宋体"/>
          <w:color w:val="000000" w:themeColor="text1"/>
          <w:sz w:val="21"/>
          <w:szCs w:val="21"/>
          <w:highlight w:val="none"/>
          <w:lang w:val="en-US" w:eastAsia="zh-CN"/>
          <w14:textFill>
            <w14:solidFill>
              <w14:schemeClr w14:val="tx1"/>
            </w14:solidFill>
          </w14:textFill>
        </w:rPr>
        <w:t>（满分6分）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最低人员配备（除项目负责人外）：房屋建筑专业1人，市政道路专业1人、给排水专业1人、电气专业1人、园林绿化专业1人。各专业设计人员均具备工程师或以上职称得1分（此项满分1分）。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w:t>
      </w:r>
      <w:r>
        <w:rPr>
          <w:rFonts w:hint="eastAsia" w:ascii="宋体" w:hAnsi="宋体" w:eastAsia="宋体" w:cs="宋体"/>
          <w:color w:val="000000" w:themeColor="text1"/>
          <w:sz w:val="21"/>
          <w:szCs w:val="21"/>
          <w:highlight w:val="none"/>
          <w:lang w:eastAsia="zh-CN"/>
          <w14:textFill>
            <w14:solidFill>
              <w14:schemeClr w14:val="tx1"/>
            </w14:solidFill>
          </w14:textFill>
        </w:rPr>
        <w:t>拟投入本项目的专业设计人员：房屋建筑专业，市政道路专业、给排水专业、电气专业、园林绿化专业中，任意专业多加一人得0.5分（此项满分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w:t>
      </w:r>
      <w:r>
        <w:rPr>
          <w:rFonts w:hint="eastAsia" w:ascii="宋体" w:hAnsi="宋体" w:eastAsia="宋体" w:cs="宋体"/>
          <w:color w:val="000000" w:themeColor="text1"/>
          <w:sz w:val="21"/>
          <w:szCs w:val="21"/>
          <w:highlight w:val="none"/>
          <w:lang w:eastAsia="zh-CN"/>
          <w14:textFill>
            <w14:solidFill>
              <w14:schemeClr w14:val="tx1"/>
            </w14:solidFill>
          </w14:textFill>
        </w:rPr>
        <w:t>拟投入本项目的人员具备高级及以上职称以及相关专业国家注册执业资格证书的，每专业得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分。（此项满分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pPr>
        <w:pStyle w:val="57"/>
        <w:widowControl w:val="0"/>
        <w:wordWrap/>
        <w:spacing w:line="440" w:lineRule="exact"/>
        <w:ind w:firstLine="420" w:firstLineChars="200"/>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注：提供拟投入人员身份证、相关证书、由县级以上（含县级）社会养老保险经办机构出具的供应商为拟投入项目人员交纳的投标截止时间当月前半年连续任意三个月社保证明（若为近期新聘员工的，以提供劳动合同证明材料复印件为准；若为退休人员的，以提供退休证及劳动合同证明材料复印件为准），否则不予计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（4）项目设计负责人资历（满分4分）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①项目设计负责人具有</w:t>
      </w:r>
      <w:r>
        <w:rPr>
          <w:rFonts w:hint="eastAsia" w:ascii="宋体" w:hAnsi="宋体" w:eastAsia="宋体" w:cs="宋体"/>
          <w:color w:val="000000" w:themeColor="text1"/>
          <w:sz w:val="21"/>
          <w:szCs w:val="21"/>
          <w:highlight w:val="none"/>
          <w14:textFill>
            <w14:solidFill>
              <w14:schemeClr w14:val="tx1"/>
            </w14:solidFill>
          </w14:textFill>
        </w:rPr>
        <w:t>注册土木工程师（道路工程）</w:t>
      </w:r>
      <w:r>
        <w:rPr>
          <w:rFonts w:hint="eastAsia" w:ascii="宋体" w:hAnsi="宋体" w:eastAsia="宋体" w:cs="宋体"/>
          <w:color w:val="000000" w:themeColor="text1"/>
          <w:sz w:val="21"/>
          <w:szCs w:val="21"/>
          <w:highlight w:val="none"/>
          <w:lang w:val="en-US" w:eastAsia="zh-CN"/>
          <w14:textFill>
            <w14:solidFill>
              <w14:schemeClr w14:val="tx1"/>
            </w14:solidFill>
          </w14:textFill>
        </w:rPr>
        <w:t>执业资格，同时具有道路与桥梁高级职称及以上职称的，得2分。</w:t>
      </w:r>
    </w:p>
    <w:p>
      <w:pPr>
        <w:pStyle w:val="57"/>
        <w:widowControl w:val="0"/>
        <w:wordWrap/>
        <w:spacing w:line="440" w:lineRule="exact"/>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②项目设计负责人获得省级以上（含省级）优秀勘察设计奖项的或获得省级以上（含省级）优秀设计师奖的，每个得2分，最高加2分。</w:t>
      </w:r>
    </w:p>
    <w:p>
      <w:pPr>
        <w:pStyle w:val="21"/>
        <w:widowControl w:val="0"/>
        <w:tabs>
          <w:tab w:val="left" w:pos="4214"/>
        </w:tabs>
        <w:wordWrap/>
        <w:spacing w:line="440" w:lineRule="exact"/>
        <w:ind w:firstLine="422"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综合得分＝1+2+3+4</w:t>
      </w:r>
    </w:p>
    <w:p>
      <w:pPr>
        <w:pStyle w:val="21"/>
        <w:widowControl w:val="0"/>
        <w:tabs>
          <w:tab w:val="left" w:pos="4214"/>
        </w:tabs>
        <w:wordWrap/>
        <w:spacing w:line="44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三、推荐及确定成交候选人原则</w:t>
      </w:r>
    </w:p>
    <w:p>
      <w:pPr>
        <w:widowControl w:val="0"/>
        <w:wordWrap/>
        <w:spacing w:line="44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（1）磋商小组应当根据综合得分由高到低排列次序，若得分相同时，以最后报价由低到高顺序排列；若仍相同的，依次按设计技术方案分、服务承诺分、企业实力分由高到低顺序排列并推荐成交候选供应商。</w:t>
      </w:r>
    </w:p>
    <w:p>
      <w:pPr>
        <w:widowControl w:val="0"/>
        <w:tabs>
          <w:tab w:val="left" w:pos="4214"/>
        </w:tabs>
        <w:wordWrap/>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（2）磋商小组可推荐前三名为中标候选人，采购人应当确定磋商小组推荐排名第一的中标候选人为成交供应商。</w:t>
      </w:r>
    </w:p>
    <w:p>
      <w:pPr>
        <w:widowControl w:val="0"/>
        <w:wordWrap/>
        <w:snapToGrid w:val="0"/>
        <w:spacing w:line="440" w:lineRule="exact"/>
        <w:ind w:firstLine="420" w:firstLineChars="200"/>
        <w:textAlignment w:val="auto"/>
        <w:outlineLvl w:val="4"/>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排名第一的中标候选人放弃中标、因不可抗力提出不能履行合同，或者磋商文件规定应当提交履约保证金而在规定的期限内未能提交的，或因失信行为被取消中标候选人资格的，采购人可以确定排名第二的中标候选人为成交供应商或者重新组织招标。</w:t>
      </w:r>
    </w:p>
    <w:p>
      <w:pPr>
        <w:widowControl w:val="0"/>
        <w:wordWrap/>
        <w:snapToGrid w:val="0"/>
        <w:spacing w:line="440" w:lineRule="exact"/>
        <w:ind w:firstLine="422" w:firstLineChars="200"/>
        <w:textAlignment w:val="auto"/>
        <w:outlineLvl w:val="4"/>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注：磋商小组认为供应商的报价明显低于其他通过符合性审查供应商的报价，有可能影响产品质量或者不能诚信履约的，应当要求其在合理的时间内在线提供书面说明，必要时提交相关证明材料，请各位供应商提前做好准备；供应商不能证明其报价合理性的，磋商小组应当将其作为无效竞标处理。</w:t>
      </w:r>
    </w:p>
    <w:p>
      <w:pPr>
        <w:snapToGrid w:val="0"/>
        <w:spacing w:line="360" w:lineRule="auto"/>
        <w:ind w:firstLine="420" w:firstLineChars="200"/>
        <w:outlineLvl w:val="4"/>
        <w:rPr>
          <w:rFonts w:hint="eastAsia" w:ascii="宋体" w:hAnsi="宋体" w:cs="宋体"/>
          <w:color w:val="000000" w:themeColor="text1"/>
          <w:szCs w:val="21"/>
          <w:highlight w:val="none"/>
          <w14:textFill>
            <w14:solidFill>
              <w14:schemeClr w14:val="tx1"/>
            </w14:solidFill>
          </w14:textFill>
        </w:rPr>
      </w:pPr>
    </w:p>
    <w:bookmarkEnd w:id="360"/>
    <w:p>
      <w:pPr>
        <w:pStyle w:val="3"/>
        <w:rPr>
          <w:rFonts w:hint="eastAsia" w:ascii="宋体" w:hAnsi="宋体" w:cs="宋体"/>
          <w:color w:val="000000" w:themeColor="text1"/>
          <w:highlight w:val="none"/>
          <w14:textFill>
            <w14:solidFill>
              <w14:schemeClr w14:val="tx1"/>
            </w14:solidFill>
          </w14:textFill>
        </w:rPr>
      </w:pPr>
      <w:r>
        <w:rPr>
          <w:rFonts w:ascii="Arial" w:hAnsi="Arial" w:cs="Arial"/>
          <w:b w:val="0"/>
          <w:bCs w:val="0"/>
          <w:color w:val="000000" w:themeColor="text1"/>
          <w:highlight w:val="none"/>
          <w14:textFill>
            <w14:solidFill>
              <w14:schemeClr w14:val="tx1"/>
            </w14:solidFill>
          </w14:textFill>
        </w:rPr>
        <w:br w:type="page"/>
      </w:r>
      <w:bookmarkStart w:id="425" w:name="_Toc14595"/>
      <w:bookmarkStart w:id="426" w:name="_Toc25587"/>
      <w:r>
        <w:rPr>
          <w:rStyle w:val="54"/>
          <w:b/>
          <w:bCs/>
          <w:color w:val="000000" w:themeColor="text1"/>
          <w:highlight w:val="none"/>
          <w14:textFill>
            <w14:solidFill>
              <w14:schemeClr w14:val="tx1"/>
            </w14:solidFill>
          </w14:textFill>
        </w:rPr>
        <w:t>第</w:t>
      </w:r>
      <w:r>
        <w:rPr>
          <w:rStyle w:val="54"/>
          <w:rFonts w:hint="eastAsia"/>
          <w:b/>
          <w:bCs/>
          <w:color w:val="000000" w:themeColor="text1"/>
          <w:highlight w:val="none"/>
          <w14:textFill>
            <w14:solidFill>
              <w14:schemeClr w14:val="tx1"/>
            </w14:solidFill>
          </w14:textFill>
        </w:rPr>
        <w:t>五</w:t>
      </w:r>
      <w:r>
        <w:rPr>
          <w:rStyle w:val="54"/>
          <w:b/>
          <w:bCs/>
          <w:color w:val="000000" w:themeColor="text1"/>
          <w:highlight w:val="none"/>
          <w14:textFill>
            <w14:solidFill>
              <w14:schemeClr w14:val="tx1"/>
            </w14:solidFill>
          </w14:textFill>
        </w:rPr>
        <w:t xml:space="preserve">章  </w:t>
      </w:r>
      <w:bookmarkEnd w:id="425"/>
      <w:bookmarkStart w:id="427" w:name="_Toc24269"/>
      <w:r>
        <w:rPr>
          <w:rFonts w:hint="eastAsia" w:ascii="宋体" w:hAnsi="宋体" w:cs="宋体"/>
          <w:color w:val="000000" w:themeColor="text1"/>
          <w:highlight w:val="none"/>
          <w14:textFill>
            <w14:solidFill>
              <w14:schemeClr w14:val="tx1"/>
            </w14:solidFill>
          </w14:textFill>
        </w:rPr>
        <w:t>合同条款及格式</w:t>
      </w:r>
      <w:bookmarkEnd w:id="426"/>
    </w:p>
    <w:p>
      <w:pPr>
        <w:rPr>
          <w:rFonts w:hint="eastAsia" w:ascii="宋体" w:hAnsi="宋体" w:cs="宋体"/>
          <w:color w:val="000000" w:themeColor="text1"/>
          <w:highlight w:val="none"/>
          <w14:textFill>
            <w14:solidFill>
              <w14:schemeClr w14:val="tx1"/>
            </w14:solidFill>
          </w14:textFill>
        </w:rPr>
      </w:pPr>
    </w:p>
    <w:p>
      <w:pPr>
        <w:pStyle w:val="57"/>
        <w:rPr>
          <w:rFonts w:hint="eastAsia" w:ascii="宋体" w:hAnsi="宋体" w:eastAsia="宋体" w:cs="宋体"/>
          <w:color w:val="000000" w:themeColor="text1"/>
          <w:highlight w:val="none"/>
          <w14:textFill>
            <w14:solidFill>
              <w14:schemeClr w14:val="tx1"/>
            </w14:solidFill>
          </w14:textFill>
        </w:rPr>
      </w:pPr>
    </w:p>
    <w:p>
      <w:pPr>
        <w:pStyle w:val="57"/>
        <w:rPr>
          <w:rFonts w:hint="eastAsia" w:ascii="宋体" w:hAnsi="宋体" w:eastAsia="宋体" w:cs="宋体"/>
          <w:color w:val="000000" w:themeColor="text1"/>
          <w:highlight w:val="none"/>
          <w14:textFill>
            <w14:solidFill>
              <w14:schemeClr w14:val="tx1"/>
            </w14:solidFill>
          </w14:textFill>
        </w:rPr>
      </w:pPr>
    </w:p>
    <w:p>
      <w:pPr>
        <w:pStyle w:val="57"/>
        <w:rPr>
          <w:rFonts w:hint="eastAsia" w:ascii="宋体" w:hAnsi="宋体" w:eastAsia="宋体" w:cs="宋体"/>
          <w:color w:val="000000" w:themeColor="text1"/>
          <w:highlight w:val="none"/>
          <w14:textFill>
            <w14:solidFill>
              <w14:schemeClr w14:val="tx1"/>
            </w14:solidFill>
          </w14:textFill>
        </w:rPr>
      </w:pPr>
    </w:p>
    <w:p>
      <w:pPr>
        <w:pStyle w:val="57"/>
        <w:rPr>
          <w:rFonts w:hint="eastAsia" w:ascii="宋体" w:hAnsi="宋体" w:eastAsia="宋体" w:cs="宋体"/>
          <w:color w:val="000000" w:themeColor="text1"/>
          <w:highlight w:val="none"/>
          <w14:textFill>
            <w14:solidFill>
              <w14:schemeClr w14:val="tx1"/>
            </w14:solidFill>
          </w14:textFill>
        </w:rPr>
      </w:pPr>
    </w:p>
    <w:p>
      <w:pPr>
        <w:spacing w:line="276" w:lineRule="auto"/>
        <w:jc w:val="center"/>
        <w:rPr>
          <w:rFonts w:hint="eastAsia" w:ascii="宋体" w:hAnsi="宋体" w:cs="宋体"/>
          <w:b/>
          <w:bCs/>
          <w:color w:val="000000" w:themeColor="text1"/>
          <w:sz w:val="48"/>
          <w:szCs w:val="48"/>
          <w:highlight w:val="none"/>
          <w14:textFill>
            <w14:solidFill>
              <w14:schemeClr w14:val="tx1"/>
            </w14:solidFill>
          </w14:textFill>
        </w:rPr>
      </w:pPr>
      <w:bookmarkStart w:id="428" w:name="__RefHeading___Toc31224"/>
      <w:bookmarkEnd w:id="428"/>
      <w:r>
        <w:rPr>
          <w:rFonts w:hint="eastAsia" w:ascii="宋体" w:hAnsi="宋体" w:cs="宋体"/>
          <w:b/>
          <w:bCs/>
          <w:color w:val="000000" w:themeColor="text1"/>
          <w:sz w:val="48"/>
          <w:szCs w:val="48"/>
          <w:highlight w:val="none"/>
          <w:u w:val="single"/>
          <w14:textFill>
            <w14:solidFill>
              <w14:schemeClr w14:val="tx1"/>
            </w14:solidFill>
          </w14:textFill>
        </w:rPr>
        <w:t xml:space="preserve">项目名称 </w:t>
      </w:r>
      <w:r>
        <w:rPr>
          <w:rFonts w:hint="eastAsia" w:ascii="宋体" w:hAnsi="宋体" w:cs="宋体"/>
          <w:b/>
          <w:bCs/>
          <w:color w:val="000000" w:themeColor="text1"/>
          <w:sz w:val="48"/>
          <w:szCs w:val="48"/>
          <w:highlight w:val="none"/>
          <w14:textFill>
            <w14:solidFill>
              <w14:schemeClr w14:val="tx1"/>
            </w14:solidFill>
          </w14:textFill>
        </w:rPr>
        <w:t>采购合同</w:t>
      </w:r>
    </w:p>
    <w:p>
      <w:pPr>
        <w:pStyle w:val="57"/>
        <w:rPr>
          <w:rFonts w:hint="eastAsia" w:ascii="宋体" w:hAnsi="宋体" w:eastAsia="宋体" w:cs="宋体"/>
          <w:color w:val="000000" w:themeColor="text1"/>
          <w:sz w:val="52"/>
          <w:szCs w:val="52"/>
          <w:highlight w:val="none"/>
          <w14:textFill>
            <w14:solidFill>
              <w14:schemeClr w14:val="tx1"/>
            </w14:solidFill>
          </w14:textFill>
        </w:rPr>
      </w:pPr>
    </w:p>
    <w:p>
      <w:pPr>
        <w:pStyle w:val="57"/>
        <w:rPr>
          <w:rFonts w:hint="eastAsia" w:ascii="宋体" w:hAnsi="宋体" w:eastAsia="宋体" w:cs="宋体"/>
          <w:color w:val="000000" w:themeColor="text1"/>
          <w:sz w:val="52"/>
          <w:szCs w:val="52"/>
          <w:highlight w:val="none"/>
          <w14:textFill>
            <w14:solidFill>
              <w14:schemeClr w14:val="tx1"/>
            </w14:solidFill>
          </w14:textFill>
        </w:rPr>
      </w:pPr>
    </w:p>
    <w:p>
      <w:pPr>
        <w:pStyle w:val="57"/>
        <w:ind w:firstLine="1280" w:firstLineChars="400"/>
        <w:jc w:val="both"/>
        <w:rPr>
          <w:rFonts w:ascii="宋体" w:hAnsi="宋体" w:eastAsia="宋体" w:cs="宋体"/>
          <w:color w:val="000000" w:themeColor="text1"/>
          <w:sz w:val="52"/>
          <w:szCs w:val="5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合同编号：</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pPr>
        <w:snapToGrid w:val="0"/>
        <w:spacing w:line="276" w:lineRule="auto"/>
        <w:rPr>
          <w:rFonts w:hint="eastAsia" w:ascii="宋体" w:hAnsi="宋体" w:cs="宋体"/>
          <w:color w:val="000000" w:themeColor="text1"/>
          <w:szCs w:val="21"/>
          <w:highlight w:val="none"/>
          <w14:textFill>
            <w14:solidFill>
              <w14:schemeClr w14:val="tx1"/>
            </w14:solidFill>
          </w14:textFill>
        </w:rPr>
      </w:pPr>
      <w:bookmarkStart w:id="429" w:name="_Hlk508024709"/>
    </w:p>
    <w:p>
      <w:pPr>
        <w:snapToGrid w:val="0"/>
        <w:spacing w:line="276" w:lineRule="auto"/>
        <w:rPr>
          <w:rFonts w:hint="eastAsia" w:ascii="宋体" w:hAnsi="宋体" w:cs="宋体"/>
          <w:color w:val="000000" w:themeColor="text1"/>
          <w:highlight w:val="none"/>
          <w14:textFill>
            <w14:solidFill>
              <w14:schemeClr w14:val="tx1"/>
            </w14:solidFill>
          </w14:textFill>
        </w:rPr>
      </w:pPr>
    </w:p>
    <w:p>
      <w:pPr>
        <w:snapToGrid w:val="0"/>
        <w:spacing w:line="276" w:lineRule="auto"/>
        <w:rPr>
          <w:rFonts w:hint="eastAsia" w:ascii="宋体" w:hAnsi="宋体" w:cs="宋体"/>
          <w:color w:val="000000" w:themeColor="text1"/>
          <w:highlight w:val="none"/>
          <w14:textFill>
            <w14:solidFill>
              <w14:schemeClr w14:val="tx1"/>
            </w14:solidFill>
          </w14:textFill>
        </w:rPr>
      </w:pPr>
    </w:p>
    <w:p>
      <w:pPr>
        <w:snapToGrid w:val="0"/>
        <w:spacing w:line="276" w:lineRule="auto"/>
        <w:rPr>
          <w:rFonts w:hint="eastAsia" w:ascii="宋体" w:hAnsi="宋体" w:cs="宋体"/>
          <w:color w:val="000000" w:themeColor="text1"/>
          <w:highlight w:val="none"/>
          <w14:textFill>
            <w14:solidFill>
              <w14:schemeClr w14:val="tx1"/>
            </w14:solidFill>
          </w14:textFill>
        </w:rPr>
      </w:pPr>
    </w:p>
    <w:p>
      <w:pPr>
        <w:pStyle w:val="57"/>
        <w:rPr>
          <w:rFonts w:hint="eastAsia" w:ascii="宋体" w:hAnsi="宋体" w:cs="宋体"/>
          <w:color w:val="000000" w:themeColor="text1"/>
          <w:highlight w:val="none"/>
          <w14:textFill>
            <w14:solidFill>
              <w14:schemeClr w14:val="tx1"/>
            </w14:solidFill>
          </w14:textFill>
        </w:rPr>
      </w:pPr>
    </w:p>
    <w:p>
      <w:pPr>
        <w:pStyle w:val="57"/>
        <w:rPr>
          <w:rFonts w:hint="eastAsia" w:ascii="宋体" w:hAnsi="宋体" w:cs="宋体"/>
          <w:color w:val="000000" w:themeColor="text1"/>
          <w:highlight w:val="none"/>
          <w14:textFill>
            <w14:solidFill>
              <w14:schemeClr w14:val="tx1"/>
            </w14:solidFill>
          </w14:textFill>
        </w:rPr>
      </w:pPr>
    </w:p>
    <w:p>
      <w:pPr>
        <w:pStyle w:val="57"/>
        <w:rPr>
          <w:rFonts w:hint="eastAsia" w:ascii="宋体" w:hAnsi="宋体" w:cs="宋体"/>
          <w:color w:val="000000" w:themeColor="text1"/>
          <w:highlight w:val="none"/>
          <w14:textFill>
            <w14:solidFill>
              <w14:schemeClr w14:val="tx1"/>
            </w14:solidFill>
          </w14:textFill>
        </w:rPr>
      </w:pPr>
    </w:p>
    <w:p>
      <w:pPr>
        <w:pStyle w:val="57"/>
        <w:rPr>
          <w:rFonts w:hint="eastAsia" w:ascii="宋体" w:hAnsi="宋体" w:cs="宋体"/>
          <w:color w:val="000000" w:themeColor="text1"/>
          <w:highlight w:val="none"/>
          <w14:textFill>
            <w14:solidFill>
              <w14:schemeClr w14:val="tx1"/>
            </w14:solidFill>
          </w14:textFill>
        </w:rPr>
      </w:pPr>
    </w:p>
    <w:p>
      <w:pPr>
        <w:pStyle w:val="57"/>
        <w:spacing w:line="360" w:lineRule="auto"/>
        <w:ind w:firstLine="1280" w:firstLineChars="400"/>
        <w:rPr>
          <w:rFonts w:ascii="宋体" w:hAnsi="宋体" w:eastAsia="宋体" w:cs="宋体"/>
          <w:color w:val="000000" w:themeColor="text1"/>
          <w:sz w:val="32"/>
          <w:szCs w:val="32"/>
          <w:highlight w:val="none"/>
          <w:u w:val="singl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项目名称：</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pPr>
        <w:pStyle w:val="57"/>
        <w:spacing w:line="360" w:lineRule="auto"/>
        <w:ind w:firstLine="1280" w:firstLineChars="4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采购编号：</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pPr>
        <w:pStyle w:val="57"/>
        <w:spacing w:line="360" w:lineRule="auto"/>
        <w:ind w:firstLine="1280" w:firstLineChars="4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委托方：</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pPr>
        <w:pStyle w:val="57"/>
        <w:spacing w:line="360" w:lineRule="auto"/>
        <w:ind w:firstLine="1280" w:firstLineChars="4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服务方：</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pPr>
        <w:pStyle w:val="57"/>
        <w:spacing w:line="360" w:lineRule="auto"/>
        <w:ind w:firstLine="1280" w:firstLineChars="400"/>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签订时间：</w:t>
      </w:r>
      <w:r>
        <w:rPr>
          <w:rFonts w:hint="eastAsia" w:ascii="宋体" w:hAnsi="宋体" w:eastAsia="宋体" w:cs="宋体"/>
          <w:color w:val="000000" w:themeColor="text1"/>
          <w:sz w:val="32"/>
          <w:szCs w:val="32"/>
          <w:highlight w:val="none"/>
          <w:u w:val="single"/>
          <w14:textFill>
            <w14:solidFill>
              <w14:schemeClr w14:val="tx1"/>
            </w14:solidFill>
          </w14:textFill>
        </w:rPr>
        <w:t xml:space="preserve">                       </w:t>
      </w:r>
    </w:p>
    <w:p>
      <w:pPr>
        <w:spacing w:line="440" w:lineRule="exact"/>
        <w:ind w:left="840" w:leftChars="0" w:firstLine="420" w:firstLineChars="0"/>
        <w:rPr>
          <w:rFonts w:hint="eastAsia" w:ascii="宋体" w:hAnsi="宋体" w:cs="宋体"/>
          <w:color w:val="000000" w:themeColor="text1"/>
          <w:sz w:val="32"/>
          <w:szCs w:val="32"/>
          <w:highlight w:val="none"/>
          <w:u w:val="singl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签订地点：</w:t>
      </w:r>
      <w:r>
        <w:rPr>
          <w:rFonts w:hint="eastAsia" w:ascii="宋体" w:hAnsi="宋体" w:cs="宋体"/>
          <w:color w:val="000000" w:themeColor="text1"/>
          <w:sz w:val="32"/>
          <w:szCs w:val="32"/>
          <w:highlight w:val="none"/>
          <w:u w:val="single"/>
          <w14:textFill>
            <w14:solidFill>
              <w14:schemeClr w14:val="tx1"/>
            </w14:solidFill>
          </w14:textFill>
        </w:rPr>
        <w:t xml:space="preserve">                      </w:t>
      </w:r>
      <w:bookmarkEnd w:id="429"/>
      <w:bookmarkStart w:id="430" w:name="__RefHeading___Toc28613"/>
      <w:bookmarkEnd w:id="430"/>
      <w:r>
        <w:rPr>
          <w:rFonts w:hint="eastAsia" w:ascii="宋体" w:hAnsi="宋体" w:cs="宋体"/>
          <w:color w:val="000000" w:themeColor="text1"/>
          <w:sz w:val="32"/>
          <w:szCs w:val="32"/>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br w:type="page"/>
      </w:r>
      <w:bookmarkEnd w:id="427"/>
      <w:r>
        <w:rPr>
          <w:rFonts w:hint="eastAsia" w:ascii="宋体" w:hAnsi="宋体" w:cs="宋体"/>
          <w:color w:val="000000" w:themeColor="text1"/>
          <w:szCs w:val="21"/>
          <w:highlight w:val="none"/>
          <w14:textFill>
            <w14:solidFill>
              <w14:schemeClr w14:val="tx1"/>
            </w14:solidFill>
          </w14:textFill>
        </w:rPr>
        <w:t>甲方：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（成交供应商）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统一社会信用代码：</w:t>
      </w:r>
      <w:r>
        <w:rPr>
          <w:rFonts w:hint="eastAsia" w:ascii="宋体" w:hAnsi="宋体" w:cs="宋体"/>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地址：</w:t>
      </w:r>
      <w:r>
        <w:rPr>
          <w:rFonts w:hint="eastAsia" w:ascii="宋体" w:hAnsi="宋体" w:cs="宋体"/>
          <w:color w:val="000000" w:themeColor="text1"/>
          <w:szCs w:val="21"/>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根据《中华人民共和国民法典》等法律法规的规定，遵循平等、自愿、公平和诚实信用的原则，双方就甲方委托乙方提供</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桂林市秀峰区2024年老旧小区改造工程设计</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服务有关事项协商一致，共同达成如下协议：</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第一条  工作依据</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u w:val="single"/>
          <w14:textFill>
            <w14:solidFill>
              <w14:schemeClr w14:val="tx1"/>
            </w14:solidFill>
          </w14:textFill>
        </w:rPr>
        <w:t>采购文件及成交通知书</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u w:val="single"/>
          <w14:textFill>
            <w14:solidFill>
              <w14:schemeClr w14:val="tx1"/>
            </w14:solidFill>
          </w14:textFill>
        </w:rPr>
        <w:t>国家及地方其他有关建设工程设计咨询管理法规和规章</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u w:val="single"/>
          <w14:textFill>
            <w14:solidFill>
              <w14:schemeClr w14:val="tx1"/>
            </w14:solidFill>
          </w14:textFill>
        </w:rPr>
        <w:t>国家现行有关标准、规范及规程</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u w:val="single"/>
          <w14:textFill>
            <w14:solidFill>
              <w14:schemeClr w14:val="tx1"/>
            </w14:solidFill>
          </w14:textFill>
        </w:rPr>
        <w:t>其他</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第二条  主要工作内容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按照国家相关政策及现行规范要求，</w:t>
      </w:r>
      <w:r>
        <w:rPr>
          <w:rFonts w:hint="eastAsia" w:ascii="宋体" w:hAnsi="宋体" w:eastAsia="宋体" w:cs="宋体"/>
          <w:color w:val="000000" w:themeColor="text1"/>
          <w:sz w:val="21"/>
          <w:szCs w:val="21"/>
          <w:highlight w:val="none"/>
          <w:u w:val="single"/>
          <w14:textFill>
            <w14:solidFill>
              <w14:schemeClr w14:val="tx1"/>
            </w14:solidFill>
          </w14:textFill>
        </w:rPr>
        <w:t>完成</w:t>
      </w:r>
      <w:r>
        <w:rPr>
          <w:rFonts w:hint="eastAsia" w:ascii="宋体" w:hAnsi="宋体" w:eastAsia="宋体" w:cs="宋体"/>
          <w:color w:val="000000" w:themeColor="text1"/>
          <w:sz w:val="21"/>
          <w:szCs w:val="21"/>
          <w:highlight w:val="none"/>
          <w:u w:val="single"/>
          <w:lang w:eastAsia="zh-CN"/>
          <w14:textFill>
            <w14:solidFill>
              <w14:schemeClr w14:val="tx1"/>
            </w14:solidFill>
          </w14:textFill>
        </w:rPr>
        <w:t>桂林市秀峰区2024年老旧小区改造工程设计。</w:t>
      </w:r>
      <w:r>
        <w:rPr>
          <w:rFonts w:hint="eastAsia" w:ascii="宋体" w:hAnsi="宋体" w:eastAsia="宋体" w:cs="宋体"/>
          <w:color w:val="000000" w:themeColor="text1"/>
          <w:sz w:val="21"/>
          <w:szCs w:val="21"/>
          <w:highlight w:val="none"/>
          <w:lang w:eastAsia="zh-CN"/>
          <w14:textFill>
            <w14:solidFill>
              <w14:schemeClr w14:val="tx1"/>
            </w14:solidFill>
          </w14:textFill>
        </w:rPr>
        <w:t>包括：</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提供初步</w:t>
      </w:r>
      <w:r>
        <w:rPr>
          <w:rFonts w:hint="eastAsia" w:ascii="宋体" w:hAnsi="宋体" w:eastAsia="宋体" w:cs="宋体"/>
          <w:color w:val="000000" w:themeColor="text1"/>
          <w:sz w:val="21"/>
          <w:szCs w:val="21"/>
          <w:highlight w:val="none"/>
          <w:lang w:eastAsia="zh-CN"/>
          <w14:textFill>
            <w14:solidFill>
              <w14:schemeClr w14:val="tx1"/>
            </w14:solidFill>
          </w14:textFill>
        </w:rPr>
        <w:t>设计</w:t>
      </w:r>
      <w:r>
        <w:rPr>
          <w:rFonts w:hint="eastAsia" w:ascii="宋体" w:hAnsi="宋体" w:eastAsia="宋体" w:cs="宋体"/>
          <w:color w:val="000000" w:themeColor="text1"/>
          <w:sz w:val="21"/>
          <w:szCs w:val="21"/>
          <w:highlight w:val="none"/>
          <w:lang w:val="zh-CN"/>
          <w14:textFill>
            <w14:solidFill>
              <w14:schemeClr w14:val="tx1"/>
            </w14:solidFill>
          </w14:textFill>
        </w:rPr>
        <w:t>及施工现场设计服务工作，同时，要求协助采购人获得上级主管部门对各阶段设计报告文件的批复和按时提交</w:t>
      </w:r>
      <w:r>
        <w:rPr>
          <w:rFonts w:hint="eastAsia" w:ascii="宋体" w:hAnsi="宋体" w:eastAsia="宋体" w:cs="宋体"/>
          <w:color w:val="000000" w:themeColor="text1"/>
          <w:sz w:val="21"/>
          <w:szCs w:val="21"/>
          <w:highlight w:val="none"/>
          <w:lang w:val="en-US" w:eastAsia="zh-CN"/>
          <w14:textFill>
            <w14:solidFill>
              <w14:schemeClr w14:val="tx1"/>
            </w14:solidFill>
          </w14:textFill>
        </w:rPr>
        <w:t>初步</w:t>
      </w:r>
      <w:r>
        <w:rPr>
          <w:rFonts w:hint="eastAsia" w:ascii="宋体" w:hAnsi="宋体" w:eastAsia="宋体" w:cs="宋体"/>
          <w:color w:val="000000" w:themeColor="text1"/>
          <w:sz w:val="21"/>
          <w:szCs w:val="21"/>
          <w:highlight w:val="none"/>
          <w:lang w:val="zh-CN"/>
          <w14:textFill>
            <w14:solidFill>
              <w14:schemeClr w14:val="tx1"/>
            </w14:solidFill>
          </w14:textFill>
        </w:rPr>
        <w:t>设计（</w:t>
      </w:r>
      <w:r>
        <w:rPr>
          <w:rFonts w:hint="eastAsia" w:ascii="宋体" w:hAnsi="宋体" w:eastAsia="宋体" w:cs="宋体"/>
          <w:color w:val="000000" w:themeColor="text1"/>
          <w:sz w:val="21"/>
          <w:szCs w:val="21"/>
          <w:highlight w:val="none"/>
          <w:lang w:val="en-US" w:eastAsia="zh-CN"/>
          <w14:textFill>
            <w14:solidFill>
              <w14:schemeClr w14:val="tx1"/>
            </w14:solidFill>
          </w14:textFill>
        </w:rPr>
        <w:t>含概算</w:t>
      </w:r>
      <w:r>
        <w:rPr>
          <w:rFonts w:hint="eastAsia" w:ascii="宋体" w:hAnsi="宋体" w:eastAsia="宋体" w:cs="宋体"/>
          <w:color w:val="000000" w:themeColor="text1"/>
          <w:sz w:val="21"/>
          <w:szCs w:val="21"/>
          <w:highlight w:val="none"/>
          <w:lang w:val="zh-CN"/>
          <w14:textFill>
            <w14:solidFill>
              <w14:schemeClr w14:val="tx1"/>
            </w14:solidFill>
          </w14:textFill>
        </w:rPr>
        <w:t>）、施工图设计文件，并做好项目施工现场技术服务工作</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第三条  工作成果提交</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strike/>
          <w:dstrike w:val="0"/>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1.时间进度：</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签订合同之日起</w:t>
      </w:r>
      <w:r>
        <w:rPr>
          <w:rFonts w:hint="eastAsia" w:ascii="宋体" w:hAnsi="宋体" w:eastAsia="宋体" w:cs="宋体"/>
          <w:color w:val="000000" w:themeColor="text1"/>
          <w:kern w:val="2"/>
          <w:sz w:val="21"/>
          <w:szCs w:val="21"/>
          <w:highlight w:val="none"/>
          <w14:textFill>
            <w14:solidFill>
              <w14:schemeClr w14:val="tx1"/>
            </w14:solidFill>
          </w14:textFill>
        </w:rPr>
        <w:t>15日历天完成；施工图设计：</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初步设计批复后20</w:t>
      </w:r>
      <w:r>
        <w:rPr>
          <w:rFonts w:hint="eastAsia" w:ascii="宋体" w:hAnsi="宋体" w:eastAsia="宋体" w:cs="宋体"/>
          <w:color w:val="000000" w:themeColor="text1"/>
          <w:kern w:val="2"/>
          <w:sz w:val="21"/>
          <w:szCs w:val="21"/>
          <w:highlight w:val="none"/>
          <w14:textFill>
            <w14:solidFill>
              <w14:schemeClr w14:val="tx1"/>
            </w14:solidFill>
          </w14:textFill>
        </w:rPr>
        <w:t>日历天内完成。</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2.提交数量：</w:t>
      </w:r>
      <w:r>
        <w:rPr>
          <w:rFonts w:hint="eastAsia" w:ascii="宋体" w:hAnsi="宋体" w:eastAsia="宋体" w:cs="宋体"/>
          <w:color w:val="000000" w:themeColor="text1"/>
          <w:sz w:val="21"/>
          <w:szCs w:val="21"/>
          <w:highlight w:val="none"/>
          <w:lang w:val="zh-CN"/>
          <w14:textFill>
            <w14:solidFill>
              <w14:schemeClr w14:val="tx1"/>
            </w14:solidFill>
          </w14:textFill>
        </w:rPr>
        <w:t>通过技术评审工程初步设计文件：初步设计报告书、概算书、图纸等报批所需资料及其他附件各1</w:t>
      </w:r>
      <w:r>
        <w:rPr>
          <w:rFonts w:hint="eastAsia" w:ascii="宋体" w:hAnsi="宋体" w:eastAsia="宋体" w:cs="宋体"/>
          <w:color w:val="000000" w:themeColor="text1"/>
          <w:sz w:val="21"/>
          <w:szCs w:val="21"/>
          <w:highlight w:val="none"/>
          <w14:textFill>
            <w14:solidFill>
              <w14:schemeClr w14:val="tx1"/>
            </w14:solidFill>
          </w14:textFill>
        </w:rPr>
        <w:t>0</w:t>
      </w:r>
      <w:r>
        <w:rPr>
          <w:rFonts w:hint="eastAsia" w:ascii="宋体" w:hAnsi="宋体" w:eastAsia="宋体" w:cs="宋体"/>
          <w:color w:val="000000" w:themeColor="text1"/>
          <w:sz w:val="21"/>
          <w:szCs w:val="21"/>
          <w:highlight w:val="none"/>
          <w:lang w:val="zh-CN"/>
          <w14:textFill>
            <w14:solidFill>
              <w14:schemeClr w14:val="tx1"/>
            </w14:solidFill>
          </w14:textFill>
        </w:rPr>
        <w:t>份，文件光盘2份。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施工图</w:t>
      </w:r>
      <w:r>
        <w:rPr>
          <w:rFonts w:hint="eastAsia" w:ascii="宋体" w:hAnsi="宋体" w:eastAsia="宋体" w:cs="宋体"/>
          <w:color w:val="000000" w:themeColor="text1"/>
          <w:sz w:val="21"/>
          <w:szCs w:val="21"/>
          <w:highlight w:val="none"/>
          <w:lang w:val="zh-CN"/>
          <w14:textFill>
            <w14:solidFill>
              <w14:schemeClr w14:val="tx1"/>
            </w14:solidFill>
          </w14:textFill>
        </w:rPr>
        <w:t>设计文件：工程项目各部分施工技术及工艺要求、图纸及其他附件各8份；上述文件数字格式光盘1份。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初步设计概算总投资按广西壮族自治区有关规定进行编制，并应充分优化方案，节约工程投资。</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以上条款所有成果数字光盘格式要求：采用PDF格式。</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第四条  合同经费及支付方式</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1.合同金额</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根据《中标通知书》的中标内容，合同</w:t>
      </w:r>
      <w:r>
        <w:rPr>
          <w:rFonts w:hint="eastAsia" w:ascii="宋体" w:hAnsi="宋体" w:eastAsia="宋体" w:cs="宋体"/>
          <w:color w:val="000000" w:themeColor="text1"/>
          <w:sz w:val="21"/>
          <w:szCs w:val="21"/>
          <w:highlight w:val="none"/>
          <w:lang w:val="en-US" w:eastAsia="zh-CN"/>
          <w14:textFill>
            <w14:solidFill>
              <w14:schemeClr w14:val="tx1"/>
            </w14:solidFill>
          </w14:textFill>
        </w:rPr>
        <w:t>金额</w:t>
      </w:r>
      <w:r>
        <w:rPr>
          <w:rFonts w:hint="eastAsia" w:ascii="宋体" w:hAnsi="宋体" w:eastAsia="宋体" w:cs="宋体"/>
          <w:color w:val="000000" w:themeColor="text1"/>
          <w:sz w:val="21"/>
          <w:szCs w:val="21"/>
          <w:highlight w:val="none"/>
          <w14:textFill>
            <w14:solidFill>
              <w14:schemeClr w14:val="tx1"/>
            </w14:solidFill>
          </w14:textFill>
        </w:rPr>
        <w:t>为：</w:t>
      </w:r>
      <w:r>
        <w:rPr>
          <w:rFonts w:hint="eastAsia" w:ascii="宋体" w:hAnsi="宋体" w:eastAsia="宋体" w:cs="宋体"/>
          <w:color w:val="000000" w:themeColor="text1"/>
          <w:sz w:val="21"/>
          <w:szCs w:val="21"/>
          <w:highlight w:val="none"/>
          <w:lang w:val="en-US" w:eastAsia="zh-CN"/>
          <w14:textFill>
            <w14:solidFill>
              <w14:schemeClr w14:val="tx1"/>
            </w14:solidFill>
          </w14:textFill>
        </w:rPr>
        <w:t>大写：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小写：</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2.支付方式：全部款项分阶段分期付清，具体按合同条款付款。付费次序、占合同款的比例、付款时间如下：</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支付方式</w:t>
      </w:r>
      <w:r>
        <w:rPr>
          <w:rFonts w:hint="eastAsia" w:ascii="宋体" w:hAnsi="宋体" w:eastAsia="宋体" w:cs="宋体"/>
          <w:color w:val="000000" w:themeColor="text1"/>
          <w:sz w:val="21"/>
          <w:szCs w:val="21"/>
          <w:highlight w:val="none"/>
          <w:lang w:val="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乙方向甲方提交初步设计</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及概算</w:t>
      </w:r>
      <w:r>
        <w:rPr>
          <w:rFonts w:hint="eastAsia" w:ascii="宋体" w:hAnsi="宋体" w:eastAsia="宋体" w:cs="宋体"/>
          <w:color w:val="000000" w:themeColor="text1"/>
          <w:sz w:val="21"/>
          <w:szCs w:val="21"/>
          <w:highlight w:val="none"/>
          <w:lang w:val="zh-CN"/>
          <w14:textFill>
            <w14:solidFill>
              <w14:schemeClr w14:val="tx1"/>
            </w14:solidFill>
          </w14:textFill>
        </w:rPr>
        <w:t>成果后，甲方</w:t>
      </w:r>
      <w:r>
        <w:rPr>
          <w:rFonts w:hint="eastAsia" w:ascii="宋体" w:hAnsi="宋体" w:eastAsia="宋体" w:cs="宋体"/>
          <w:color w:val="000000" w:themeColor="text1"/>
          <w:sz w:val="21"/>
          <w:szCs w:val="21"/>
          <w:highlight w:val="none"/>
          <w:lang w:val="zh-CN" w:eastAsia="zh-CN"/>
          <w14:textFill>
            <w14:solidFill>
              <w14:schemeClr w14:val="tx1"/>
            </w14:solidFill>
          </w14:textFill>
        </w:rPr>
        <w:t>支付相应设计费</w:t>
      </w:r>
      <w:r>
        <w:rPr>
          <w:rFonts w:hint="eastAsia" w:ascii="宋体" w:hAnsi="宋体" w:eastAsia="宋体" w:cs="宋体"/>
          <w:color w:val="000000" w:themeColor="text1"/>
          <w:sz w:val="21"/>
          <w:szCs w:val="21"/>
          <w:highlight w:val="none"/>
          <w:lang w:val="zh-CN"/>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lang w:val="zh-CN"/>
          <w14:textFill>
            <w14:solidFill>
              <w14:schemeClr w14:val="tx1"/>
            </w14:solidFill>
          </w14:textFill>
        </w:rPr>
        <w:t>%给乙方；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乙方向甲方提交施工图成果后，甲方</w:t>
      </w:r>
      <w:r>
        <w:rPr>
          <w:rFonts w:hint="eastAsia" w:ascii="宋体" w:hAnsi="宋体" w:eastAsia="宋体" w:cs="宋体"/>
          <w:color w:val="000000" w:themeColor="text1"/>
          <w:sz w:val="21"/>
          <w:szCs w:val="21"/>
          <w:highlight w:val="none"/>
          <w:lang w:val="zh-CN" w:eastAsia="zh-CN"/>
          <w14:textFill>
            <w14:solidFill>
              <w14:schemeClr w14:val="tx1"/>
            </w14:solidFill>
          </w14:textFill>
        </w:rPr>
        <w:t>支付相应设计费的</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lang w:val="zh-CN"/>
          <w14:textFill>
            <w14:solidFill>
              <w14:schemeClr w14:val="tx1"/>
            </w14:solidFill>
          </w14:textFill>
        </w:rPr>
        <w:t>%给乙方；</w:t>
      </w:r>
    </w:p>
    <w:p>
      <w:pPr>
        <w:keepNext w:val="0"/>
        <w:keepLines w:val="0"/>
        <w:pageBreakBefore w:val="0"/>
        <w:widowControl w:val="0"/>
        <w:kinsoku/>
        <w:wordWrap/>
        <w:overflowPunct/>
        <w:topLinePunct w:val="0"/>
        <w:autoSpaceDE/>
        <w:autoSpaceDN/>
        <w:bidi w:val="0"/>
        <w:adjustRightInd/>
        <w:snapToGrid/>
        <w:spacing w:line="460" w:lineRule="exact"/>
        <w:ind w:left="420" w:hanging="420" w:hanging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设计费结算，待工程项目完工验收合格后，甲方支付</w:t>
      </w:r>
      <w:r>
        <w:rPr>
          <w:rFonts w:hint="eastAsia" w:ascii="宋体" w:hAnsi="宋体" w:eastAsia="宋体" w:cs="宋体"/>
          <w:color w:val="000000" w:themeColor="text1"/>
          <w:sz w:val="21"/>
          <w:szCs w:val="21"/>
          <w:highlight w:val="none"/>
          <w:lang w:val="en-US" w:eastAsia="zh-CN"/>
          <w14:textFill>
            <w14:solidFill>
              <w14:schemeClr w14:val="tx1"/>
            </w14:solidFill>
          </w14:textFill>
        </w:rPr>
        <w:t>设计费剩余20%</w:t>
      </w:r>
      <w:r>
        <w:rPr>
          <w:rFonts w:hint="eastAsia" w:ascii="宋体" w:hAnsi="宋体" w:eastAsia="宋体" w:cs="宋体"/>
          <w:color w:val="000000" w:themeColor="text1"/>
          <w:sz w:val="21"/>
          <w:szCs w:val="21"/>
          <w:highlight w:val="none"/>
          <w:lang w:val="zh-CN"/>
          <w14:textFill>
            <w14:solidFill>
              <w14:schemeClr w14:val="tx1"/>
            </w14:solidFill>
          </w14:textFill>
        </w:rPr>
        <w:t>给乙</w:t>
      </w:r>
      <w:r>
        <w:rPr>
          <w:rFonts w:hint="eastAsia" w:ascii="宋体" w:hAnsi="宋体" w:eastAsia="宋体" w:cs="宋体"/>
          <w:color w:val="000000" w:themeColor="text1"/>
          <w:sz w:val="21"/>
          <w:szCs w:val="21"/>
          <w:highlight w:val="none"/>
          <w:lang w:val="en-US" w:eastAsia="zh-CN"/>
          <w14:textFill>
            <w14:solidFill>
              <w14:schemeClr w14:val="tx1"/>
            </w14:solidFill>
          </w14:textFill>
        </w:rPr>
        <w:t>方</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zh-CN"/>
          <w14:textFill>
            <w14:solidFill>
              <w14:schemeClr w14:val="tx1"/>
            </w14:solidFill>
          </w14:textFill>
        </w:rPr>
        <w:t>人向</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zh-CN"/>
          <w14:textFill>
            <w14:solidFill>
              <w14:schemeClr w14:val="tx1"/>
            </w14:solidFill>
          </w14:textFill>
        </w:rPr>
        <w:t>支付设计费前，</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lang w:val="zh-CN"/>
          <w14:textFill>
            <w14:solidFill>
              <w14:schemeClr w14:val="tx1"/>
            </w14:solidFill>
          </w14:textFill>
        </w:rPr>
        <w:t>应向</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zh-CN"/>
          <w14:textFill>
            <w14:solidFill>
              <w14:schemeClr w14:val="tx1"/>
            </w14:solidFill>
          </w14:textFill>
        </w:rPr>
        <w:t>开具合格有效税务发票，否则</w:t>
      </w:r>
      <w:r>
        <w:rPr>
          <w:rFonts w:hint="eastAsia" w:ascii="宋体" w:hAnsi="宋体" w:eastAsia="宋体" w:cs="宋体"/>
          <w:color w:val="000000" w:themeColor="text1"/>
          <w:sz w:val="21"/>
          <w:szCs w:val="21"/>
          <w:highlight w:val="none"/>
          <w:lang w:val="en-US" w:eastAsia="zh-CN"/>
          <w14:textFill>
            <w14:solidFill>
              <w14:schemeClr w14:val="tx1"/>
            </w14:solidFill>
          </w14:textFill>
        </w:rPr>
        <w:t>甲方</w:t>
      </w:r>
      <w:r>
        <w:rPr>
          <w:rFonts w:hint="eastAsia" w:ascii="宋体" w:hAnsi="宋体" w:eastAsia="宋体" w:cs="宋体"/>
          <w:color w:val="000000" w:themeColor="text1"/>
          <w:sz w:val="21"/>
          <w:szCs w:val="21"/>
          <w:highlight w:val="none"/>
          <w:lang w:val="zh-CN"/>
          <w14:textFill>
            <w14:solidFill>
              <w14:schemeClr w14:val="tx1"/>
            </w14:solidFill>
          </w14:textFill>
        </w:rPr>
        <w:t>有权拒绝付款并顺延付款时间。</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因采购人使用的是财政资金，采购人在前款规定的付款时间内向政府采购支付部门提</w:t>
      </w:r>
      <w:r>
        <w:rPr>
          <w:rFonts w:hint="eastAsia" w:ascii="宋体" w:hAnsi="宋体" w:eastAsia="宋体" w:cs="宋体"/>
          <w:color w:val="000000" w:themeColor="text1"/>
          <w:sz w:val="21"/>
          <w:szCs w:val="21"/>
          <w:highlight w:val="none"/>
          <w:lang w:eastAsia="zh-CN"/>
          <w14:textFill>
            <w14:solidFill>
              <w14:schemeClr w14:val="tx1"/>
            </w14:solidFill>
          </w14:textFill>
        </w:rPr>
        <w:t>交</w:t>
      </w:r>
      <w:r>
        <w:rPr>
          <w:rFonts w:hint="eastAsia" w:ascii="宋体" w:hAnsi="宋体" w:eastAsia="宋体" w:cs="宋体"/>
          <w:color w:val="000000" w:themeColor="text1"/>
          <w:sz w:val="21"/>
          <w:szCs w:val="21"/>
          <w:highlight w:val="none"/>
          <w14:textFill>
            <w14:solidFill>
              <w14:schemeClr w14:val="tx1"/>
            </w14:solidFill>
          </w14:textFill>
        </w:rPr>
        <w:t>办理财政支付申请手续（不含政府财政支付部门审核的时间）即视为采购人已经按期支付，采购人不承担财政资金不能及时到位给成交人造成的任何损失。</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第五条  甲方责任与义务</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甲方应向乙方提供开展设计工作所需的有关基础资料，乙方并对甲方提供的时间、进度和资料的真实性、准确性和完整性复核。因甲方未能及时提供基础资料而影响乙方正常开展设计工作的，乙方提交成果时间相应顺延。</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甲方变更委托设计项目、规模、条件或因提交的资料错误，或所提交资料作较大修改，以致造成乙方设计返工时，相关方除另行协商签订补充协议（或另订合同）、重新明确有关条款外，甲方应按乙方所耗工作量，同意向乙方支付返工费。</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3.在合同履行期间，甲方要求终止或解除合同，乙方已开始设计工作的，甲方应根据乙方已进行的实际工作量，不足一半时，按该阶段设计费的一半支付；超过一半时，按该阶段设计费的全部支付。</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4.甲方要求乙方比合同规定时间提前交付设计文件时，须征得乙方同意，不得严重背离合理设计周期，且甲方应支付赶工费。</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5.乙方启动相应工作后，甲方按合同约定按时</w:t>
      </w:r>
      <w:r>
        <w:rPr>
          <w:rFonts w:hint="eastAsia" w:ascii="宋体" w:hAnsi="宋体" w:eastAsia="宋体" w:cs="宋体"/>
          <w:color w:val="000000" w:themeColor="text1"/>
          <w:sz w:val="21"/>
          <w:szCs w:val="21"/>
          <w:highlight w:val="none"/>
          <w:lang w:eastAsia="zh-CN"/>
          <w14:textFill>
            <w14:solidFill>
              <w14:schemeClr w14:val="tx1"/>
            </w14:solidFill>
          </w14:textFill>
        </w:rPr>
        <w:t>办理</w:t>
      </w:r>
      <w:r>
        <w:rPr>
          <w:rFonts w:hint="eastAsia" w:ascii="宋体" w:hAnsi="宋体" w:eastAsia="宋体" w:cs="宋体"/>
          <w:color w:val="000000" w:themeColor="text1"/>
          <w:sz w:val="21"/>
          <w:szCs w:val="21"/>
          <w:highlight w:val="none"/>
          <w14:textFill>
            <w14:solidFill>
              <w14:schemeClr w14:val="tx1"/>
            </w14:solidFill>
          </w14:textFill>
        </w:rPr>
        <w:t>支付费用</w:t>
      </w:r>
      <w:r>
        <w:rPr>
          <w:rFonts w:hint="eastAsia" w:ascii="宋体" w:hAnsi="宋体" w:eastAsia="宋体" w:cs="宋体"/>
          <w:color w:val="000000" w:themeColor="text1"/>
          <w:sz w:val="21"/>
          <w:szCs w:val="21"/>
          <w:highlight w:val="none"/>
          <w:lang w:eastAsia="zh-CN"/>
          <w14:textFill>
            <w14:solidFill>
              <w14:schemeClr w14:val="tx1"/>
            </w14:solidFill>
          </w14:textFill>
        </w:rPr>
        <w:t>审批手续</w:t>
      </w:r>
      <w:r>
        <w:rPr>
          <w:rFonts w:hint="eastAsia" w:ascii="宋体" w:hAnsi="宋体" w:eastAsia="宋体" w:cs="宋体"/>
          <w:color w:val="000000" w:themeColor="text1"/>
          <w:sz w:val="21"/>
          <w:szCs w:val="21"/>
          <w:highlight w:val="none"/>
          <w14:textFill>
            <w14:solidFill>
              <w14:schemeClr w14:val="tx1"/>
            </w14:solidFill>
          </w14:textFill>
        </w:rPr>
        <w:t>。如甲方未按时</w:t>
      </w:r>
      <w:r>
        <w:rPr>
          <w:rFonts w:hint="eastAsia" w:ascii="宋体" w:hAnsi="宋体" w:eastAsia="宋体" w:cs="宋体"/>
          <w:color w:val="000000" w:themeColor="text1"/>
          <w:sz w:val="21"/>
          <w:szCs w:val="21"/>
          <w:highlight w:val="none"/>
          <w:lang w:eastAsia="zh-CN"/>
          <w14:textFill>
            <w14:solidFill>
              <w14:schemeClr w14:val="tx1"/>
            </w14:solidFill>
          </w14:textFill>
        </w:rPr>
        <w:t>办理</w:t>
      </w:r>
      <w:r>
        <w:rPr>
          <w:rFonts w:hint="eastAsia" w:ascii="宋体" w:hAnsi="宋体" w:eastAsia="宋体" w:cs="宋体"/>
          <w:color w:val="000000" w:themeColor="text1"/>
          <w:sz w:val="21"/>
          <w:szCs w:val="21"/>
          <w:highlight w:val="none"/>
          <w14:textFill>
            <w14:solidFill>
              <w14:schemeClr w14:val="tx1"/>
            </w14:solidFill>
          </w14:textFill>
        </w:rPr>
        <w:t>支付费用</w:t>
      </w:r>
      <w:r>
        <w:rPr>
          <w:rFonts w:hint="eastAsia" w:ascii="宋体" w:hAnsi="宋体" w:eastAsia="宋体" w:cs="宋体"/>
          <w:color w:val="000000" w:themeColor="text1"/>
          <w:sz w:val="21"/>
          <w:szCs w:val="21"/>
          <w:highlight w:val="none"/>
          <w:lang w:eastAsia="zh-CN"/>
          <w14:textFill>
            <w14:solidFill>
              <w14:schemeClr w14:val="tx1"/>
            </w14:solidFill>
          </w14:textFill>
        </w:rPr>
        <w:t>审批手续</w:t>
      </w:r>
      <w:r>
        <w:rPr>
          <w:rFonts w:hint="eastAsia" w:ascii="宋体" w:hAnsi="宋体" w:eastAsia="宋体" w:cs="宋体"/>
          <w:color w:val="000000" w:themeColor="text1"/>
          <w:sz w:val="21"/>
          <w:szCs w:val="21"/>
          <w:highlight w:val="none"/>
          <w14:textFill>
            <w14:solidFill>
              <w14:schemeClr w14:val="tx1"/>
            </w14:solidFill>
          </w14:textFill>
        </w:rPr>
        <w:t>，则乙方有权推迟开始工作时间，且提交成果的时间相应顺延。如费用支付逾期超过30天以上时，乙方有权暂停履行下阶段工作，并书面通知甲方。</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6.按照合同要求向乙方支付合同协议经费。</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7.甲方不得要求乙方违反国家有关规程、规范及标准进行设计。</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第六条  乙方责任与义务</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1.按本合同规定的内容、时间及份数向甲方交付工作成果，并对成果的完整性、准确性负责。</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2.工作成果符合国家水利行业现行有效的法律、法规、规章、标准、规程和本协议的要求；工作深度满足项目评审要求。</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3.乙方应按时参加甲方组织的成果报告审查会、咨询会和工作协调会，负责介绍设计情况，回答专家提出的有关技术问题。并根据审查、咨询意见做必要调整、修改、补充和完善，直至通过审查。</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4.根据审查意见或甲方要求，及时修改和完善设计成果。</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5.按照甲方要求，及时提交合同项目要求的成果资料。</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6、</w:t>
      </w:r>
      <w:r>
        <w:rPr>
          <w:rFonts w:hint="eastAsia" w:ascii="宋体" w:hAnsi="宋体" w:eastAsia="宋体" w:cs="宋体"/>
          <w:color w:val="000000" w:themeColor="text1"/>
          <w:sz w:val="21"/>
          <w:szCs w:val="21"/>
          <w:highlight w:val="none"/>
          <w:lang w:val="zh-CN"/>
          <w14:textFill>
            <w14:solidFill>
              <w14:schemeClr w14:val="tx1"/>
            </w14:solidFill>
          </w14:textFill>
        </w:rPr>
        <w:t>做好项目施工现场技术服务工作</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第七条  知识产权及保密责任</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w:t>
      </w:r>
      <w:r>
        <w:rPr>
          <w:rFonts w:hint="eastAsia" w:ascii="宋体" w:hAnsi="宋体" w:eastAsia="宋体" w:cs="宋体"/>
          <w:color w:val="000000" w:themeColor="text1"/>
          <w:sz w:val="21"/>
          <w:szCs w:val="21"/>
          <w:highlight w:val="none"/>
          <w:lang w:eastAsia="zh-CN"/>
          <w14:textFill>
            <w14:solidFill>
              <w14:schemeClr w14:val="tx1"/>
            </w14:solidFill>
          </w14:textFill>
        </w:rPr>
        <w:t>为履行合同义务</w:t>
      </w:r>
      <w:r>
        <w:rPr>
          <w:rFonts w:hint="eastAsia" w:ascii="宋体" w:hAnsi="宋体" w:eastAsia="宋体" w:cs="宋体"/>
          <w:color w:val="000000" w:themeColor="text1"/>
          <w:sz w:val="21"/>
          <w:szCs w:val="21"/>
          <w:highlight w:val="none"/>
          <w14:textFill>
            <w14:solidFill>
              <w14:schemeClr w14:val="tx1"/>
            </w14:solidFill>
          </w14:textFill>
        </w:rPr>
        <w:t>利用甲方提供的技术资料和工作条件完成的新的技术成果，属于</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。未经</w:t>
      </w:r>
      <w:r>
        <w:rPr>
          <w:rFonts w:hint="eastAsia" w:ascii="宋体" w:hAnsi="宋体" w:eastAsia="宋体" w:cs="宋体"/>
          <w:color w:val="000000" w:themeColor="text1"/>
          <w:sz w:val="21"/>
          <w:szCs w:val="21"/>
          <w:highlight w:val="none"/>
          <w:lang w:eastAsia="zh-CN"/>
          <w14:textFill>
            <w14:solidFill>
              <w14:schemeClr w14:val="tx1"/>
            </w14:solidFill>
          </w14:textFill>
        </w:rPr>
        <w:t>甲方</w:t>
      </w:r>
      <w:r>
        <w:rPr>
          <w:rFonts w:hint="eastAsia" w:ascii="宋体" w:hAnsi="宋体" w:eastAsia="宋体" w:cs="宋体"/>
          <w:color w:val="000000" w:themeColor="text1"/>
          <w:sz w:val="21"/>
          <w:szCs w:val="21"/>
          <w:highlight w:val="none"/>
          <w14:textFill>
            <w14:solidFill>
              <w14:schemeClr w14:val="tx1"/>
            </w14:solidFill>
          </w14:textFill>
        </w:rPr>
        <w:t>书面同意，</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不得为了合同以外目的而复制、使用上述文件或将之提供给任何第三方。</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2.甲方利用乙方的工作成果完成的新的技术成果，属于甲方。乙方无权为任何目的复制、使用。</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3.乙方不得将甲方提供的所有资料和乙方为该项目所做的任何资料及文件等擅自修改、复制或向第三方转让或用于本项目以外的其它项目使用。如发生以上情况，泄密方承担一切由此引起的后果并承担赔偿责任。</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4.合同双方应共同遵守国家有关保密制度和规定。</w:t>
      </w:r>
    </w:p>
    <w:p>
      <w:pPr>
        <w:keepNext w:val="0"/>
        <w:keepLines w:val="0"/>
        <w:pageBreakBefore w:val="0"/>
        <w:widowControl w:val="0"/>
        <w:tabs>
          <w:tab w:val="left" w:pos="540"/>
        </w:tabs>
        <w:kinsoku/>
        <w:wordWrap/>
        <w:overflowPunct/>
        <w:topLinePunct w:val="0"/>
        <w:autoSpaceDE/>
        <w:autoSpaceDN/>
        <w:bidi w:val="0"/>
        <w:adjustRightInd/>
        <w:snapToGrid/>
        <w:spacing w:before="0" w:after="0" w:line="460" w:lineRule="exact"/>
        <w:ind w:left="0" w:leftChars="0" w:right="0"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合同双方在履行本协议期间，或在本协议结束或终止之后的任何时间，都应对其已获得的或在本协议履行期间可能得到的任何成果、资料及其他相关信息保密，未经对方许可，不得在本工程以外的地方加以利用。</w:t>
      </w:r>
    </w:p>
    <w:p>
      <w:pPr>
        <w:keepNext w:val="0"/>
        <w:keepLines w:val="0"/>
        <w:pageBreakBefore w:val="0"/>
        <w:widowControl w:val="0"/>
        <w:tabs>
          <w:tab w:val="left" w:pos="540"/>
        </w:tabs>
        <w:kinsoku/>
        <w:wordWrap/>
        <w:overflowPunct/>
        <w:topLinePunct w:val="0"/>
        <w:autoSpaceDE/>
        <w:autoSpaceDN/>
        <w:bidi w:val="0"/>
        <w:adjustRightInd/>
        <w:snapToGrid/>
        <w:spacing w:before="0" w:after="0" w:line="460" w:lineRule="exact"/>
        <w:ind w:left="0" w:leftChars="0" w:right="0" w:firstLine="420" w:firstLineChars="20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6.合同双方均有权在不损害对方利益和保密约定的前提下，在自己宣传用的印刷品或其他出版物上，或申报奖项时等情形下公布有关项目的文字和图片材料。</w:t>
      </w:r>
    </w:p>
    <w:p>
      <w:pPr>
        <w:keepNext w:val="0"/>
        <w:keepLines w:val="0"/>
        <w:pageBreakBefore w:val="0"/>
        <w:widowControl w:val="0"/>
        <w:tabs>
          <w:tab w:val="left" w:pos="540"/>
        </w:tabs>
        <w:kinsoku/>
        <w:wordWrap/>
        <w:overflowPunct/>
        <w:topLinePunct w:val="0"/>
        <w:autoSpaceDE/>
        <w:autoSpaceDN/>
        <w:bidi w:val="0"/>
        <w:adjustRightInd/>
        <w:snapToGrid/>
        <w:spacing w:before="0" w:after="0" w:line="460" w:lineRule="exact"/>
        <w:ind w:left="0" w:leftChars="0" w:right="0"/>
        <w:jc w:val="both"/>
        <w:textAlignment w:val="auto"/>
        <w:outlineLvl w:val="9"/>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第八条  税费</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1.乙方应按照结算款项金额向甲方提供符合税务规定的增值税发票，甲方在收到乙方提供的合格增值税发票后支付款项。</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2.乙方应确保增值税发票真实、规范、合法，如乙方虚开或提供不合格的增值税发票，造成甲方经济损失的，乙方承担全部赔偿责任，并重新向甲方开具符合规定的增值税发票。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第九条：违约责任</w:t>
      </w:r>
    </w:p>
    <w:p>
      <w:pPr>
        <w:keepNext w:val="0"/>
        <w:keepLines w:val="0"/>
        <w:pageBreakBefore w:val="0"/>
        <w:widowControl w:val="0"/>
        <w:tabs>
          <w:tab w:val="left" w:pos="3600"/>
          <w:tab w:val="left" w:pos="5040"/>
        </w:tabs>
        <w:kinsoku/>
        <w:wordWrap/>
        <w:overflowPunct/>
        <w:topLinePunct w:val="0"/>
        <w:autoSpaceDE/>
        <w:autoSpaceDN/>
        <w:bidi w:val="0"/>
        <w:adjustRightInd/>
        <w:snapToGrid/>
        <w:spacing w:before="0" w:after="0" w:line="460" w:lineRule="exact"/>
        <w:ind w:right="0" w:firstLine="420" w:firstLineChars="200"/>
        <w:textAlignment w:val="auto"/>
        <w:outlineLvl w:val="9"/>
        <w:rPr>
          <w:rFonts w:hint="eastAsia" w:ascii="宋体" w:hAnsi="宋体" w:eastAsia="宋体" w:cs="宋体"/>
          <w:color w:val="000000" w:themeColor="text1"/>
          <w:spacing w:val="0"/>
          <w:w w:val="100"/>
          <w:position w:val="0"/>
          <w:sz w:val="21"/>
          <w:szCs w:val="21"/>
          <w:highlight w:val="none"/>
          <w:u w:val="none"/>
          <w:shd w:val="clear" w:color="auto" w:fill="auto"/>
          <w:lang w:val="zh-TW" w:eastAsia="zh-TW" w:bidi="zh-TW"/>
          <w14:textFill>
            <w14:solidFill>
              <w14:schemeClr w14:val="tx1"/>
            </w14:solidFill>
          </w14:textFill>
        </w:rPr>
      </w:pP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en-US" w:eastAsia="zh-CN" w:bidi="zh-TW"/>
          <w14:textFill>
            <w14:solidFill>
              <w14:schemeClr w14:val="tx1"/>
            </w14:solidFill>
          </w14:textFill>
        </w:rPr>
        <w:t>1.</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zh-TW" w:eastAsia="zh-TW" w:bidi="zh-TW"/>
          <w14:textFill>
            <w14:solidFill>
              <w14:schemeClr w14:val="tx1"/>
            </w14:solidFill>
          </w14:textFill>
        </w:rPr>
        <w:t>由于承包人原因延误工期或未按规定时间交付报告、成果、文件，每延误一天应承担人民币500元的违约金；延误期限达到10</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en-US" w:eastAsia="zh-CN" w:bidi="zh-TW"/>
          <w14:textFill>
            <w14:solidFill>
              <w14:schemeClr w14:val="tx1"/>
            </w14:solidFill>
          </w14:textFill>
        </w:rPr>
        <w:t>天</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zh-TW" w:eastAsia="zh-TW" w:bidi="zh-TW"/>
          <w14:textFill>
            <w14:solidFill>
              <w14:schemeClr w14:val="tx1"/>
            </w14:solidFill>
          </w14:textFill>
        </w:rPr>
        <w:t>以上，发包人有权单方解除本合同，承包人除须将发包人已付的设计费全额退还</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en-US" w:eastAsia="zh-CN" w:bidi="zh-TW"/>
          <w14:textFill>
            <w14:solidFill>
              <w14:schemeClr w14:val="tx1"/>
            </w14:solidFill>
          </w14:textFill>
        </w:rPr>
        <w:t>外，</w:t>
      </w:r>
      <w:r>
        <w:rPr>
          <w:rFonts w:hint="eastAsia" w:ascii="宋体" w:hAnsi="宋体" w:eastAsia="宋体" w:cs="宋体"/>
          <w:color w:val="000000" w:themeColor="text1"/>
          <w:spacing w:val="0"/>
          <w:w w:val="100"/>
          <w:position w:val="0"/>
          <w:sz w:val="21"/>
          <w:szCs w:val="21"/>
          <w:highlight w:val="none"/>
          <w:u w:val="none"/>
          <w:shd w:val="clear" w:color="auto" w:fill="auto"/>
          <w:lang w:val="en-US" w:eastAsia="zh-CN" w:bidi="zh-TW"/>
          <w14:textFill>
            <w14:solidFill>
              <w14:schemeClr w14:val="tx1"/>
            </w14:solidFill>
          </w14:textFill>
        </w:rPr>
        <w:t>还应承担合同总金额30%的违约责任</w:t>
      </w:r>
      <w:r>
        <w:rPr>
          <w:rFonts w:hint="eastAsia" w:ascii="宋体" w:hAnsi="宋体" w:eastAsia="宋体" w:cs="宋体"/>
          <w:color w:val="000000" w:themeColor="text1"/>
          <w:spacing w:val="0"/>
          <w:w w:val="100"/>
          <w:position w:val="0"/>
          <w:sz w:val="21"/>
          <w:szCs w:val="21"/>
          <w:highlight w:val="none"/>
          <w:u w:val="none"/>
          <w:shd w:val="clear" w:color="auto" w:fill="auto"/>
          <w:lang w:val="zh-TW" w:eastAsia="zh-TW" w:bidi="zh-TW"/>
          <w14:textFill>
            <w14:solidFill>
              <w14:schemeClr w14:val="tx1"/>
            </w14:solidFill>
          </w14:textFill>
        </w:rPr>
        <w:t>。</w:t>
      </w:r>
    </w:p>
    <w:p>
      <w:pPr>
        <w:keepNext w:val="0"/>
        <w:keepLines w:val="0"/>
        <w:pageBreakBefore w:val="0"/>
        <w:widowControl w:val="0"/>
        <w:tabs>
          <w:tab w:val="left" w:pos="3600"/>
          <w:tab w:val="left" w:pos="5040"/>
        </w:tabs>
        <w:kinsoku/>
        <w:wordWrap/>
        <w:overflowPunct/>
        <w:topLinePunct w:val="0"/>
        <w:autoSpaceDE/>
        <w:autoSpaceDN/>
        <w:bidi w:val="0"/>
        <w:adjustRightInd/>
        <w:snapToGrid/>
        <w:spacing w:before="0" w:after="0" w:line="460" w:lineRule="exact"/>
        <w:ind w:right="0" w:firstLine="420" w:firstLineChars="200"/>
        <w:textAlignment w:val="auto"/>
        <w:outlineLvl w:val="9"/>
        <w:rPr>
          <w:rFonts w:hint="eastAsia" w:ascii="宋体" w:hAnsi="宋体" w:eastAsia="宋体" w:cs="宋体"/>
          <w:color w:val="000000" w:themeColor="text1"/>
          <w:spacing w:val="8"/>
          <w:sz w:val="21"/>
          <w:szCs w:val="21"/>
          <w:highlight w:val="none"/>
          <w14:textFill>
            <w14:solidFill>
              <w14:schemeClr w14:val="tx1"/>
            </w14:solidFill>
          </w14:textFill>
        </w:rPr>
      </w:pPr>
      <w:bookmarkStart w:id="431" w:name="bookmark21"/>
      <w:bookmarkEnd w:id="431"/>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en-US" w:eastAsia="zh-CN" w:bidi="zh-TW"/>
          <w14:textFill>
            <w14:solidFill>
              <w14:schemeClr w14:val="tx1"/>
            </w14:solidFill>
          </w14:textFill>
        </w:rPr>
        <w:t>2.</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zh-TW" w:eastAsia="zh-TW" w:bidi="zh-TW"/>
          <w14:textFill>
            <w14:solidFill>
              <w14:schemeClr w14:val="tx1"/>
            </w14:solidFill>
          </w14:textFill>
        </w:rPr>
        <w:t>交付的报告、成果、文件达不到合同约定条件的要求，承包人须按发包人要求的时间返工，直到符合约定条件，返工费由承包人承担。如返工后仍不能达到约定条件，发包人有权单方解除合同，承包人须向发包人返还已付设计费。由于设计人员错误造成工程质量事故损失，</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en-US" w:eastAsia="zh-CN" w:bidi="zh-TW"/>
          <w14:textFill>
            <w14:solidFill>
              <w14:schemeClr w14:val="tx1"/>
            </w14:solidFill>
          </w14:textFill>
        </w:rPr>
        <w:t>承包人应承担所有赔偿责任，</w:t>
      </w:r>
      <w:r>
        <w:rPr>
          <w:rFonts w:hint="eastAsia" w:ascii="宋体" w:hAnsi="宋体" w:eastAsia="宋体" w:cs="宋体"/>
          <w:color w:val="000000" w:themeColor="text1"/>
          <w:spacing w:val="0"/>
          <w:w w:val="100"/>
          <w:position w:val="0"/>
          <w:sz w:val="21"/>
          <w:szCs w:val="21"/>
          <w:highlight w:val="none"/>
          <w:u w:val="none"/>
          <w:shd w:val="clear" w:color="auto" w:fill="auto"/>
          <w:lang w:val="en-US" w:eastAsia="zh-CN" w:bidi="zh-TW"/>
          <w14:textFill>
            <w14:solidFill>
              <w14:schemeClr w14:val="tx1"/>
            </w14:solidFill>
          </w14:textFill>
        </w:rPr>
        <w:t>承包人</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zh-TW" w:eastAsia="zh-TW" w:bidi="zh-TW"/>
          <w14:textFill>
            <w14:solidFill>
              <w14:schemeClr w14:val="tx1"/>
            </w14:solidFill>
          </w14:textFill>
        </w:rPr>
        <w:t>应当通过所投建设工程设计责任保险向发包人承担赔偿责任或者根据直接经济损失程度向发包人支付赔偿金。</w:t>
      </w:r>
    </w:p>
    <w:p>
      <w:pPr>
        <w:pStyle w:val="123"/>
        <w:keepNext w:val="0"/>
        <w:keepLines w:val="0"/>
        <w:pageBreakBefore w:val="0"/>
        <w:widowControl w:val="0"/>
        <w:shd w:val="clear" w:color="auto" w:fill="auto"/>
        <w:tabs>
          <w:tab w:val="left" w:pos="4022"/>
          <w:tab w:val="left" w:pos="6221"/>
        </w:tabs>
        <w:kinsoku/>
        <w:wordWrap/>
        <w:overflowPunct/>
        <w:topLinePunct w:val="0"/>
        <w:autoSpaceDE/>
        <w:autoSpaceDN/>
        <w:bidi w:val="0"/>
        <w:adjustRightInd/>
        <w:snapToGrid/>
        <w:spacing w:before="0" w:after="0" w:line="460" w:lineRule="exact"/>
        <w:ind w:left="382" w:leftChars="182" w:right="0" w:firstLine="16" w:firstLineChars="8"/>
        <w:jc w:val="left"/>
        <w:textAlignment w:val="auto"/>
        <w:outlineLvl w:val="9"/>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zh-TW" w:eastAsia="zh-TW" w:bidi="zh-TW"/>
          <w14:textFill>
            <w14:solidFill>
              <w14:schemeClr w14:val="tx1"/>
            </w14:solidFill>
          </w14:textFill>
        </w:rPr>
      </w:pP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en-US" w:eastAsia="zh-CN" w:bidi="zh-TW"/>
          <w14:textFill>
            <w14:solidFill>
              <w14:schemeClr w14:val="tx1"/>
            </w14:solidFill>
          </w14:textFill>
        </w:rPr>
        <w:t>3.</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zh-TW" w:eastAsia="zh-TW" w:bidi="zh-TW"/>
          <w14:textFill>
            <w14:solidFill>
              <w14:schemeClr w14:val="tx1"/>
            </w14:solidFill>
          </w14:textFill>
        </w:rPr>
        <w:t>合同生效后，</w:t>
      </w:r>
      <w:r>
        <w:rPr>
          <w:rFonts w:hint="eastAsia" w:ascii="宋体" w:hAnsi="宋体" w:eastAsia="宋体" w:cs="宋体"/>
          <w:color w:val="000000" w:themeColor="text1"/>
          <w:sz w:val="21"/>
          <w:szCs w:val="21"/>
          <w:highlight w:val="none"/>
          <w14:textFill>
            <w14:solidFill>
              <w14:schemeClr w14:val="tx1"/>
            </w14:solidFill>
          </w14:textFill>
        </w:rPr>
        <w:t>甲方如无正当理由终止合同</w:t>
      </w:r>
      <w:r>
        <w:rPr>
          <w:rFonts w:hint="eastAsia" w:ascii="宋体" w:hAnsi="宋体" w:eastAsia="宋体" w:cs="宋体"/>
          <w:color w:val="000000" w:themeColor="text1"/>
          <w:sz w:val="21"/>
          <w:szCs w:val="21"/>
          <w:highlight w:val="none"/>
          <w:lang w:eastAsia="zh-CN"/>
          <w14:textFill>
            <w14:solidFill>
              <w14:schemeClr w14:val="tx1"/>
            </w14:solidFill>
          </w14:textFill>
        </w:rPr>
        <w:t>或</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zh-TW" w:eastAsia="zh-TW" w:bidi="zh-TW"/>
          <w14:textFill>
            <w14:solidFill>
              <w14:schemeClr w14:val="tx1"/>
            </w14:solidFill>
          </w14:textFill>
        </w:rPr>
        <w:t>承包人无故要求终止或解除合同，应</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zh-TW" w:eastAsia="zh-CN" w:bidi="zh-TW"/>
          <w14:textFill>
            <w14:solidFill>
              <w14:schemeClr w14:val="tx1"/>
            </w14:solidFill>
          </w14:textFill>
        </w:rPr>
        <w:t>按照合同价款的</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en-US" w:eastAsia="zh-CN" w:bidi="zh-TW"/>
          <w14:textFill>
            <w14:solidFill>
              <w14:schemeClr w14:val="tx1"/>
            </w14:solidFill>
          </w14:textFill>
        </w:rPr>
        <w:t>20%向对方</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zh-TW" w:eastAsia="zh-CN" w:bidi="zh-TW"/>
          <w14:textFill>
            <w14:solidFill>
              <w14:schemeClr w14:val="tx1"/>
            </w14:solidFill>
          </w14:textFill>
        </w:rPr>
        <w:t>支付违约金，已经收取的费用应予以退还</w:t>
      </w:r>
      <w:r>
        <w:rPr>
          <w:rFonts w:hint="eastAsia" w:ascii="宋体" w:hAnsi="宋体" w:eastAsia="宋体" w:cs="宋体"/>
          <w:b w:val="0"/>
          <w:bCs w:val="0"/>
          <w:i w:val="0"/>
          <w:iCs w:val="0"/>
          <w:smallCaps w:val="0"/>
          <w:strike w:val="0"/>
          <w:color w:val="000000" w:themeColor="text1"/>
          <w:spacing w:val="0"/>
          <w:w w:val="100"/>
          <w:position w:val="0"/>
          <w:sz w:val="21"/>
          <w:szCs w:val="21"/>
          <w:highlight w:val="none"/>
          <w:u w:val="none"/>
          <w:shd w:val="clear" w:color="auto" w:fill="auto"/>
          <w:lang w:val="zh-TW" w:eastAsia="zh-TW" w:bidi="zh-TW"/>
          <w14:textFill>
            <w14:solidFill>
              <w14:schemeClr w14:val="tx1"/>
            </w14:solidFill>
          </w14:textFill>
        </w:rPr>
        <w:t>。</w:t>
      </w:r>
    </w:p>
    <w:p>
      <w:pPr>
        <w:keepNext w:val="0"/>
        <w:keepLines w:val="0"/>
        <w:pageBreakBefore w:val="0"/>
        <w:widowControl w:val="0"/>
        <w:tabs>
          <w:tab w:val="left" w:pos="540"/>
        </w:tabs>
        <w:kinsoku/>
        <w:wordWrap/>
        <w:overflowPunct/>
        <w:topLinePunct w:val="0"/>
        <w:autoSpaceDE/>
        <w:autoSpaceDN/>
        <w:bidi w:val="0"/>
        <w:adjustRightInd/>
        <w:snapToGrid/>
        <w:spacing w:before="0" w:after="0" w:line="460" w:lineRule="exact"/>
        <w:ind w:right="0" w:firstLine="420" w:firstLineChars="200"/>
        <w:textAlignment w:val="auto"/>
        <w:outlineLvl w:val="9"/>
        <w:rPr>
          <w:rFonts w:hint="eastAsia" w:ascii="宋体" w:hAnsi="宋体" w:eastAsia="宋体" w:cs="宋体"/>
          <w:b w:val="0"/>
          <w:bCs w:val="0"/>
          <w:i w:val="0"/>
          <w:iCs w:val="0"/>
          <w:smallCaps w:val="0"/>
          <w:strike w:val="0"/>
          <w:color w:val="000000" w:themeColor="text1"/>
          <w:spacing w:val="0"/>
          <w:w w:val="100"/>
          <w:kern w:val="2"/>
          <w:position w:val="0"/>
          <w:sz w:val="21"/>
          <w:szCs w:val="21"/>
          <w:highlight w:val="none"/>
          <w:u w:val="none"/>
          <w:shd w:val="clear" w:color="auto" w:fill="auto"/>
          <w:lang w:val="en-US" w:eastAsia="zh-CN" w:bidi="zh-TW"/>
          <w14:textFill>
            <w14:solidFill>
              <w14:schemeClr w14:val="tx1"/>
            </w14:solidFill>
          </w14:textFill>
        </w:rPr>
      </w:pPr>
      <w:r>
        <w:rPr>
          <w:rFonts w:hint="eastAsia" w:ascii="宋体" w:hAnsi="宋体" w:eastAsia="宋体" w:cs="宋体"/>
          <w:b w:val="0"/>
          <w:bCs w:val="0"/>
          <w:i w:val="0"/>
          <w:iCs w:val="0"/>
          <w:smallCaps w:val="0"/>
          <w:strike w:val="0"/>
          <w:color w:val="000000" w:themeColor="text1"/>
          <w:spacing w:val="0"/>
          <w:w w:val="100"/>
          <w:kern w:val="2"/>
          <w:position w:val="0"/>
          <w:sz w:val="21"/>
          <w:szCs w:val="21"/>
          <w:highlight w:val="none"/>
          <w:u w:val="none"/>
          <w:shd w:val="clear" w:color="auto" w:fill="auto"/>
          <w:lang w:val="en-US" w:eastAsia="zh-CN" w:bidi="zh-TW"/>
          <w14:textFill>
            <w14:solidFill>
              <w14:schemeClr w14:val="tx1"/>
            </w14:solidFill>
          </w14:textFill>
        </w:rPr>
        <w:t>4.任何一方违约，应当赔偿守约方损失，该等损失包括但不限于守约方为维权所花费的律师费、诉讼费、差旅费、鉴定费等必要花费。</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第十条  争议解决</w:t>
      </w:r>
    </w:p>
    <w:p>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在执行本协议过程中，如果发生争议，双方应友好协商解决。如未能协商达成一致意见，任何一方均有权向项目所在地人民法院提起诉讼。</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第十一条  </w:t>
      </w:r>
      <w:r>
        <w:rPr>
          <w:rFonts w:hint="eastAsia" w:ascii="宋体" w:hAnsi="宋体" w:eastAsia="宋体" w:cs="宋体"/>
          <w:b/>
          <w:color w:val="000000" w:themeColor="text1"/>
          <w:sz w:val="21"/>
          <w:szCs w:val="21"/>
          <w:highlight w:val="none"/>
          <w:lang w:eastAsia="zh-CN"/>
          <w14:textFill>
            <w14:solidFill>
              <w14:schemeClr w14:val="tx1"/>
            </w14:solidFill>
          </w14:textFill>
        </w:rPr>
        <w:t>通知与</w:t>
      </w:r>
      <w:r>
        <w:rPr>
          <w:rFonts w:hint="eastAsia" w:ascii="宋体" w:hAnsi="宋体" w:eastAsia="宋体" w:cs="宋体"/>
          <w:b/>
          <w:color w:val="000000" w:themeColor="text1"/>
          <w:sz w:val="21"/>
          <w:szCs w:val="21"/>
          <w:highlight w:val="none"/>
          <w14:textFill>
            <w14:solidFill>
              <w14:schemeClr w14:val="tx1"/>
            </w14:solidFill>
          </w14:textFill>
        </w:rPr>
        <w:t>送达</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1.本合同项下任何一方向另一方发出的通知、信件、数据电文等，应当发送至本合同</w:t>
      </w:r>
      <w:r>
        <w:rPr>
          <w:rFonts w:hint="eastAsia" w:ascii="宋体" w:hAnsi="宋体" w:eastAsia="宋体" w:cs="宋体"/>
          <w:color w:val="000000" w:themeColor="text1"/>
          <w:sz w:val="21"/>
          <w:szCs w:val="21"/>
          <w:highlight w:val="none"/>
          <w:lang w:eastAsia="zh-CN"/>
          <w14:textFill>
            <w14:solidFill>
              <w14:schemeClr w14:val="tx1"/>
            </w14:solidFill>
          </w14:textFill>
        </w:rPr>
        <w:t>首部或尾部列明</w:t>
      </w:r>
      <w:r>
        <w:rPr>
          <w:rFonts w:hint="eastAsia" w:ascii="宋体" w:hAnsi="宋体" w:eastAsia="宋体" w:cs="宋体"/>
          <w:color w:val="000000" w:themeColor="text1"/>
          <w:sz w:val="21"/>
          <w:szCs w:val="21"/>
          <w:highlight w:val="none"/>
          <w14:textFill>
            <w14:solidFill>
              <w14:schemeClr w14:val="tx1"/>
            </w14:solidFill>
          </w14:textFill>
        </w:rPr>
        <w:t>的地址、联系人和通信终端。</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2.一方变更名称、地址、联系人或通信终端的，应当在变更后3日内及时书面通知另一方，另一方实际收到变更通知前的送达仍为有效送达，电子送达与书面送达具有同等法律效力。</w:t>
      </w:r>
    </w:p>
    <w:p>
      <w:pPr>
        <w:pStyle w:val="27"/>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3.司法文书也以上述方式进行送达。</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第十二条  其他</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1．经合同双方共同签字认可的协议、附件、文件、会议纪要及传真件是本合同的重要组成部分，与本合同具有同等法律效力。</w:t>
      </w:r>
    </w:p>
    <w:p>
      <w:pPr>
        <w:keepNext w:val="0"/>
        <w:keepLines w:val="0"/>
        <w:pageBreakBefore w:val="0"/>
        <w:widowControl w:val="0"/>
        <w:tabs>
          <w:tab w:val="left" w:pos="540"/>
        </w:tabs>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2.本合同协议未尽事宜，由双方另行协商签订补充协议。</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3.</w:t>
      </w:r>
      <w:r>
        <w:rPr>
          <w:rFonts w:hint="eastAsia" w:ascii="宋体" w:hAnsi="宋体" w:eastAsia="宋体" w:cs="宋体"/>
          <w:color w:val="000000" w:themeColor="text1"/>
          <w:sz w:val="21"/>
          <w:szCs w:val="21"/>
          <w:highlight w:val="none"/>
          <w14:textFill>
            <w14:solidFill>
              <w14:schemeClr w14:val="tx1"/>
            </w14:solidFill>
          </w14:textFill>
        </w:rPr>
        <w:t>本合同甲乙双方签字盖章后生效，一式四份，具有同等法律效力，甲、乙双方各一份；自签订之日起一个工作日内将合同原件一份交采购代理机构。采购代理机构将政府采购合同在省级以上人民政府财政部门指定媒体上公告，供应商于合同签订之日起七个工作日内将一份合同原件送</w:t>
      </w:r>
      <w:r>
        <w:rPr>
          <w:rFonts w:hint="eastAsia" w:ascii="宋体" w:hAnsi="宋体" w:cs="宋体"/>
          <w:color w:val="000000" w:themeColor="text1"/>
          <w:sz w:val="21"/>
          <w:szCs w:val="21"/>
          <w:highlight w:val="none"/>
          <w:lang w:val="en-US" w:eastAsia="zh-CN"/>
          <w14:textFill>
            <w14:solidFill>
              <w14:schemeClr w14:val="tx1"/>
            </w14:solidFill>
          </w14:textFill>
        </w:rPr>
        <w:t>秀峰区</w:t>
      </w:r>
      <w:r>
        <w:rPr>
          <w:rFonts w:hint="eastAsia" w:ascii="宋体" w:hAnsi="宋体" w:eastAsia="宋体" w:cs="宋体"/>
          <w:color w:val="000000" w:themeColor="text1"/>
          <w:sz w:val="21"/>
          <w:szCs w:val="21"/>
          <w:highlight w:val="none"/>
          <w14:textFill>
            <w14:solidFill>
              <w14:schemeClr w14:val="tx1"/>
            </w14:solidFill>
          </w14:textFill>
        </w:rPr>
        <w:t>人民政府采购管理办公室备案。</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第十三条  签订本合同依据</w:t>
      </w:r>
    </w:p>
    <w:p>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竞争性磋商</w:t>
      </w:r>
      <w:r>
        <w:rPr>
          <w:rFonts w:hint="eastAsia" w:ascii="宋体" w:hAnsi="宋体" w:eastAsia="宋体" w:cs="宋体"/>
          <w:color w:val="000000" w:themeColor="text1"/>
          <w:sz w:val="21"/>
          <w:szCs w:val="21"/>
          <w:highlight w:val="none"/>
          <w14:textFill>
            <w14:solidFill>
              <w14:schemeClr w14:val="tx1"/>
            </w14:solidFill>
          </w14:textFill>
        </w:rPr>
        <w:t>文件；</w:t>
      </w:r>
    </w:p>
    <w:p>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2.乙方的磋商报价表；</w:t>
      </w:r>
    </w:p>
    <w:p>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.服务承诺书；</w:t>
      </w:r>
    </w:p>
    <w:p>
      <w:pPr>
        <w:keepNext w:val="0"/>
        <w:keepLines w:val="0"/>
        <w:pageBreakBefore w:val="0"/>
        <w:widowControl w:val="0"/>
        <w:kinsoku/>
        <w:wordWrap/>
        <w:overflowPunct/>
        <w:topLinePunct w:val="0"/>
        <w:autoSpaceDE/>
        <w:autoSpaceDN/>
        <w:bidi w:val="0"/>
        <w:adjustRightInd/>
        <w:snapToGrid/>
        <w:spacing w:line="460" w:lineRule="exact"/>
        <w:ind w:firstLine="210" w:firstLineChars="1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vanish/>
          <w:color w:val="000000" w:themeColor="text1"/>
          <w:sz w:val="21"/>
          <w:szCs w:val="21"/>
          <w:highlight w:val="none"/>
          <w:lang w:val="en-US" w:eastAsia="zh-CN"/>
          <w14:textFill>
            <w14:solidFill>
              <w14:schemeClr w14:val="tx1"/>
            </w14:solidFill>
          </w14:textFill>
        </w:rPr>
        <w:t>44444</w:t>
      </w:r>
      <w:r>
        <w:rPr>
          <w:rFonts w:hint="eastAsia" w:ascii="宋体" w:hAnsi="宋体" w:eastAsia="宋体" w:cs="宋体"/>
          <w:color w:val="000000" w:themeColor="text1"/>
          <w:sz w:val="21"/>
          <w:szCs w:val="21"/>
          <w:highlight w:val="none"/>
          <w14:textFill>
            <w14:solidFill>
              <w14:schemeClr w14:val="tx1"/>
            </w14:solidFill>
          </w14:textFill>
        </w:rPr>
        <w:t>成交通知书。</w:t>
      </w:r>
    </w:p>
    <w:p>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pPr>
        <w:pStyle w:val="2"/>
        <w:rPr>
          <w:rFonts w:hint="eastAsia"/>
          <w:color w:val="000000" w:themeColor="text1"/>
          <w14:textFill>
            <w14:solidFill>
              <w14:schemeClr w14:val="tx1"/>
            </w14:solidFill>
          </w14:textFill>
        </w:rPr>
      </w:pPr>
    </w:p>
    <w:p>
      <w:pPr>
        <w:spacing w:line="44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甲方（公章）：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乙方（公章）：</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440" w:lineRule="exact"/>
        <w:ind w:left="4620" w:hanging="4620" w:hangingChars="2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法定代表人（负责人）签字：</w:t>
      </w:r>
      <w:r>
        <w:rPr>
          <w:rFonts w:hint="eastAsia" w:ascii="宋体" w:hAnsi="宋体" w:cs="宋体"/>
          <w:color w:val="000000" w:themeColor="text1"/>
          <w:szCs w:val="21"/>
          <w:highlight w:val="none"/>
          <w:u w:val="single"/>
          <w14:textFill>
            <w14:solidFill>
              <w14:schemeClr w14:val="tx1"/>
            </w14:solidFill>
          </w14:textFill>
        </w:rPr>
        <w:t xml:space="preserve">                                 </w:t>
      </w:r>
    </w:p>
    <w:p>
      <w:pPr>
        <w:tabs>
          <w:tab w:val="left" w:pos="4680"/>
        </w:tabs>
        <w:spacing w:line="44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委托代理人：</w:t>
      </w:r>
      <w:r>
        <w:rPr>
          <w:rFonts w:hint="eastAsia" w:ascii="宋体" w:hAnsi="宋体" w:cs="宋体"/>
          <w:color w:val="000000" w:themeColor="text1"/>
          <w:szCs w:val="21"/>
          <w:highlight w:val="none"/>
          <w:u w:val="single"/>
          <w14:textFill>
            <w14:solidFill>
              <w14:schemeClr w14:val="tx1"/>
            </w14:solidFill>
          </w14:textFill>
        </w:rPr>
        <w:t xml:space="preserve">                                 </w:t>
      </w:r>
    </w:p>
    <w:p>
      <w:pPr>
        <w:tabs>
          <w:tab w:val="left" w:pos="5040"/>
        </w:tabs>
        <w:spacing w:line="44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电   话： </w:t>
      </w:r>
      <w:r>
        <w:rPr>
          <w:rFonts w:hint="eastAsia" w:ascii="宋体" w:hAnsi="宋体" w:cs="宋体"/>
          <w:color w:val="000000" w:themeColor="text1"/>
          <w:szCs w:val="21"/>
          <w:highlight w:val="none"/>
          <w:u w:val="single"/>
          <w14:textFill>
            <w14:solidFill>
              <w14:schemeClr w14:val="tx1"/>
            </w14:solidFill>
          </w14:textFill>
        </w:rPr>
        <w:t xml:space="preserve">                                  </w:t>
      </w:r>
    </w:p>
    <w:p>
      <w:pPr>
        <w:tabs>
          <w:tab w:val="left" w:pos="5040"/>
        </w:tabs>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开户名称：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tabs>
          <w:tab w:val="left" w:pos="5040"/>
        </w:tabs>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tabs>
          <w:tab w:val="left" w:pos="5040"/>
        </w:tabs>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银行账号：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银行账号：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napToGrid w:val="0"/>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日    期：</w:t>
      </w:r>
      <w:r>
        <w:rPr>
          <w:rFonts w:hint="eastAsia" w:ascii="宋体" w:hAnsi="宋体" w:cs="宋体"/>
          <w:color w:val="000000" w:themeColor="text1"/>
          <w:szCs w:val="21"/>
          <w:highlight w:val="none"/>
          <w:u w:val="single"/>
          <w14:textFill>
            <w14:solidFill>
              <w14:schemeClr w14:val="tx1"/>
            </w14:solidFill>
          </w14:textFill>
        </w:rPr>
        <w:t xml:space="preserve">                         </w:t>
      </w:r>
    </w:p>
    <w:p>
      <w:pPr>
        <w:pStyle w:val="3"/>
        <w:rPr>
          <w:color w:val="000000" w:themeColor="text1"/>
          <w:highlight w:val="none"/>
          <w14:textFill>
            <w14:solidFill>
              <w14:schemeClr w14:val="tx1"/>
            </w14:solidFill>
          </w14:textFill>
        </w:rPr>
      </w:pPr>
      <w:bookmarkStart w:id="432" w:name="_Toc23685"/>
      <w:r>
        <w:rPr>
          <w:rFonts w:hint="eastAsia" w:ascii="宋体" w:hAnsi="宋体" w:cs="宋体"/>
          <w:color w:val="000000" w:themeColor="text1"/>
          <w:highlight w:val="none"/>
          <w14:textFill>
            <w14:solidFill>
              <w14:schemeClr w14:val="tx1"/>
            </w14:solidFill>
          </w14:textFill>
        </w:rPr>
        <w:br w:type="page"/>
      </w:r>
      <w:r>
        <w:rPr>
          <w:rFonts w:hint="eastAsia" w:ascii="宋体" w:hAnsi="宋体" w:cs="宋体"/>
          <w:color w:val="000000" w:themeColor="text1"/>
          <w:highlight w:val="none"/>
          <w14:textFill>
            <w14:solidFill>
              <w14:schemeClr w14:val="tx1"/>
            </w14:solidFill>
          </w14:textFill>
        </w:rPr>
        <w:t>第六章  响应文件（格式）</w:t>
      </w:r>
      <w:bookmarkEnd w:id="432"/>
    </w:p>
    <w:p>
      <w:pPr>
        <w:spacing w:line="360" w:lineRule="exact"/>
        <w:rPr>
          <w:rFonts w:ascii="Arial" w:hAnsi="Arial" w:cs="Arial"/>
          <w:b/>
          <w:bCs/>
          <w:color w:val="000000" w:themeColor="text1"/>
          <w:sz w:val="30"/>
          <w:szCs w:val="30"/>
          <w:highlight w:val="none"/>
          <w14:textFill>
            <w14:solidFill>
              <w14:schemeClr w14:val="tx1"/>
            </w14:solidFill>
          </w14:textFill>
        </w:rPr>
      </w:pPr>
      <w:bookmarkStart w:id="433" w:name="_Toc486867150"/>
      <w:bookmarkStart w:id="434" w:name="_Toc478137727"/>
      <w:bookmarkStart w:id="435" w:name="_Toc486695806"/>
      <w:bookmarkStart w:id="436" w:name="_Toc498698226"/>
      <w:bookmarkStart w:id="437" w:name="_Toc498627082"/>
      <w:bookmarkStart w:id="438" w:name="_Toc1762"/>
      <w:bookmarkStart w:id="439" w:name="_Toc31410"/>
    </w:p>
    <w:p>
      <w:pPr>
        <w:spacing w:line="360" w:lineRule="exact"/>
        <w:rPr>
          <w:rFonts w:ascii="Arial" w:hAnsi="Arial" w:cs="Arial"/>
          <w:b/>
          <w:bCs/>
          <w:color w:val="000000" w:themeColor="text1"/>
          <w:sz w:val="30"/>
          <w:szCs w:val="30"/>
          <w:highlight w:val="none"/>
          <w14:textFill>
            <w14:solidFill>
              <w14:schemeClr w14:val="tx1"/>
            </w14:solidFill>
          </w14:textFill>
        </w:rPr>
      </w:pPr>
      <w:r>
        <w:rPr>
          <w:rFonts w:hint="eastAsia" w:ascii="Arial" w:hAnsi="Arial" w:cs="Arial"/>
          <w:b/>
          <w:bCs/>
          <w:color w:val="000000" w:themeColor="text1"/>
          <w:sz w:val="30"/>
          <w:szCs w:val="30"/>
          <w:highlight w:val="none"/>
          <w14:textFill>
            <w14:solidFill>
              <w14:schemeClr w14:val="tx1"/>
            </w14:solidFill>
          </w14:textFill>
        </w:rPr>
        <w:t>响应</w:t>
      </w:r>
      <w:r>
        <w:rPr>
          <w:rFonts w:ascii="Arial" w:hAnsi="Arial" w:cs="Arial"/>
          <w:b/>
          <w:bCs/>
          <w:color w:val="000000" w:themeColor="text1"/>
          <w:sz w:val="30"/>
          <w:szCs w:val="30"/>
          <w:highlight w:val="none"/>
          <w14:textFill>
            <w14:solidFill>
              <w14:schemeClr w14:val="tx1"/>
            </w14:solidFill>
          </w14:textFill>
        </w:rPr>
        <w:t>文件封面格式</w:t>
      </w:r>
      <w:bookmarkEnd w:id="433"/>
      <w:bookmarkEnd w:id="434"/>
      <w:bookmarkEnd w:id="435"/>
      <w:bookmarkEnd w:id="436"/>
      <w:bookmarkEnd w:id="437"/>
      <w:r>
        <w:rPr>
          <w:rFonts w:ascii="Arial" w:hAnsi="Arial" w:cs="Arial"/>
          <w:b/>
          <w:bCs/>
          <w:color w:val="000000" w:themeColor="text1"/>
          <w:sz w:val="30"/>
          <w:szCs w:val="30"/>
          <w:highlight w:val="none"/>
          <w14:textFill>
            <w14:solidFill>
              <w14:schemeClr w14:val="tx1"/>
            </w14:solidFill>
          </w14:textFill>
        </w:rPr>
        <w:t>：</w:t>
      </w:r>
      <w:bookmarkEnd w:id="438"/>
      <w:bookmarkEnd w:id="439"/>
    </w:p>
    <w:p>
      <w:pPr>
        <w:adjustRightInd w:val="0"/>
        <w:snapToGrid w:val="0"/>
        <w:spacing w:line="360" w:lineRule="exact"/>
        <w:jc w:val="right"/>
        <w:rPr>
          <w:rFonts w:ascii="Arial" w:hAnsi="Arial" w:cs="Arial"/>
          <w:b/>
          <w:color w:val="000000" w:themeColor="text1"/>
          <w:sz w:val="32"/>
          <w:szCs w:val="32"/>
          <w:highlight w:val="none"/>
          <w14:textFill>
            <w14:solidFill>
              <w14:schemeClr w14:val="tx1"/>
            </w14:solidFill>
          </w14:textFill>
        </w:rPr>
      </w:pPr>
    </w:p>
    <w:p>
      <w:pPr>
        <w:adjustRightInd w:val="0"/>
        <w:snapToGrid w:val="0"/>
        <w:rPr>
          <w:rFonts w:ascii="Arial" w:hAnsi="Arial" w:cs="Arial"/>
          <w:b/>
          <w:color w:val="000000" w:themeColor="text1"/>
          <w:sz w:val="44"/>
          <w:szCs w:val="44"/>
          <w:highlight w:val="none"/>
          <w14:textFill>
            <w14:solidFill>
              <w14:schemeClr w14:val="tx1"/>
            </w14:solidFill>
          </w14:textFill>
        </w:rPr>
      </w:pPr>
    </w:p>
    <w:p>
      <w:pPr>
        <w:adjustRightInd w:val="0"/>
        <w:snapToGrid w:val="0"/>
        <w:jc w:val="center"/>
        <w:rPr>
          <w:rFonts w:ascii="Arial" w:hAnsi="Arial" w:cs="Arial"/>
          <w:b/>
          <w:color w:val="000000" w:themeColor="text1"/>
          <w:sz w:val="44"/>
          <w:szCs w:val="44"/>
          <w:highlight w:val="none"/>
          <w14:textFill>
            <w14:solidFill>
              <w14:schemeClr w14:val="tx1"/>
            </w14:solidFill>
          </w14:textFill>
        </w:rPr>
      </w:pPr>
      <w:bookmarkStart w:id="440" w:name="_Toc3441_WPSOffice_Level1"/>
      <w:bookmarkStart w:id="441" w:name="_Toc13659_WPSOffice_Level1"/>
      <w:r>
        <w:rPr>
          <w:rFonts w:hint="eastAsia" w:ascii="Arial" w:hAnsi="Arial" w:cs="Arial"/>
          <w:bCs/>
          <w:color w:val="000000" w:themeColor="text1"/>
          <w:sz w:val="72"/>
          <w:szCs w:val="72"/>
          <w:highlight w:val="none"/>
          <w14:textFill>
            <w14:solidFill>
              <w14:schemeClr w14:val="tx1"/>
            </w14:solidFill>
          </w14:textFill>
        </w:rPr>
        <w:t>响应</w:t>
      </w:r>
      <w:r>
        <w:rPr>
          <w:rFonts w:ascii="Arial" w:hAnsi="Arial" w:cs="Arial"/>
          <w:bCs/>
          <w:color w:val="000000" w:themeColor="text1"/>
          <w:sz w:val="72"/>
          <w:szCs w:val="72"/>
          <w:highlight w:val="none"/>
          <w14:textFill>
            <w14:solidFill>
              <w14:schemeClr w14:val="tx1"/>
            </w14:solidFill>
          </w14:textFill>
        </w:rPr>
        <w:t>文件</w:t>
      </w:r>
      <w:bookmarkEnd w:id="440"/>
      <w:bookmarkEnd w:id="441"/>
    </w:p>
    <w:p>
      <w:pPr>
        <w:adjustRightInd w:val="0"/>
        <w:snapToGrid w:val="0"/>
        <w:spacing w:line="360" w:lineRule="exact"/>
        <w:rPr>
          <w:rFonts w:ascii="Arial" w:hAnsi="Arial" w:cs="Arial"/>
          <w:b/>
          <w:color w:val="000000" w:themeColor="text1"/>
          <w:sz w:val="44"/>
          <w:szCs w:val="44"/>
          <w:highlight w:val="none"/>
          <w14:textFill>
            <w14:solidFill>
              <w14:schemeClr w14:val="tx1"/>
            </w14:solidFill>
          </w14:textFill>
        </w:rPr>
      </w:pPr>
    </w:p>
    <w:p>
      <w:pPr>
        <w:adjustRightInd w:val="0"/>
        <w:snapToGrid w:val="0"/>
        <w:spacing w:line="360" w:lineRule="exact"/>
        <w:rPr>
          <w:rFonts w:ascii="Arial" w:hAnsi="Arial" w:cs="Arial"/>
          <w:b/>
          <w:color w:val="000000" w:themeColor="text1"/>
          <w:sz w:val="44"/>
          <w:szCs w:val="44"/>
          <w:highlight w:val="none"/>
          <w14:textFill>
            <w14:solidFill>
              <w14:schemeClr w14:val="tx1"/>
            </w14:solidFill>
          </w14:textFill>
        </w:rPr>
      </w:pPr>
    </w:p>
    <w:p>
      <w:pPr>
        <w:pStyle w:val="90"/>
        <w:ind w:firstLine="883"/>
        <w:rPr>
          <w:rFonts w:ascii="Arial" w:hAnsi="Arial" w:cs="Arial"/>
          <w:b/>
          <w:color w:val="000000" w:themeColor="text1"/>
          <w:sz w:val="44"/>
          <w:szCs w:val="44"/>
          <w:highlight w:val="none"/>
          <w14:textFill>
            <w14:solidFill>
              <w14:schemeClr w14:val="tx1"/>
            </w14:solidFill>
          </w14:textFill>
        </w:rPr>
      </w:pPr>
    </w:p>
    <w:p>
      <w:pPr>
        <w:spacing w:line="360" w:lineRule="auto"/>
        <w:ind w:firstLine="1500" w:firstLineChars="500"/>
        <w:rPr>
          <w:rFonts w:ascii="宋体" w:hAnsi="宋体" w:cs="宋体"/>
          <w:color w:val="000000" w:themeColor="text1"/>
          <w:sz w:val="30"/>
          <w:szCs w:val="30"/>
          <w:highlight w:val="none"/>
          <w14:textFill>
            <w14:solidFill>
              <w14:schemeClr w14:val="tx1"/>
            </w14:solidFill>
          </w14:textFill>
        </w:rPr>
      </w:pPr>
      <w:r>
        <w:rPr>
          <w:rFonts w:hint="eastAsia" w:ascii="宋体" w:hAnsi="宋体" w:cs="宋体"/>
          <w:bCs/>
          <w:color w:val="000000" w:themeColor="text1"/>
          <w:sz w:val="30"/>
          <w:szCs w:val="30"/>
          <w:highlight w:val="none"/>
          <w14:textFill>
            <w14:solidFill>
              <w14:schemeClr w14:val="tx1"/>
            </w14:solidFill>
          </w14:textFill>
        </w:rPr>
        <w:t>项目名称：</w:t>
      </w:r>
      <w:r>
        <w:rPr>
          <w:rFonts w:hint="eastAsia" w:ascii="宋体" w:hAnsi="宋体" w:cs="宋体"/>
          <w:bCs/>
          <w:color w:val="000000" w:themeColor="text1"/>
          <w:sz w:val="30"/>
          <w:szCs w:val="30"/>
          <w:highlight w:val="none"/>
          <w:u w:val="single"/>
          <w14:textFill>
            <w14:solidFill>
              <w14:schemeClr w14:val="tx1"/>
            </w14:solidFill>
          </w14:textFill>
        </w:rPr>
        <w:t xml:space="preserve">                         </w:t>
      </w:r>
    </w:p>
    <w:p>
      <w:pPr>
        <w:spacing w:line="360" w:lineRule="auto"/>
        <w:ind w:firstLine="1500" w:firstLineChars="500"/>
        <w:rPr>
          <w:rFonts w:hint="eastAsia" w:ascii="宋体" w:hAnsi="宋体" w:cs="宋体"/>
          <w:bCs/>
          <w:color w:val="000000" w:themeColor="text1"/>
          <w:sz w:val="30"/>
          <w:szCs w:val="30"/>
          <w:highlight w:val="none"/>
          <w14:textFill>
            <w14:solidFill>
              <w14:schemeClr w14:val="tx1"/>
            </w14:solidFill>
          </w14:textFill>
        </w:rPr>
      </w:pPr>
      <w:r>
        <w:rPr>
          <w:rFonts w:hint="eastAsia" w:ascii="宋体" w:hAnsi="宋体" w:cs="宋体"/>
          <w:bCs/>
          <w:color w:val="000000" w:themeColor="text1"/>
          <w:sz w:val="30"/>
          <w:szCs w:val="30"/>
          <w:highlight w:val="none"/>
          <w14:textFill>
            <w14:solidFill>
              <w14:schemeClr w14:val="tx1"/>
            </w14:solidFill>
          </w14:textFill>
        </w:rPr>
        <w:t>项目编号：</w:t>
      </w:r>
      <w:r>
        <w:rPr>
          <w:rFonts w:hint="eastAsia" w:ascii="宋体" w:hAnsi="宋体" w:cs="宋体"/>
          <w:bCs/>
          <w:color w:val="000000" w:themeColor="text1"/>
          <w:sz w:val="30"/>
          <w:szCs w:val="30"/>
          <w:highlight w:val="none"/>
          <w:u w:val="single"/>
          <w14:textFill>
            <w14:solidFill>
              <w14:schemeClr w14:val="tx1"/>
            </w14:solidFill>
          </w14:textFill>
        </w:rPr>
        <w:t xml:space="preserve">                         </w:t>
      </w:r>
    </w:p>
    <w:p>
      <w:pPr>
        <w:spacing w:line="360" w:lineRule="auto"/>
        <w:ind w:firstLine="741" w:firstLineChars="353"/>
        <w:rPr>
          <w:rFonts w:ascii="Arial" w:hAnsi="Arial" w:cs="Arial"/>
          <w:color w:val="000000" w:themeColor="text1"/>
          <w:highlight w:val="none"/>
          <w14:textFill>
            <w14:solidFill>
              <w14:schemeClr w14:val="tx1"/>
            </w14:solidFill>
          </w14:textFill>
        </w:rPr>
      </w:pPr>
    </w:p>
    <w:p>
      <w:pPr>
        <w:pStyle w:val="90"/>
        <w:spacing w:line="360" w:lineRule="auto"/>
        <w:ind w:firstLine="420"/>
        <w:rPr>
          <w:rFonts w:ascii="Arial" w:hAnsi="Arial" w:cs="Arial"/>
          <w:color w:val="000000" w:themeColor="text1"/>
          <w:highlight w:val="none"/>
          <w14:textFill>
            <w14:solidFill>
              <w14:schemeClr w14:val="tx1"/>
            </w14:solidFill>
          </w14:textFill>
        </w:rPr>
      </w:pPr>
    </w:p>
    <w:p>
      <w:pPr>
        <w:snapToGrid w:val="0"/>
        <w:spacing w:beforeLines="50" w:after="50" w:line="360" w:lineRule="auto"/>
        <w:ind w:firstLine="1260" w:firstLineChars="450"/>
        <w:rPr>
          <w:rFonts w:ascii="Arial" w:hAnsi="Arial" w:cs="Arial"/>
          <w:bCs/>
          <w:color w:val="000000" w:themeColor="text1"/>
          <w:sz w:val="28"/>
          <w:szCs w:val="28"/>
          <w:highlight w:val="none"/>
          <w14:textFill>
            <w14:solidFill>
              <w14:schemeClr w14:val="tx1"/>
            </w14:solidFill>
          </w14:textFill>
        </w:rPr>
      </w:pPr>
    </w:p>
    <w:p>
      <w:pPr>
        <w:snapToGrid w:val="0"/>
        <w:spacing w:beforeLines="50" w:after="50" w:line="360" w:lineRule="auto"/>
        <w:ind w:firstLine="1260" w:firstLineChars="450"/>
        <w:rPr>
          <w:rFonts w:ascii="Arial" w:hAnsi="Arial" w:cs="Arial"/>
          <w:bCs/>
          <w:color w:val="000000" w:themeColor="text1"/>
          <w:sz w:val="28"/>
          <w:szCs w:val="28"/>
          <w:highlight w:val="none"/>
          <w14:textFill>
            <w14:solidFill>
              <w14:schemeClr w14:val="tx1"/>
            </w14:solidFill>
          </w14:textFill>
        </w:rPr>
      </w:pPr>
    </w:p>
    <w:p>
      <w:pPr>
        <w:spacing w:line="360" w:lineRule="auto"/>
        <w:ind w:firstLine="964" w:firstLineChars="300"/>
        <w:jc w:val="left"/>
        <w:rPr>
          <w:rFonts w:ascii="Arial" w:hAnsi="Arial" w:cs="Arial"/>
          <w:b/>
          <w:color w:val="000000" w:themeColor="text1"/>
          <w:sz w:val="32"/>
          <w:szCs w:val="32"/>
          <w:highlight w:val="none"/>
          <w14:textFill>
            <w14:solidFill>
              <w14:schemeClr w14:val="tx1"/>
            </w14:solidFill>
          </w14:textFill>
        </w:rPr>
      </w:pPr>
    </w:p>
    <w:p>
      <w:pPr>
        <w:pStyle w:val="17"/>
        <w:spacing w:line="360" w:lineRule="auto"/>
        <w:ind w:left="980" w:hanging="560" w:hangingChars="200"/>
        <w:rPr>
          <w:rFonts w:ascii="Arial" w:hAnsi="Arial" w:cs="Arial"/>
          <w:bCs/>
          <w:color w:val="000000" w:themeColor="text1"/>
          <w:sz w:val="28"/>
          <w:szCs w:val="28"/>
          <w:highlight w:val="none"/>
          <w:u w:val="single"/>
          <w14:textFill>
            <w14:solidFill>
              <w14:schemeClr w14:val="tx1"/>
            </w14:solidFill>
          </w14:textFill>
        </w:rPr>
      </w:pPr>
      <w:r>
        <w:rPr>
          <w:rFonts w:ascii="Arial" w:hAnsi="Arial" w:cs="Arial"/>
          <w:bCs/>
          <w:color w:val="000000" w:themeColor="text1"/>
          <w:sz w:val="28"/>
          <w:szCs w:val="28"/>
          <w:highlight w:val="none"/>
          <w14:textFill>
            <w14:solidFill>
              <w14:schemeClr w14:val="tx1"/>
            </w14:solidFill>
          </w14:textFill>
        </w:rPr>
        <w:t>采购代理机构：</w:t>
      </w:r>
      <w:r>
        <w:rPr>
          <w:rFonts w:hint="eastAsia" w:ascii="宋体" w:hAnsi="宋体" w:cs="宋体"/>
          <w:bCs/>
          <w:color w:val="000000" w:themeColor="text1"/>
          <w:sz w:val="30"/>
          <w:szCs w:val="30"/>
          <w:highlight w:val="none"/>
          <w:u w:val="single"/>
          <w14:textFill>
            <w14:solidFill>
              <w14:schemeClr w14:val="tx1"/>
            </w14:solidFill>
          </w14:textFill>
        </w:rPr>
        <w:t xml:space="preserve">                         </w:t>
      </w:r>
    </w:p>
    <w:p>
      <w:pPr>
        <w:pStyle w:val="17"/>
        <w:spacing w:line="360" w:lineRule="auto"/>
        <w:ind w:left="980" w:hanging="560" w:hangingChars="200"/>
        <w:rPr>
          <w:rFonts w:ascii="Arial" w:hAnsi="Arial" w:cs="Arial"/>
          <w:bCs/>
          <w:color w:val="000000" w:themeColor="text1"/>
          <w:sz w:val="28"/>
          <w:szCs w:val="28"/>
          <w:highlight w:val="none"/>
          <w14:textFill>
            <w14:solidFill>
              <w14:schemeClr w14:val="tx1"/>
            </w14:solidFill>
          </w14:textFill>
        </w:rPr>
      </w:pPr>
      <w:bookmarkStart w:id="442" w:name="_Toc20319_WPSOffice_Level2"/>
      <w:bookmarkStart w:id="443" w:name="_Toc4932_WPSOffice_Level2"/>
      <w:r>
        <w:rPr>
          <w:rFonts w:hint="eastAsia" w:ascii="Arial" w:hAnsi="Arial" w:cs="Arial"/>
          <w:bCs/>
          <w:color w:val="000000" w:themeColor="text1"/>
          <w:sz w:val="28"/>
          <w:szCs w:val="28"/>
          <w:highlight w:val="none"/>
          <w14:textFill>
            <w14:solidFill>
              <w14:schemeClr w14:val="tx1"/>
            </w14:solidFill>
          </w14:textFill>
        </w:rPr>
        <w:t>供应商</w:t>
      </w:r>
      <w:r>
        <w:rPr>
          <w:rFonts w:ascii="Arial" w:hAnsi="Arial" w:cs="Arial"/>
          <w:bCs/>
          <w:color w:val="000000" w:themeColor="text1"/>
          <w:sz w:val="28"/>
          <w:szCs w:val="28"/>
          <w:highlight w:val="none"/>
          <w14:textFill>
            <w14:solidFill>
              <w14:schemeClr w14:val="tx1"/>
            </w14:solidFill>
          </w14:textFill>
        </w:rPr>
        <w:t>（公章(CA签章)、自然人除外）：</w:t>
      </w:r>
      <w:r>
        <w:rPr>
          <w:rFonts w:ascii="Arial" w:hAnsi="Arial" w:cs="Arial"/>
          <w:bCs/>
          <w:color w:val="000000" w:themeColor="text1"/>
          <w:sz w:val="28"/>
          <w:szCs w:val="28"/>
          <w:highlight w:val="none"/>
          <w:u w:val="single"/>
          <w14:textFill>
            <w14:solidFill>
              <w14:schemeClr w14:val="tx1"/>
            </w14:solidFill>
          </w14:textFill>
        </w:rPr>
        <w:t xml:space="preserve">                       </w:t>
      </w:r>
      <w:bookmarkEnd w:id="442"/>
      <w:bookmarkEnd w:id="443"/>
      <w:r>
        <w:rPr>
          <w:rFonts w:ascii="Arial" w:hAnsi="Arial" w:cs="Arial"/>
          <w:bCs/>
          <w:color w:val="000000" w:themeColor="text1"/>
          <w:sz w:val="28"/>
          <w:szCs w:val="28"/>
          <w:highlight w:val="none"/>
          <w:u w:val="single"/>
          <w14:textFill>
            <w14:solidFill>
              <w14:schemeClr w14:val="tx1"/>
            </w14:solidFill>
          </w14:textFill>
        </w:rPr>
        <w:t xml:space="preserve">       </w:t>
      </w:r>
    </w:p>
    <w:p>
      <w:pPr>
        <w:pStyle w:val="21"/>
        <w:spacing w:line="360" w:lineRule="auto"/>
        <w:ind w:firstLine="420"/>
        <w:rPr>
          <w:rFonts w:ascii="Arial" w:hAnsi="Arial" w:cs="Arial"/>
          <w:color w:val="000000" w:themeColor="text1"/>
          <w:sz w:val="28"/>
          <w:szCs w:val="28"/>
          <w:highlight w:val="none"/>
          <w14:textFill>
            <w14:solidFill>
              <w14:schemeClr w14:val="tx1"/>
            </w14:solidFill>
          </w14:textFill>
        </w:rPr>
      </w:pPr>
      <w:bookmarkStart w:id="444" w:name="_Toc4767_WPSOffice_Level2"/>
      <w:bookmarkStart w:id="445" w:name="_Toc11679_WPSOffice_Level2"/>
      <w:r>
        <w:rPr>
          <w:rFonts w:ascii="Arial" w:hAnsi="Arial" w:cs="Arial"/>
          <w:color w:val="000000" w:themeColor="text1"/>
          <w:sz w:val="28"/>
          <w:szCs w:val="28"/>
          <w:highlight w:val="none"/>
          <w14:textFill>
            <w14:solidFill>
              <w14:schemeClr w14:val="tx1"/>
            </w14:solidFill>
          </w14:textFill>
        </w:rPr>
        <w:t>法定代表人、负责人、自然人或相应的委托代理人签字[或盖章(CA签章)]</w:t>
      </w:r>
    </w:p>
    <w:p>
      <w:pPr>
        <w:pStyle w:val="17"/>
        <w:spacing w:line="360" w:lineRule="auto"/>
        <w:ind w:left="980" w:hanging="560" w:hangingChars="200"/>
        <w:rPr>
          <w:rFonts w:ascii="Arial" w:hAnsi="Arial" w:cs="Arial"/>
          <w:color w:val="000000" w:themeColor="text1"/>
          <w:sz w:val="28"/>
          <w:szCs w:val="28"/>
          <w:highlight w:val="none"/>
          <w:u w:val="single"/>
          <w14:textFill>
            <w14:solidFill>
              <w14:schemeClr w14:val="tx1"/>
            </w14:solidFill>
          </w14:textFill>
        </w:rPr>
      </w:pPr>
      <w:r>
        <w:rPr>
          <w:rFonts w:ascii="Arial" w:hAnsi="Arial" w:cs="Arial"/>
          <w:color w:val="000000" w:themeColor="text1"/>
          <w:sz w:val="28"/>
          <w:szCs w:val="28"/>
          <w:highlight w:val="none"/>
          <w14:textFill>
            <w14:solidFill>
              <w14:schemeClr w14:val="tx1"/>
            </w14:solidFill>
          </w14:textFill>
        </w:rPr>
        <w:t>（属自然人的应在签名处加盖大拇指指印或个人CA签章）：</w:t>
      </w:r>
      <w:r>
        <w:rPr>
          <w:rFonts w:ascii="Arial" w:hAnsi="Arial" w:cs="Arial"/>
          <w:color w:val="000000" w:themeColor="text1"/>
          <w:sz w:val="28"/>
          <w:szCs w:val="28"/>
          <w:highlight w:val="none"/>
          <w:u w:val="single"/>
          <w14:textFill>
            <w14:solidFill>
              <w14:schemeClr w14:val="tx1"/>
            </w14:solidFill>
          </w14:textFill>
        </w:rPr>
        <w:t xml:space="preserve">                  </w:t>
      </w:r>
      <w:bookmarkEnd w:id="444"/>
      <w:bookmarkEnd w:id="445"/>
      <w:bookmarkStart w:id="446" w:name="_Toc9622_WPSOffice_Level2"/>
      <w:bookmarkStart w:id="447" w:name="_Toc32056_WPSOffice_Level2"/>
    </w:p>
    <w:p>
      <w:pPr>
        <w:pStyle w:val="17"/>
        <w:spacing w:line="360" w:lineRule="auto"/>
        <w:ind w:left="980" w:hanging="560" w:hangingChars="200"/>
        <w:rPr>
          <w:rFonts w:ascii="Arial" w:hAnsi="Arial" w:cs="Arial"/>
          <w:bCs/>
          <w:color w:val="000000" w:themeColor="text1"/>
          <w:sz w:val="28"/>
          <w:szCs w:val="28"/>
          <w:highlight w:val="none"/>
          <w:u w:val="single"/>
          <w14:textFill>
            <w14:solidFill>
              <w14:schemeClr w14:val="tx1"/>
            </w14:solidFill>
          </w14:textFill>
        </w:rPr>
      </w:pPr>
      <w:r>
        <w:rPr>
          <w:rFonts w:ascii="Arial" w:hAnsi="Arial" w:cs="Arial"/>
          <w:bCs/>
          <w:color w:val="000000" w:themeColor="text1"/>
          <w:sz w:val="28"/>
          <w:szCs w:val="28"/>
          <w:highlight w:val="none"/>
          <w14:textFill>
            <w14:solidFill>
              <w14:schemeClr w14:val="tx1"/>
            </w14:solidFill>
          </w14:textFill>
        </w:rPr>
        <w:t>联系电话：</w:t>
      </w:r>
      <w:bookmarkEnd w:id="446"/>
      <w:bookmarkEnd w:id="447"/>
      <w:r>
        <w:rPr>
          <w:rFonts w:ascii="Arial" w:hAnsi="Arial" w:cs="Arial"/>
          <w:bCs/>
          <w:color w:val="000000" w:themeColor="text1"/>
          <w:sz w:val="28"/>
          <w:szCs w:val="28"/>
          <w:highlight w:val="none"/>
          <w:u w:val="single"/>
          <w14:textFill>
            <w14:solidFill>
              <w14:schemeClr w14:val="tx1"/>
            </w14:solidFill>
          </w14:textFill>
        </w:rPr>
        <w:t xml:space="preserve">                                                </w:t>
      </w:r>
    </w:p>
    <w:p>
      <w:pPr>
        <w:pStyle w:val="17"/>
        <w:spacing w:line="360" w:lineRule="auto"/>
        <w:ind w:left="980" w:hanging="560" w:hangingChars="200"/>
        <w:rPr>
          <w:rFonts w:ascii="Arial" w:hAnsi="Arial" w:cs="Arial"/>
          <w:b/>
          <w:color w:val="000000" w:themeColor="text1"/>
          <w:sz w:val="32"/>
          <w:szCs w:val="32"/>
          <w:highlight w:val="none"/>
          <w14:textFill>
            <w14:solidFill>
              <w14:schemeClr w14:val="tx1"/>
            </w14:solidFill>
          </w14:textFill>
        </w:rPr>
      </w:pPr>
      <w:bookmarkStart w:id="448" w:name="_Toc15933_WPSOffice_Level2"/>
      <w:bookmarkStart w:id="449" w:name="_Toc26465_WPSOffice_Level2"/>
      <w:r>
        <w:rPr>
          <w:rFonts w:ascii="Arial" w:hAnsi="Arial" w:cs="Arial"/>
          <w:bCs/>
          <w:color w:val="000000" w:themeColor="text1"/>
          <w:sz w:val="28"/>
          <w:szCs w:val="28"/>
          <w:highlight w:val="none"/>
          <w14:textFill>
            <w14:solidFill>
              <w14:schemeClr w14:val="tx1"/>
            </w14:solidFill>
          </w14:textFill>
        </w:rPr>
        <w:t>日期：</w:t>
      </w:r>
      <w:r>
        <w:rPr>
          <w:rFonts w:ascii="Arial" w:hAnsi="Arial" w:cs="Arial"/>
          <w:bCs/>
          <w:color w:val="000000" w:themeColor="text1"/>
          <w:sz w:val="28"/>
          <w:szCs w:val="28"/>
          <w:highlight w:val="none"/>
          <w:u w:val="single"/>
          <w14:textFill>
            <w14:solidFill>
              <w14:schemeClr w14:val="tx1"/>
            </w14:solidFill>
          </w14:textFill>
        </w:rPr>
        <w:t xml:space="preserve">              </w:t>
      </w:r>
      <w:r>
        <w:rPr>
          <w:rFonts w:ascii="Arial" w:hAnsi="Arial" w:cs="Arial"/>
          <w:bCs/>
          <w:color w:val="000000" w:themeColor="text1"/>
          <w:sz w:val="28"/>
          <w:szCs w:val="28"/>
          <w:highlight w:val="none"/>
          <w14:textFill>
            <w14:solidFill>
              <w14:schemeClr w14:val="tx1"/>
            </w14:solidFill>
          </w14:textFill>
        </w:rPr>
        <w:t>年</w:t>
      </w:r>
      <w:r>
        <w:rPr>
          <w:rFonts w:ascii="Arial" w:hAnsi="Arial" w:cs="Arial"/>
          <w:bCs/>
          <w:color w:val="000000" w:themeColor="text1"/>
          <w:sz w:val="28"/>
          <w:szCs w:val="28"/>
          <w:highlight w:val="none"/>
          <w:u w:val="single"/>
          <w14:textFill>
            <w14:solidFill>
              <w14:schemeClr w14:val="tx1"/>
            </w14:solidFill>
          </w14:textFill>
        </w:rPr>
        <w:t xml:space="preserve">           </w:t>
      </w:r>
      <w:r>
        <w:rPr>
          <w:rFonts w:ascii="Arial" w:hAnsi="Arial" w:cs="Arial"/>
          <w:bCs/>
          <w:color w:val="000000" w:themeColor="text1"/>
          <w:sz w:val="28"/>
          <w:szCs w:val="28"/>
          <w:highlight w:val="none"/>
          <w14:textFill>
            <w14:solidFill>
              <w14:schemeClr w14:val="tx1"/>
            </w14:solidFill>
          </w14:textFill>
        </w:rPr>
        <w:t>月</w:t>
      </w:r>
      <w:r>
        <w:rPr>
          <w:rFonts w:ascii="Arial" w:hAnsi="Arial" w:cs="Arial"/>
          <w:bCs/>
          <w:color w:val="000000" w:themeColor="text1"/>
          <w:sz w:val="28"/>
          <w:szCs w:val="28"/>
          <w:highlight w:val="none"/>
          <w:u w:val="single"/>
          <w14:textFill>
            <w14:solidFill>
              <w14:schemeClr w14:val="tx1"/>
            </w14:solidFill>
          </w14:textFill>
        </w:rPr>
        <w:t xml:space="preserve">           </w:t>
      </w:r>
      <w:r>
        <w:rPr>
          <w:rFonts w:ascii="Arial" w:hAnsi="Arial" w:cs="Arial"/>
          <w:bCs/>
          <w:color w:val="000000" w:themeColor="text1"/>
          <w:sz w:val="28"/>
          <w:szCs w:val="28"/>
          <w:highlight w:val="none"/>
          <w14:textFill>
            <w14:solidFill>
              <w14:schemeClr w14:val="tx1"/>
            </w14:solidFill>
          </w14:textFill>
        </w:rPr>
        <w:t>日</w:t>
      </w:r>
      <w:bookmarkEnd w:id="448"/>
      <w:bookmarkEnd w:id="449"/>
    </w:p>
    <w:p>
      <w:pPr>
        <w:spacing w:line="440" w:lineRule="exact"/>
        <w:rPr>
          <w:rFonts w:hint="eastAsia" w:ascii="宋体" w:hAnsi="宋体" w:cs="宋体"/>
          <w:b/>
          <w:bCs/>
          <w:color w:val="000000" w:themeColor="text1"/>
          <w:szCs w:val="21"/>
          <w:highlight w:val="none"/>
          <w14:textFill>
            <w14:solidFill>
              <w14:schemeClr w14:val="tx1"/>
            </w14:solidFill>
          </w14:textFill>
        </w:rPr>
      </w:pPr>
      <w:r>
        <w:rPr>
          <w:rFonts w:ascii="Arial" w:hAnsi="Arial" w:cs="Arial"/>
          <w:b/>
          <w:bCs/>
          <w:color w:val="000000" w:themeColor="text1"/>
          <w:sz w:val="32"/>
          <w:szCs w:val="32"/>
          <w:highlight w:val="none"/>
          <w14:textFill>
            <w14:solidFill>
              <w14:schemeClr w14:val="tx1"/>
            </w14:solidFill>
          </w14:textFill>
        </w:rPr>
        <w:br w:type="page"/>
      </w:r>
      <w:bookmarkStart w:id="450" w:name="_Toc27290"/>
      <w:bookmarkStart w:id="451" w:name="_Toc495841787"/>
      <w:r>
        <w:rPr>
          <w:rFonts w:hint="eastAsia" w:ascii="宋体" w:hAnsi="宋体" w:cs="宋体"/>
          <w:b/>
          <w:bCs/>
          <w:color w:val="000000" w:themeColor="text1"/>
          <w:szCs w:val="21"/>
          <w:highlight w:val="none"/>
          <w14:textFill>
            <w14:solidFill>
              <w14:schemeClr w14:val="tx1"/>
            </w14:solidFill>
          </w14:textFill>
        </w:rPr>
        <w:t>一、资格性响应证明材料（格式）</w:t>
      </w:r>
      <w:bookmarkEnd w:id="450"/>
      <w:bookmarkEnd w:id="451"/>
    </w:p>
    <w:p>
      <w:pPr>
        <w:spacing w:line="440" w:lineRule="exact"/>
        <w:rPr>
          <w:rFonts w:hint="eastAsia" w:ascii="宋体" w:hAnsi="宋体" w:cs="宋体"/>
          <w:b/>
          <w:bCs/>
          <w:color w:val="000000" w:themeColor="text1"/>
          <w:szCs w:val="21"/>
          <w:highlight w:val="none"/>
          <w14:textFill>
            <w14:solidFill>
              <w14:schemeClr w14:val="tx1"/>
            </w14:solidFill>
          </w14:textFill>
        </w:rPr>
      </w:pPr>
      <w:bookmarkStart w:id="452" w:name="_Toc495841788"/>
      <w:bookmarkStart w:id="453" w:name="_Toc11828"/>
      <w:r>
        <w:rPr>
          <w:rFonts w:hint="eastAsia" w:ascii="宋体" w:hAnsi="宋体" w:cs="宋体"/>
          <w:b/>
          <w:bCs/>
          <w:color w:val="000000" w:themeColor="text1"/>
          <w:szCs w:val="21"/>
          <w:highlight w:val="none"/>
          <w14:textFill>
            <w14:solidFill>
              <w14:schemeClr w14:val="tx1"/>
            </w14:solidFill>
          </w14:textFill>
        </w:rPr>
        <w:t>1.供应商相应的法定代表人身份证正反两面复印件（必须提供）；</w:t>
      </w:r>
    </w:p>
    <w:p>
      <w:pPr>
        <w:pStyle w:val="57"/>
        <w:spacing w:line="440" w:lineRule="exact"/>
        <w:rPr>
          <w:rFonts w:hint="eastAsia" w:ascii="宋体" w:hAnsi="宋体" w:eastAsia="宋体" w:cs="宋体"/>
          <w:b/>
          <w:bCs/>
          <w:color w:val="000000" w:themeColor="text1"/>
          <w:sz w:val="21"/>
          <w:szCs w:val="21"/>
          <w:highlight w:val="none"/>
          <w14:textFill>
            <w14:solidFill>
              <w14:schemeClr w14:val="tx1"/>
            </w14:solidFill>
          </w14:textFill>
        </w:rPr>
      </w:pPr>
    </w:p>
    <w:p>
      <w:pPr>
        <w:pStyle w:val="57"/>
        <w:spacing w:line="440" w:lineRule="exact"/>
        <w:rPr>
          <w:rFonts w:hint="eastAsia" w:ascii="宋体" w:hAnsi="宋体" w:eastAsia="宋体" w:cs="宋体"/>
          <w:b/>
          <w:bCs/>
          <w:color w:val="000000" w:themeColor="text1"/>
          <w:sz w:val="21"/>
          <w:szCs w:val="21"/>
          <w:highlight w:val="none"/>
          <w14:textFill>
            <w14:solidFill>
              <w14:schemeClr w14:val="tx1"/>
            </w14:solidFill>
          </w14:textFill>
        </w:rPr>
      </w:pPr>
    </w:p>
    <w:p>
      <w:pPr>
        <w:pStyle w:val="57"/>
        <w:spacing w:line="44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2.供应商的授权委托书原件、委托代理人身份证正反面复印件</w:t>
      </w:r>
      <w:r>
        <w:rPr>
          <w:rFonts w:hint="eastAsia" w:ascii="宋体" w:hAnsi="宋体" w:eastAsia="宋体" w:cs="宋体"/>
          <w:b/>
          <w:color w:val="000000" w:themeColor="text1"/>
          <w:sz w:val="21"/>
          <w:szCs w:val="21"/>
          <w:highlight w:val="none"/>
          <w14:textFill>
            <w14:solidFill>
              <w14:schemeClr w14:val="tx1"/>
            </w14:solidFill>
          </w14:textFill>
        </w:rPr>
        <w:t>（委托代理时必须提供）；</w:t>
      </w:r>
    </w:p>
    <w:p>
      <w:pPr>
        <w:spacing w:line="44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授权委托书</w:t>
      </w:r>
    </w:p>
    <w:p>
      <w:pPr>
        <w:spacing w:line="440" w:lineRule="exact"/>
        <w:ind w:firstLine="42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本授权委托书声明：我</w:t>
      </w:r>
      <w:r>
        <w:rPr>
          <w:rFonts w:hint="eastAsia" w:ascii="宋体" w:hAnsi="宋体" w:cs="宋体"/>
          <w:color w:val="000000" w:themeColor="text1"/>
          <w:szCs w:val="21"/>
          <w:highlight w:val="none"/>
          <w:u w:val="single"/>
          <w14:textFill>
            <w14:solidFill>
              <w14:schemeClr w14:val="tx1"/>
            </w14:solidFill>
          </w14:textFill>
        </w:rPr>
        <w:t>    </w:t>
      </w:r>
      <w:r>
        <w:rPr>
          <w:rFonts w:hint="eastAsia" w:ascii="宋体" w:hAnsi="宋体" w:cs="宋体"/>
          <w:color w:val="000000" w:themeColor="text1"/>
          <w:szCs w:val="21"/>
          <w:highlight w:val="none"/>
          <w14:textFill>
            <w14:solidFill>
              <w14:schemeClr w14:val="tx1"/>
            </w14:solidFill>
          </w14:textFill>
        </w:rPr>
        <w:t>（姓名）系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（供应商名称）的法定代表人，现授权委托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（单位名称）的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（姓名）为我公司签署</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项目的投标文件的法定代表人授权委托代理人，我承认代理人全权代表我所签署的本项目的投标文件的内容。</w:t>
      </w:r>
    </w:p>
    <w:p>
      <w:pPr>
        <w:spacing w:line="440" w:lineRule="exact"/>
        <w:ind w:firstLine="6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代理人无转委托权，特此委托。</w:t>
      </w:r>
    </w:p>
    <w:p>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性别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年龄：_______</w:t>
      </w:r>
    </w:p>
    <w:p>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身份证号码：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w:t>
      </w:r>
      <w:r>
        <w:rPr>
          <w:rFonts w:hint="eastAsia" w:ascii="宋体" w:hAnsi="宋体" w:cs="宋体"/>
          <w:color w:val="000000" w:themeColor="text1"/>
          <w:szCs w:val="21"/>
          <w:highlight w:val="none"/>
          <w:u w:val="single"/>
          <w14:textFill>
            <w14:solidFill>
              <w14:schemeClr w14:val="tx1"/>
            </w14:solidFill>
          </w14:textFill>
        </w:rPr>
        <w:t xml:space="preserve">                                  （公章(CA签章)、自然人除外）</w:t>
      </w:r>
    </w:p>
    <w:p>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w:t>
      </w:r>
      <w:r>
        <w:rPr>
          <w:rFonts w:hint="eastAsia" w:ascii="宋体" w:hAnsi="宋体" w:cs="宋体"/>
          <w:color w:val="000000" w:themeColor="text1"/>
          <w:szCs w:val="21"/>
          <w:highlight w:val="none"/>
          <w:u w:val="single"/>
          <w14:textFill>
            <w14:solidFill>
              <w14:schemeClr w14:val="tx1"/>
            </w14:solidFill>
          </w14:textFill>
        </w:rPr>
        <w:t xml:space="preserve">                            （签字或个人CA签章）</w:t>
      </w:r>
    </w:p>
    <w:p>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授权委托日期：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日 </w:t>
      </w:r>
    </w:p>
    <w:p>
      <w:pPr>
        <w:pStyle w:val="58"/>
        <w:spacing w:line="440" w:lineRule="exact"/>
        <w:rPr>
          <w:rFonts w:hint="eastAsia" w:cs="宋体"/>
          <w:color w:val="000000" w:themeColor="text1"/>
          <w:highlight w:val="none"/>
          <w14:textFill>
            <w14:solidFill>
              <w14:schemeClr w14:val="tx1"/>
            </w14:solidFill>
          </w14:textFill>
        </w:rPr>
      </w:pPr>
    </w:p>
    <w:p>
      <w:pPr>
        <w:spacing w:line="440" w:lineRule="exact"/>
        <w:rPr>
          <w:rFonts w:hint="eastAsia" w:ascii="宋体" w:hAnsi="宋体" w:cs="宋体"/>
          <w:b/>
          <w:bCs/>
          <w:color w:val="000000" w:themeColor="text1"/>
          <w:szCs w:val="21"/>
          <w:highlight w:val="none"/>
          <w14:textFill>
            <w14:solidFill>
              <w14:schemeClr w14:val="tx1"/>
            </w14:solidFill>
          </w14:textFill>
        </w:rPr>
      </w:pPr>
    </w:p>
    <w:p>
      <w:pPr>
        <w:spacing w:line="44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3.供应商参加政府采购活动前3年内在经营活动中没有重大违法记录及有关信用信息的书面声明（必须提供）；</w:t>
      </w:r>
    </w:p>
    <w:p>
      <w:pPr>
        <w:spacing w:line="44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声   明</w:t>
      </w:r>
    </w:p>
    <w:p>
      <w:pPr>
        <w:snapToGrid w:val="0"/>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u w:val="single"/>
          <w:lang w:eastAsia="zh-CN"/>
          <w14:textFill>
            <w14:solidFill>
              <w14:schemeClr w14:val="tx1"/>
            </w14:solidFill>
          </w14:textFill>
        </w:rPr>
        <w:t>广西嘉弘项目管理有限公司</w:t>
      </w:r>
      <w:r>
        <w:rPr>
          <w:rFonts w:hint="eastAsia" w:ascii="宋体" w:hAnsi="宋体" w:cs="宋体"/>
          <w:color w:val="000000" w:themeColor="text1"/>
          <w:szCs w:val="21"/>
          <w:highlight w:val="none"/>
          <w:u w:val="single"/>
          <w14:textFill>
            <w14:solidFill>
              <w14:schemeClr w14:val="tx1"/>
            </w14:solidFill>
          </w14:textFill>
        </w:rPr>
        <w:t xml:space="preserve"> </w:t>
      </w:r>
    </w:p>
    <w:p>
      <w:pPr>
        <w:pStyle w:val="21"/>
        <w:spacing w:line="440" w:lineRule="exact"/>
        <w:ind w:firstLine="420" w:firstLineChars="20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pPr>
        <w:spacing w:line="440" w:lineRule="exact"/>
        <w:ind w:firstLine="2520" w:firstLineChars="1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供应商（公章(CA签章)、自然人除外）：</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440" w:lineRule="exact"/>
        <w:ind w:firstLine="2520" w:firstLineChars="1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法定代表人、负责人、自然人或相应的委托代理人签字或个人CA签章：</w:t>
      </w:r>
      <w:r>
        <w:rPr>
          <w:rFonts w:hint="eastAsia" w:ascii="宋体" w:hAnsi="宋体" w:cs="宋体"/>
          <w:color w:val="000000" w:themeColor="text1"/>
          <w:szCs w:val="21"/>
          <w:highlight w:val="none"/>
          <w:u w:val="single"/>
          <w14:textFill>
            <w14:solidFill>
              <w14:schemeClr w14:val="tx1"/>
            </w14:solidFill>
          </w14:textFill>
        </w:rPr>
        <w:t xml:space="preserve">                           </w:t>
      </w:r>
    </w:p>
    <w:p>
      <w:pPr>
        <w:pStyle w:val="16"/>
        <w:spacing w:line="440" w:lineRule="exact"/>
        <w:rPr>
          <w:rFonts w:hint="eastAsia" w:ascii="宋体" w:hAnsi="宋体" w:cs="宋体"/>
          <w:color w:val="000000" w:themeColor="text1"/>
          <w:sz w:val="21"/>
          <w:szCs w:val="21"/>
          <w:highlight w:val="none"/>
          <w:u w:val="singl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                        日      期：</w:t>
      </w:r>
      <w:r>
        <w:rPr>
          <w:rFonts w:hint="eastAsia" w:ascii="宋体" w:hAnsi="宋体" w:cs="宋体"/>
          <w:color w:val="000000" w:themeColor="text1"/>
          <w:sz w:val="21"/>
          <w:szCs w:val="21"/>
          <w:highlight w:val="none"/>
          <w:u w:val="single"/>
          <w14:textFill>
            <w14:solidFill>
              <w14:schemeClr w14:val="tx1"/>
            </w14:solidFill>
          </w14:textFill>
        </w:rPr>
        <w:t xml:space="preserve">                       </w:t>
      </w:r>
    </w:p>
    <w:bookmarkEnd w:id="452"/>
    <w:bookmarkEnd w:id="453"/>
    <w:p>
      <w:pPr>
        <w:pStyle w:val="16"/>
        <w:spacing w:line="440" w:lineRule="exact"/>
        <w:rPr>
          <w:rFonts w:hint="eastAsia" w:ascii="宋体" w:hAnsi="宋体" w:cs="宋体"/>
          <w:b/>
          <w:bCs/>
          <w:color w:val="000000" w:themeColor="text1"/>
          <w:sz w:val="21"/>
          <w:szCs w:val="21"/>
          <w:highlight w:val="none"/>
          <w14:textFill>
            <w14:solidFill>
              <w14:schemeClr w14:val="tx1"/>
            </w14:solidFill>
          </w14:textFill>
        </w:rPr>
      </w:pPr>
      <w:bookmarkStart w:id="454" w:name="_Toc495841789"/>
      <w:bookmarkStart w:id="455" w:name="_Toc11623"/>
    </w:p>
    <w:p>
      <w:pPr>
        <w:pStyle w:val="16"/>
        <w:spacing w:line="440" w:lineRule="exact"/>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br w:type="page"/>
      </w:r>
      <w:r>
        <w:rPr>
          <w:rFonts w:hint="eastAsia" w:ascii="宋体" w:hAnsi="宋体" w:cs="宋体"/>
          <w:b/>
          <w:bCs/>
          <w:color w:val="000000" w:themeColor="text1"/>
          <w:sz w:val="21"/>
          <w:szCs w:val="21"/>
          <w:highlight w:val="none"/>
          <w14:textFill>
            <w14:solidFill>
              <w14:schemeClr w14:val="tx1"/>
            </w14:solidFill>
          </w14:textFill>
        </w:rPr>
        <w:t>4.</w:t>
      </w:r>
      <w:bookmarkEnd w:id="454"/>
      <w:bookmarkEnd w:id="455"/>
      <w:r>
        <w:rPr>
          <w:rFonts w:hint="eastAsia" w:ascii="宋体" w:hAnsi="宋体" w:cs="宋体"/>
          <w:b/>
          <w:bCs/>
          <w:color w:val="000000" w:themeColor="text1"/>
          <w:sz w:val="21"/>
          <w:szCs w:val="21"/>
          <w:highlight w:val="none"/>
          <w14:textFill>
            <w14:solidFill>
              <w14:schemeClr w14:val="tx1"/>
            </w14:solidFill>
          </w14:textFill>
        </w:rPr>
        <w:t>供应商营业执照副本复印件（必须提供）；</w:t>
      </w:r>
    </w:p>
    <w:p>
      <w:pPr>
        <w:pStyle w:val="16"/>
        <w:spacing w:line="440" w:lineRule="exact"/>
        <w:rPr>
          <w:rFonts w:hint="eastAsia" w:ascii="宋体" w:hAnsi="宋体" w:cs="宋体"/>
          <w:b/>
          <w:bCs/>
          <w:color w:val="000000" w:themeColor="text1"/>
          <w:sz w:val="21"/>
          <w:szCs w:val="21"/>
          <w:highlight w:val="none"/>
          <w14:textFill>
            <w14:solidFill>
              <w14:schemeClr w14:val="tx1"/>
            </w14:solidFill>
          </w14:textFill>
        </w:rPr>
      </w:pPr>
      <w:bookmarkStart w:id="456" w:name="_Toc26652"/>
    </w:p>
    <w:p>
      <w:pPr>
        <w:pStyle w:val="16"/>
        <w:spacing w:line="440" w:lineRule="exac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5.</w:t>
      </w:r>
      <w:r>
        <w:rPr>
          <w:rFonts w:hint="eastAsia" w:ascii="宋体" w:hAnsi="宋体" w:cs="宋体"/>
          <w:b/>
          <w:color w:val="000000" w:themeColor="text1"/>
          <w:sz w:val="21"/>
          <w:szCs w:val="21"/>
          <w:highlight w:val="none"/>
          <w14:textFill>
            <w14:solidFill>
              <w14:schemeClr w14:val="tx1"/>
            </w14:solidFill>
          </w14:textFill>
        </w:rPr>
        <w:t>供应商</w:t>
      </w:r>
      <w:r>
        <w:rPr>
          <w:rFonts w:hint="eastAsia" w:ascii="宋体" w:hAnsi="宋体" w:cs="宋体"/>
          <w:b/>
          <w:bCs/>
          <w:color w:val="000000" w:themeColor="text1"/>
          <w:sz w:val="21"/>
          <w:szCs w:val="21"/>
          <w:highlight w:val="none"/>
          <w14:textFill>
            <w14:solidFill>
              <w14:schemeClr w14:val="tx1"/>
            </w14:solidFill>
          </w14:textFill>
        </w:rPr>
        <w:t>有效的资质证书副本复印件（必须提供）；</w:t>
      </w:r>
    </w:p>
    <w:p>
      <w:pPr>
        <w:pStyle w:val="21"/>
        <w:spacing w:line="440" w:lineRule="exact"/>
        <w:rPr>
          <w:rFonts w:hint="eastAsia" w:hAnsi="宋体" w:cs="宋体"/>
          <w:b/>
          <w:bCs/>
          <w:color w:val="000000" w:themeColor="text1"/>
          <w:szCs w:val="21"/>
          <w:highlight w:val="none"/>
          <w14:textFill>
            <w14:solidFill>
              <w14:schemeClr w14:val="tx1"/>
            </w14:solidFill>
          </w14:textFill>
        </w:rPr>
      </w:pPr>
    </w:p>
    <w:p>
      <w:pPr>
        <w:pStyle w:val="21"/>
        <w:spacing w:line="440" w:lineRule="exact"/>
        <w:rPr>
          <w:rFonts w:hint="eastAsia" w:hAnsi="宋体" w:cs="宋体"/>
          <w:b/>
          <w:color w:val="000000" w:themeColor="text1"/>
          <w:szCs w:val="21"/>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t>6</w:t>
      </w:r>
      <w:r>
        <w:rPr>
          <w:rFonts w:hint="eastAsia" w:hAnsi="宋体" w:cs="宋体"/>
          <w:b/>
          <w:color w:val="000000" w:themeColor="text1"/>
          <w:szCs w:val="21"/>
          <w:highlight w:val="none"/>
          <w14:textFill>
            <w14:solidFill>
              <w14:schemeClr w14:val="tx1"/>
            </w14:solidFill>
          </w14:textFill>
        </w:rPr>
        <w:t>.供应商参加本项目无围标串标行为的承诺函（必须提供）</w:t>
      </w:r>
    </w:p>
    <w:p>
      <w:pPr>
        <w:pStyle w:val="21"/>
        <w:spacing w:line="440" w:lineRule="exact"/>
        <w:jc w:val="center"/>
        <w:rPr>
          <w:rFonts w:hint="eastAsia" w:hAnsi="宋体" w:cs="宋体"/>
          <w:b/>
          <w:color w:val="000000" w:themeColor="text1"/>
          <w:szCs w:val="21"/>
          <w:highlight w:val="none"/>
          <w14:textFill>
            <w14:solidFill>
              <w14:schemeClr w14:val="tx1"/>
            </w14:solidFill>
          </w14:textFill>
        </w:rPr>
      </w:pPr>
    </w:p>
    <w:p>
      <w:pPr>
        <w:pStyle w:val="21"/>
        <w:spacing w:line="440" w:lineRule="exact"/>
        <w:jc w:val="center"/>
        <w:rPr>
          <w:rFonts w:hint="eastAsia" w:hAnsi="宋体" w:cs="宋体"/>
          <w:b/>
          <w:color w:val="000000" w:themeColor="text1"/>
          <w:szCs w:val="21"/>
          <w:highlight w:val="none"/>
          <w14:textFill>
            <w14:solidFill>
              <w14:schemeClr w14:val="tx1"/>
            </w14:solidFill>
          </w14:textFill>
        </w:rPr>
      </w:pPr>
      <w:r>
        <w:rPr>
          <w:rFonts w:hint="eastAsia" w:hAnsi="宋体" w:cs="宋体"/>
          <w:b/>
          <w:color w:val="000000" w:themeColor="text1"/>
          <w:szCs w:val="21"/>
          <w:highlight w:val="none"/>
          <w14:textFill>
            <w14:solidFill>
              <w14:schemeClr w14:val="tx1"/>
            </w14:solidFill>
          </w14:textFill>
        </w:rPr>
        <w:t>供应商参加本项目无围标串标行为的承诺函（格式）</w:t>
      </w:r>
    </w:p>
    <w:p>
      <w:pPr>
        <w:spacing w:line="440" w:lineRule="exact"/>
        <w:rPr>
          <w:rFonts w:hint="eastAsia" w:ascii="宋体" w:hAnsi="宋体" w:cs="宋体"/>
          <w:b/>
          <w:color w:val="000000" w:themeColor="text1"/>
          <w:szCs w:val="21"/>
          <w:highlight w:val="none"/>
          <w14:textFill>
            <w14:solidFill>
              <w14:schemeClr w14:val="tx1"/>
            </w14:solidFill>
          </w14:textFill>
        </w:rPr>
      </w:pPr>
    </w:p>
    <w:p>
      <w:pPr>
        <w:snapToGrid w:val="0"/>
        <w:spacing w:line="440" w:lineRule="exact"/>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一、我公司承诺无下列相互串通投标的情形：</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1.不同供应商的投标文件由同一单位或者个人编制；</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2.不同供应商委托同一单位或者个人办理投标事宜；</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3.不同的供应商的投标文件载明的项目管理员为同一个人；</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 xml:space="preserve">4.不同供应商的投标文件异常一致或投标报价呈规律性差异； </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5.不同供应商的投标文件相互混装。</w:t>
      </w:r>
    </w:p>
    <w:p>
      <w:pPr>
        <w:snapToGrid w:val="0"/>
        <w:spacing w:line="440" w:lineRule="exact"/>
        <w:ind w:firstLine="422"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二、我公司承诺无下列恶意串通的情形：</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1.供应商直接或者间接从采购人或者采购代理机构处获得其他供应商的相关信息并修改其投标文件或者投标文件；</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2.供应商按照采购人或者采购代理机构的授意撤换、修改投标文件或者投标文件；</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3.供应商之间协商报价、技术方案等投标文件或者投标文件的实质性内容；</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4.属于同一集团、协会、商会等组织成员的供应商按照该组织要求协同参加政府采购活动；</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6.供应商之间商定部分供应商放弃参加政府采购活动或者放弃中标；</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7.供应商与采购人或者采购代理机构之间、供应商相互之间，为谋求特定供应商中标或者排斥其他供应商的其他串通行为。</w:t>
      </w:r>
    </w:p>
    <w:p>
      <w:pPr>
        <w:snapToGrid w:val="0"/>
        <w:spacing w:line="440" w:lineRule="exact"/>
        <w:ind w:firstLine="413" w:firstLineChars="196"/>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以上情形一经核查属实，我方愿意承担一切后果，并不再寻求任何旨在减轻或免除法律责任的辩解。</w:t>
      </w:r>
    </w:p>
    <w:p>
      <w:pPr>
        <w:snapToGrid w:val="0"/>
        <w:spacing w:line="440" w:lineRule="exact"/>
        <w:ind w:firstLine="1890" w:firstLineChars="900"/>
        <w:rPr>
          <w:rFonts w:hint="eastAsia" w:ascii="宋体" w:hAnsi="宋体" w:cs="宋体"/>
          <w:color w:val="000000" w:themeColor="text1"/>
          <w:szCs w:val="21"/>
          <w:highlight w:val="none"/>
          <w14:textFill>
            <w14:solidFill>
              <w14:schemeClr w14:val="tx1"/>
            </w14:solidFill>
          </w14:textFill>
        </w:rPr>
      </w:pPr>
    </w:p>
    <w:p>
      <w:pPr>
        <w:snapToGrid w:val="0"/>
        <w:spacing w:line="440" w:lineRule="exact"/>
        <w:ind w:firstLine="1890" w:firstLineChars="9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 (公章(CA签章)、自然人除外)：</w:t>
      </w:r>
      <w:r>
        <w:rPr>
          <w:rFonts w:hint="eastAsia" w:ascii="宋体" w:hAnsi="宋体" w:cs="宋体"/>
          <w:color w:val="000000" w:themeColor="text1"/>
          <w:szCs w:val="21"/>
          <w:highlight w:val="none"/>
          <w:u w:val="single"/>
          <w14:textFill>
            <w14:solidFill>
              <w14:schemeClr w14:val="tx1"/>
            </w14:solidFill>
          </w14:textFill>
        </w:rPr>
        <w:t xml:space="preserve">                                     </w:t>
      </w:r>
    </w:p>
    <w:p>
      <w:pPr>
        <w:pStyle w:val="21"/>
        <w:spacing w:line="440" w:lineRule="exact"/>
        <w:ind w:firstLine="420"/>
        <w:jc w:val="center"/>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法定代表人（负责人、自然人）或相应的委托代理人签字（或个人CA签章）：</w:t>
      </w:r>
      <w:r>
        <w:rPr>
          <w:rFonts w:hint="eastAsia" w:hAnsi="宋体" w:cs="宋体"/>
          <w:color w:val="000000" w:themeColor="text1"/>
          <w:szCs w:val="21"/>
          <w:highlight w:val="none"/>
          <w:u w:val="single"/>
          <w14:textFill>
            <w14:solidFill>
              <w14:schemeClr w14:val="tx1"/>
            </w14:solidFill>
          </w14:textFill>
        </w:rPr>
        <w:t xml:space="preserve">                              </w:t>
      </w:r>
    </w:p>
    <w:p>
      <w:pPr>
        <w:spacing w:line="440" w:lineRule="exact"/>
        <w:ind w:firstLine="1890" w:firstLineChars="9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          期：</w:t>
      </w:r>
      <w:r>
        <w:rPr>
          <w:rFonts w:hint="eastAsia" w:ascii="宋体" w:hAnsi="宋体" w:cs="宋体"/>
          <w:color w:val="000000" w:themeColor="text1"/>
          <w:szCs w:val="21"/>
          <w:highlight w:val="none"/>
          <w:u w:val="single"/>
          <w14:textFill>
            <w14:solidFill>
              <w14:schemeClr w14:val="tx1"/>
            </w14:solidFill>
          </w14:textFill>
        </w:rPr>
        <w:t xml:space="preserve">                                                   </w:t>
      </w:r>
    </w:p>
    <w:p>
      <w:pPr>
        <w:pStyle w:val="16"/>
        <w:spacing w:line="440" w:lineRule="exac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p>
    <w:p>
      <w:pPr>
        <w:pStyle w:val="16"/>
        <w:spacing w:line="440" w:lineRule="exac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7</w:t>
      </w:r>
      <w:r>
        <w:rPr>
          <w:rFonts w:hint="eastAsia" w:ascii="宋体" w:hAnsi="宋体" w:cs="宋体"/>
          <w:b/>
          <w:bCs/>
          <w:color w:val="000000" w:themeColor="text1"/>
          <w:sz w:val="21"/>
          <w:szCs w:val="21"/>
          <w:highlight w:val="none"/>
          <w14:textFill>
            <w14:solidFill>
              <w14:schemeClr w14:val="tx1"/>
            </w14:solidFill>
          </w14:textFill>
        </w:rPr>
        <w:t>.供应商可结合本项目的评审办法视自身情况自行提交相关资格审查证明材料。（</w:t>
      </w:r>
      <w:r>
        <w:rPr>
          <w:rFonts w:hint="eastAsia" w:ascii="宋体" w:hAnsi="宋体" w:cs="宋体"/>
          <w:b/>
          <w:color w:val="000000" w:themeColor="text1"/>
          <w:sz w:val="21"/>
          <w:szCs w:val="21"/>
          <w:highlight w:val="none"/>
          <w14:textFill>
            <w14:solidFill>
              <w14:schemeClr w14:val="tx1"/>
            </w14:solidFill>
          </w14:textFill>
        </w:rPr>
        <w:t>如有，请提供</w:t>
      </w:r>
      <w:r>
        <w:rPr>
          <w:rFonts w:hint="eastAsia" w:ascii="宋体" w:hAnsi="宋体" w:cs="宋体"/>
          <w:b/>
          <w:bCs/>
          <w:color w:val="000000" w:themeColor="text1"/>
          <w:sz w:val="21"/>
          <w:szCs w:val="21"/>
          <w:highlight w:val="none"/>
          <w14:textFill>
            <w14:solidFill>
              <w14:schemeClr w14:val="tx1"/>
            </w14:solidFill>
          </w14:textFill>
        </w:rPr>
        <w:t>）</w:t>
      </w:r>
    </w:p>
    <w:p>
      <w:pPr>
        <w:pStyle w:val="16"/>
        <w:spacing w:line="440" w:lineRule="exact"/>
        <w:rPr>
          <w:rFonts w:hint="eastAsia" w:ascii="宋体" w:hAnsi="宋体" w:cs="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br w:type="page"/>
      </w:r>
      <w:r>
        <w:rPr>
          <w:rFonts w:hint="eastAsia" w:ascii="宋体" w:hAnsi="宋体" w:cs="宋体"/>
          <w:b/>
          <w:bCs/>
          <w:color w:val="000000" w:themeColor="text1"/>
          <w:sz w:val="21"/>
          <w:szCs w:val="21"/>
          <w:highlight w:val="none"/>
          <w14:textFill>
            <w14:solidFill>
              <w14:schemeClr w14:val="tx1"/>
            </w14:solidFill>
          </w14:textFill>
        </w:rPr>
        <w:t>二、商务、技术性响应证明材料（格式）</w:t>
      </w:r>
      <w:bookmarkEnd w:id="456"/>
    </w:p>
    <w:p>
      <w:pPr>
        <w:spacing w:line="440" w:lineRule="exact"/>
        <w:rPr>
          <w:rFonts w:hint="eastAsia" w:ascii="宋体" w:hAnsi="宋体" w:cs="宋体"/>
          <w:b/>
          <w:bCs/>
          <w:color w:val="000000" w:themeColor="text1"/>
          <w:szCs w:val="21"/>
          <w:highlight w:val="none"/>
          <w14:textFill>
            <w14:solidFill>
              <w14:schemeClr w14:val="tx1"/>
            </w14:solidFill>
          </w14:textFill>
        </w:rPr>
      </w:pPr>
      <w:bookmarkStart w:id="457" w:name="_Toc495841795"/>
      <w:bookmarkStart w:id="458" w:name="_Toc2409"/>
      <w:r>
        <w:rPr>
          <w:rFonts w:hint="eastAsia" w:ascii="宋体" w:hAnsi="宋体" w:cs="宋体"/>
          <w:b/>
          <w:bCs/>
          <w:color w:val="000000" w:themeColor="text1"/>
          <w:szCs w:val="21"/>
          <w:highlight w:val="none"/>
          <w14:textFill>
            <w14:solidFill>
              <w14:schemeClr w14:val="tx1"/>
            </w14:solidFill>
          </w14:textFill>
        </w:rPr>
        <w:t>1.响应函（必须提供）</w:t>
      </w:r>
    </w:p>
    <w:p>
      <w:pPr>
        <w:tabs>
          <w:tab w:val="left" w:pos="0"/>
        </w:tabs>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响应函</w:t>
      </w:r>
    </w:p>
    <w:p>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广西嘉弘项目管理有限公司</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根据贵方</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项目竞争性磋商文件，项目编号：</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，签字代表</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（姓名）经正式授权并代表供应商 </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供应商单位名称），提交电子响应文件。</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据此函，签字代表宣布同意如下：</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 按磋商文件采购需求和磋商报价表：</w:t>
      </w:r>
    </w:p>
    <w:p>
      <w:pPr>
        <w:pStyle w:val="21"/>
        <w:spacing w:line="440" w:lineRule="exact"/>
        <w:ind w:firstLine="420"/>
        <w:rPr>
          <w:rFonts w:hint="eastAsia" w:hAnsi="宋体" w:eastAsia="宋体" w:cs="宋体"/>
          <w:color w:val="000000" w:themeColor="text1"/>
          <w:szCs w:val="21"/>
          <w:highlight w:val="none"/>
          <w:lang w:eastAsia="zh-CN"/>
          <w14:textFill>
            <w14:solidFill>
              <w14:schemeClr w14:val="tx1"/>
            </w14:solidFill>
          </w14:textFill>
        </w:rPr>
      </w:pPr>
      <w:r>
        <w:rPr>
          <w:rFonts w:hint="eastAsia" w:hAnsi="宋体" w:cs="宋体"/>
          <w:color w:val="000000" w:themeColor="text1"/>
          <w:szCs w:val="21"/>
          <w:highlight w:val="none"/>
          <w:u w:val="none"/>
          <w14:textFill>
            <w14:solidFill>
              <w14:schemeClr w14:val="tx1"/>
            </w14:solidFill>
          </w14:textFill>
        </w:rPr>
        <w:t>磋商</w:t>
      </w:r>
      <w:r>
        <w:rPr>
          <w:rFonts w:hint="eastAsia" w:hAnsi="宋体" w:cs="宋体"/>
          <w:color w:val="000000" w:themeColor="text1"/>
          <w:szCs w:val="21"/>
          <w:highlight w:val="none"/>
          <w:u w:val="none"/>
          <w:lang w:val="en-US" w:eastAsia="zh-CN"/>
          <w14:textFill>
            <w14:solidFill>
              <w14:schemeClr w14:val="tx1"/>
            </w14:solidFill>
          </w14:textFill>
        </w:rPr>
        <w:t>报价</w:t>
      </w:r>
      <w:r>
        <w:rPr>
          <w:rFonts w:hint="eastAsia" w:hAnsi="宋体" w:cs="宋体"/>
          <w:color w:val="000000" w:themeColor="text1"/>
          <w:szCs w:val="21"/>
          <w:highlight w:val="none"/>
          <w:u w:val="none"/>
          <w14:textFill>
            <w14:solidFill>
              <w14:schemeClr w14:val="tx1"/>
            </w14:solidFill>
          </w14:textFill>
        </w:rPr>
        <w:t>为：</w:t>
      </w:r>
      <w:r>
        <w:rPr>
          <w:rFonts w:hint="eastAsia" w:hAnsi="宋体" w:cs="宋体"/>
          <w:color w:val="000000" w:themeColor="text1"/>
          <w:szCs w:val="21"/>
          <w:highlight w:val="none"/>
          <w:u w:val="none"/>
          <w:lang w:val="en-US" w:eastAsia="zh-CN"/>
          <w14:textFill>
            <w14:solidFill>
              <w14:schemeClr w14:val="tx1"/>
            </w14:solidFill>
          </w14:textFill>
        </w:rPr>
        <w:t>大写：</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u w:val="none"/>
          <w:lang w:val="en-US" w:eastAsia="zh-CN"/>
          <w14:textFill>
            <w14:solidFill>
              <w14:schemeClr w14:val="tx1"/>
            </w14:solidFill>
          </w14:textFill>
        </w:rPr>
        <w:t xml:space="preserve"> ；小写：</w:t>
      </w:r>
      <w:r>
        <w:rPr>
          <w:rFonts w:hint="eastAsia" w:hAnsi="宋体" w:cs="宋体"/>
          <w:color w:val="000000" w:themeColor="text1"/>
          <w:szCs w:val="21"/>
          <w:highlight w:val="none"/>
          <w:u w:val="single"/>
          <w:lang w:val="en-US" w:eastAsia="zh-CN"/>
          <w14:textFill>
            <w14:solidFill>
              <w14:schemeClr w14:val="tx1"/>
            </w14:solidFill>
          </w14:textFill>
        </w:rPr>
        <w:t xml:space="preserve">                 </w:t>
      </w:r>
      <w:r>
        <w:rPr>
          <w:rFonts w:hint="eastAsia" w:hAnsi="宋体" w:cs="宋体"/>
          <w:color w:val="000000" w:themeColor="text1"/>
          <w:szCs w:val="21"/>
          <w:highlight w:val="none"/>
          <w:u w:val="none"/>
          <w:lang w:val="en-US" w:eastAsia="zh-CN"/>
          <w14:textFill>
            <w14:solidFill>
              <w14:schemeClr w14:val="tx1"/>
            </w14:solidFill>
          </w14:textFill>
        </w:rPr>
        <w:t xml:space="preserve">元 </w:t>
      </w:r>
      <w:r>
        <w:rPr>
          <w:rFonts w:hint="eastAsia" w:hAnsi="宋体" w:cs="宋体"/>
          <w:color w:val="000000" w:themeColor="text1"/>
          <w:szCs w:val="21"/>
          <w:highlight w:val="none"/>
          <w:u w:val="none"/>
          <w:lang w:eastAsia="zh-CN"/>
          <w14:textFill>
            <w14:solidFill>
              <w14:schemeClr w14:val="tx1"/>
            </w14:solidFill>
          </w14:textFill>
        </w:rPr>
        <w:t>。</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2.我方承诺已具备磋商文件规定的供应商资格条件。</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3.我方已详细审核磋商文件，包括修改文件（如有的话）和有关附件，将自行承担因对全部磋商文件理解不正确或误解而产生的相应后果。</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4. 响应文件有效期为响应文件递交截止时间之日起90天。</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5. 如我方成交：</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（1）我方承诺在收到成交通知书后，在成交通知书规定的期限内与采购人签订合同。</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（2）我方承诺按照磋商文件规定递交履约担保。</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（3）我方承诺本响应文件至本项目合同履行完毕止均保持有效，按磋商文件及政府采购法律、法规的规定履行合同责任和义务。</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与本项目有关的正式通讯地址为：</w:t>
      </w:r>
    </w:p>
    <w:p>
      <w:pPr>
        <w:spacing w:line="440" w:lineRule="exact"/>
        <w:rPr>
          <w:rFonts w:hint="eastAsia" w:ascii="宋体" w:hAnsi="宋体" w:cs="宋体"/>
          <w:color w:val="000000" w:themeColor="text1"/>
          <w:szCs w:val="21"/>
          <w:highlight w:val="none"/>
          <w14:textFill>
            <w14:solidFill>
              <w14:schemeClr w14:val="tx1"/>
            </w14:solidFill>
          </w14:textFill>
        </w:rPr>
      </w:pPr>
    </w:p>
    <w:p>
      <w:pPr>
        <w:pStyle w:val="21"/>
        <w:spacing w:line="44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地址：</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邮编：</w:t>
      </w:r>
      <w:r>
        <w:rPr>
          <w:rFonts w:hint="eastAsia" w:hAnsi="宋体" w:cs="宋体"/>
          <w:color w:val="000000" w:themeColor="text1"/>
          <w:szCs w:val="21"/>
          <w:highlight w:val="none"/>
          <w:u w:val="single"/>
          <w14:textFill>
            <w14:solidFill>
              <w14:schemeClr w14:val="tx1"/>
            </w14:solidFill>
          </w14:textFill>
        </w:rPr>
        <w:t xml:space="preserve">          </w:t>
      </w:r>
      <w:r>
        <w:rPr>
          <w:rFonts w:hint="eastAsia" w:hAnsi="宋体" w:cs="宋体"/>
          <w:color w:val="000000" w:themeColor="text1"/>
          <w:szCs w:val="21"/>
          <w:highlight w:val="none"/>
          <w14:textFill>
            <w14:solidFill>
              <w14:schemeClr w14:val="tx1"/>
            </w14:solidFill>
          </w14:textFill>
        </w:rPr>
        <w:t xml:space="preserve">  电话、传真：</w:t>
      </w:r>
      <w:r>
        <w:rPr>
          <w:rFonts w:hint="eastAsia" w:hAnsi="宋体" w:cs="宋体"/>
          <w:color w:val="000000" w:themeColor="text1"/>
          <w:szCs w:val="21"/>
          <w:highlight w:val="none"/>
          <w:u w:val="single"/>
          <w14:textFill>
            <w14:solidFill>
              <w14:schemeClr w14:val="tx1"/>
            </w14:solidFill>
          </w14:textFill>
        </w:rPr>
        <w:t xml:space="preserve">            </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开户名称：</w:t>
      </w:r>
      <w:r>
        <w:rPr>
          <w:rFonts w:hint="eastAsia" w:hAnsi="宋体" w:cs="宋体"/>
          <w:color w:val="000000" w:themeColor="text1"/>
          <w:szCs w:val="21"/>
          <w:highlight w:val="none"/>
          <w:u w:val="single"/>
          <w14:textFill>
            <w14:solidFill>
              <w14:schemeClr w14:val="tx1"/>
            </w14:solidFill>
          </w14:textFill>
        </w:rPr>
        <w:t xml:space="preserve">                                        </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开户银行：</w:t>
      </w:r>
      <w:r>
        <w:rPr>
          <w:rFonts w:hint="eastAsia" w:hAnsi="宋体" w:cs="宋体"/>
          <w:color w:val="000000" w:themeColor="text1"/>
          <w:szCs w:val="21"/>
          <w:highlight w:val="none"/>
          <w:u w:val="single"/>
          <w14:textFill>
            <w14:solidFill>
              <w14:schemeClr w14:val="tx1"/>
            </w14:solidFill>
          </w14:textFill>
        </w:rPr>
        <w:t xml:space="preserve">                               　       </w:t>
      </w:r>
    </w:p>
    <w:p>
      <w:pPr>
        <w:pStyle w:val="21"/>
        <w:spacing w:line="440" w:lineRule="exact"/>
        <w:ind w:firstLine="420"/>
        <w:rPr>
          <w:rFonts w:hint="eastAsia" w:hAnsi="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账号：</w:t>
      </w:r>
      <w:r>
        <w:rPr>
          <w:rFonts w:hint="eastAsia" w:hAnsi="宋体" w:cs="宋体"/>
          <w:color w:val="000000" w:themeColor="text1"/>
          <w:szCs w:val="21"/>
          <w:highlight w:val="none"/>
          <w:u w:val="single"/>
          <w14:textFill>
            <w14:solidFill>
              <w14:schemeClr w14:val="tx1"/>
            </w14:solidFill>
          </w14:textFill>
        </w:rPr>
        <w:t xml:space="preserve">                                   　　　   </w:t>
      </w:r>
    </w:p>
    <w:p>
      <w:pPr>
        <w:pStyle w:val="21"/>
        <w:spacing w:line="440" w:lineRule="exact"/>
        <w:ind w:firstLine="420"/>
        <w:rPr>
          <w:rFonts w:hint="eastAsia" w:hAnsi="宋体" w:cs="宋体"/>
          <w:bCs/>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供应商[公章(CA签章)、自然人除外]：</w:t>
      </w:r>
      <w:r>
        <w:rPr>
          <w:rFonts w:hint="eastAsia" w:hAnsi="宋体" w:cs="宋体"/>
          <w:bCs/>
          <w:color w:val="000000" w:themeColor="text1"/>
          <w:szCs w:val="21"/>
          <w:highlight w:val="none"/>
          <w:u w:val="single"/>
          <w14:textFill>
            <w14:solidFill>
              <w14:schemeClr w14:val="tx1"/>
            </w14:solidFill>
          </w14:textFill>
        </w:rPr>
        <w:t xml:space="preserve">                              </w:t>
      </w:r>
    </w:p>
    <w:p>
      <w:pPr>
        <w:pStyle w:val="21"/>
        <w:spacing w:line="44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法定代表人、负责人、自然人或相应的委托代理人签字[或盖章(CA签章)]（属自然人的应在签名处加盖大拇指指印或个人CA签章）：</w:t>
      </w:r>
      <w:r>
        <w:rPr>
          <w:rFonts w:hint="eastAsia" w:hAnsi="宋体" w:cs="宋体"/>
          <w:color w:val="000000" w:themeColor="text1"/>
          <w:szCs w:val="21"/>
          <w:highlight w:val="none"/>
          <w:u w:val="single"/>
          <w14:textFill>
            <w14:solidFill>
              <w14:schemeClr w14:val="tx1"/>
            </w14:solidFill>
          </w14:textFill>
        </w:rPr>
        <w:t xml:space="preserve">              </w:t>
      </w:r>
    </w:p>
    <w:p>
      <w:pPr>
        <w:pStyle w:val="21"/>
        <w:spacing w:line="44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响应</w:t>
      </w:r>
      <w:r>
        <w:rPr>
          <w:rFonts w:hint="eastAsia" w:hAnsi="宋体" w:cs="宋体"/>
          <w:color w:val="000000" w:themeColor="text1"/>
          <w:szCs w:val="21"/>
          <w:highlight w:val="none"/>
          <w14:textFill>
            <w14:solidFill>
              <w14:schemeClr w14:val="tx1"/>
            </w14:solidFill>
          </w14:textFill>
        </w:rPr>
        <w:t>日期：</w:t>
      </w:r>
      <w:r>
        <w:rPr>
          <w:rFonts w:hint="eastAsia" w:hAnsi="宋体" w:cs="宋体"/>
          <w:color w:val="000000" w:themeColor="text1"/>
          <w:szCs w:val="21"/>
          <w:highlight w:val="none"/>
          <w:u w:val="single"/>
          <w14:textFill>
            <w14:solidFill>
              <w14:schemeClr w14:val="tx1"/>
            </w14:solidFill>
          </w14:textFill>
        </w:rPr>
        <w:t xml:space="preserve">                               </w:t>
      </w:r>
    </w:p>
    <w:p>
      <w:pPr>
        <w:spacing w:line="440" w:lineRule="exact"/>
        <w:rPr>
          <w:rFonts w:hint="eastAsia" w:ascii="宋体" w:hAnsi="宋体" w:cs="宋体"/>
          <w:b/>
          <w:color w:val="000000" w:themeColor="text1"/>
          <w:szCs w:val="21"/>
          <w:highlight w:val="none"/>
          <w14:textFill>
            <w14:solidFill>
              <w14:schemeClr w14:val="tx1"/>
            </w14:solidFill>
          </w14:textFill>
        </w:rPr>
      </w:pPr>
    </w:p>
    <w:p>
      <w:pPr>
        <w:widowControl/>
        <w:spacing w:line="440" w:lineRule="exact"/>
        <w:jc w:val="left"/>
        <w:rPr>
          <w:rFonts w:hint="eastAsia" w:ascii="宋体" w:hAnsi="宋体" w:cs="宋体"/>
          <w:b/>
          <w:bCs/>
          <w:color w:val="000000" w:themeColor="text1"/>
          <w:szCs w:val="21"/>
          <w:highlight w:val="none"/>
          <w14:textFill>
            <w14:solidFill>
              <w14:schemeClr w14:val="tx1"/>
            </w14:solidFill>
          </w14:textFill>
        </w:rPr>
      </w:pPr>
      <w:bookmarkStart w:id="459" w:name="_Toc21482"/>
      <w:r>
        <w:rPr>
          <w:rFonts w:hint="eastAsia" w:ascii="宋体" w:hAnsi="宋体" w:cs="宋体"/>
          <w:b/>
          <w:bCs/>
          <w:color w:val="000000" w:themeColor="text1"/>
          <w:szCs w:val="21"/>
          <w:highlight w:val="none"/>
          <w14:textFill>
            <w14:solidFill>
              <w14:schemeClr w14:val="tx1"/>
            </w14:solidFill>
          </w14:textFill>
        </w:rPr>
        <w:br w:type="page"/>
      </w:r>
      <w:r>
        <w:rPr>
          <w:rFonts w:hint="eastAsia" w:ascii="宋体" w:hAnsi="宋体" w:cs="宋体"/>
          <w:b/>
          <w:bCs/>
          <w:color w:val="000000" w:themeColor="text1"/>
          <w:szCs w:val="21"/>
          <w:highlight w:val="none"/>
          <w14:textFill>
            <w14:solidFill>
              <w14:schemeClr w14:val="tx1"/>
            </w14:solidFill>
          </w14:textFill>
        </w:rPr>
        <w:t>2.</w:t>
      </w:r>
      <w:bookmarkEnd w:id="457"/>
      <w:bookmarkEnd w:id="458"/>
      <w:bookmarkEnd w:id="459"/>
      <w:r>
        <w:rPr>
          <w:rFonts w:hint="eastAsia" w:ascii="宋体" w:hAnsi="宋体" w:cs="宋体"/>
          <w:b/>
          <w:bCs/>
          <w:color w:val="000000" w:themeColor="text1"/>
          <w:szCs w:val="21"/>
          <w:highlight w:val="none"/>
          <w14:textFill>
            <w14:solidFill>
              <w14:schemeClr w14:val="tx1"/>
            </w14:solidFill>
          </w14:textFill>
        </w:rPr>
        <w:t>项目管理机构组成表（如有，请提供）；</w:t>
      </w:r>
    </w:p>
    <w:tbl>
      <w:tblPr>
        <w:tblStyle w:val="37"/>
        <w:tblW w:w="97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7" w:hRule="atLeast"/>
          <w:jc w:val="center"/>
        </w:trPr>
        <w:tc>
          <w:tcPr>
            <w:tcW w:w="993" w:type="dxa"/>
            <w:vMerge w:val="restart"/>
            <w:tcBorders>
              <w:top w:val="single" w:color="000000" w:sz="4" w:space="0"/>
              <w:left w:val="single" w:color="000000" w:sz="4" w:space="0"/>
              <w:bottom w:val="single" w:color="000000" w:sz="4" w:space="0"/>
            </w:tcBorders>
            <w:vAlign w:val="center"/>
          </w:tcPr>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岗位</w:t>
            </w:r>
          </w:p>
        </w:tc>
        <w:tc>
          <w:tcPr>
            <w:tcW w:w="829" w:type="dxa"/>
            <w:vMerge w:val="restart"/>
            <w:tcBorders>
              <w:top w:val="single" w:color="000000" w:sz="4" w:space="0"/>
              <w:left w:val="single" w:color="000000" w:sz="4" w:space="0"/>
              <w:bottom w:val="single" w:color="000000" w:sz="4" w:space="0"/>
            </w:tcBorders>
            <w:vAlign w:val="center"/>
          </w:tcPr>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姓名</w:t>
            </w:r>
          </w:p>
        </w:tc>
        <w:tc>
          <w:tcPr>
            <w:tcW w:w="816" w:type="dxa"/>
            <w:vMerge w:val="restart"/>
            <w:tcBorders>
              <w:top w:val="single" w:color="000000" w:sz="4" w:space="0"/>
              <w:left w:val="single" w:color="000000" w:sz="4" w:space="0"/>
              <w:bottom w:val="single" w:color="000000" w:sz="4" w:space="0"/>
            </w:tcBorders>
            <w:vAlign w:val="center"/>
          </w:tcPr>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职称</w:t>
            </w:r>
          </w:p>
        </w:tc>
        <w:tc>
          <w:tcPr>
            <w:tcW w:w="4592" w:type="dxa"/>
            <w:gridSpan w:val="4"/>
            <w:tcBorders>
              <w:top w:val="single" w:color="000000" w:sz="4" w:space="0"/>
              <w:left w:val="single" w:color="000000" w:sz="4" w:space="0"/>
              <w:bottom w:val="single" w:color="000000" w:sz="4" w:space="0"/>
            </w:tcBorders>
            <w:vAlign w:val="center"/>
          </w:tcPr>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执业或职业资格证明</w:t>
            </w:r>
          </w:p>
        </w:tc>
        <w:tc>
          <w:tcPr>
            <w:tcW w:w="2539"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承担完工工程情况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44" w:hRule="atLeast"/>
          <w:jc w:val="center"/>
        </w:trPr>
        <w:tc>
          <w:tcPr>
            <w:tcW w:w="993" w:type="dxa"/>
            <w:vMerge w:val="continue"/>
            <w:tcBorders>
              <w:top w:val="single" w:color="000000" w:sz="4" w:space="0"/>
              <w:left w:val="single" w:color="000000" w:sz="4" w:space="0"/>
              <w:bottom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829" w:type="dxa"/>
            <w:vMerge w:val="continue"/>
            <w:tcBorders>
              <w:top w:val="single" w:color="000000" w:sz="4" w:space="0"/>
              <w:left w:val="single" w:color="000000" w:sz="4" w:space="0"/>
              <w:bottom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816" w:type="dxa"/>
            <w:vMerge w:val="continue"/>
            <w:tcBorders>
              <w:top w:val="single" w:color="000000" w:sz="4" w:space="0"/>
              <w:left w:val="single" w:color="000000" w:sz="4" w:space="0"/>
              <w:bottom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1148" w:type="dxa"/>
            <w:tcBorders>
              <w:top w:val="single" w:color="000000" w:sz="4" w:space="0"/>
              <w:left w:val="single" w:color="000000" w:sz="4" w:space="0"/>
              <w:bottom w:val="single" w:color="000000" w:sz="4" w:space="0"/>
            </w:tcBorders>
            <w:vAlign w:val="center"/>
          </w:tcPr>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证书名称</w:t>
            </w:r>
          </w:p>
        </w:tc>
        <w:tc>
          <w:tcPr>
            <w:tcW w:w="1148" w:type="dxa"/>
            <w:tcBorders>
              <w:top w:val="single" w:color="000000" w:sz="4" w:space="0"/>
              <w:left w:val="single" w:color="000000" w:sz="4" w:space="0"/>
              <w:bottom w:val="single" w:color="000000" w:sz="4" w:space="0"/>
            </w:tcBorders>
            <w:vAlign w:val="center"/>
          </w:tcPr>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级别</w:t>
            </w:r>
          </w:p>
        </w:tc>
        <w:tc>
          <w:tcPr>
            <w:tcW w:w="1148" w:type="dxa"/>
            <w:tcBorders>
              <w:top w:val="single" w:color="000000" w:sz="4" w:space="0"/>
              <w:left w:val="single" w:color="000000" w:sz="4" w:space="0"/>
              <w:bottom w:val="single" w:color="000000" w:sz="4" w:space="0"/>
            </w:tcBorders>
            <w:vAlign w:val="center"/>
          </w:tcPr>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证号</w:t>
            </w:r>
          </w:p>
        </w:tc>
        <w:tc>
          <w:tcPr>
            <w:tcW w:w="1148" w:type="dxa"/>
            <w:tcBorders>
              <w:top w:val="single" w:color="000000" w:sz="4" w:space="0"/>
              <w:left w:val="single" w:color="000000" w:sz="4" w:space="0"/>
              <w:bottom w:val="single" w:color="000000" w:sz="4" w:space="0"/>
            </w:tcBorders>
            <w:vAlign w:val="center"/>
          </w:tcPr>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专业</w:t>
            </w:r>
          </w:p>
        </w:tc>
        <w:tc>
          <w:tcPr>
            <w:tcW w:w="850" w:type="dxa"/>
            <w:tcBorders>
              <w:top w:val="single" w:color="000000" w:sz="4" w:space="0"/>
              <w:left w:val="single" w:color="000000" w:sz="4" w:space="0"/>
              <w:bottom w:val="single" w:color="000000" w:sz="4" w:space="0"/>
            </w:tcBorders>
            <w:vAlign w:val="center"/>
          </w:tcPr>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项目数</w:t>
            </w:r>
          </w:p>
        </w:tc>
        <w:tc>
          <w:tcPr>
            <w:tcW w:w="1689" w:type="dxa"/>
            <w:tcBorders>
              <w:top w:val="single" w:color="000000" w:sz="4" w:space="0"/>
              <w:left w:val="single" w:color="000000" w:sz="4" w:space="0"/>
              <w:bottom w:val="single" w:color="000000" w:sz="4" w:space="0"/>
              <w:right w:val="single" w:color="000000" w:sz="4" w:space="0"/>
            </w:tcBorders>
            <w:vAlign w:val="center"/>
          </w:tcPr>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主要项目</w:t>
            </w:r>
          </w:p>
          <w:p>
            <w:pPr>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993" w:type="dxa"/>
            <w:tcBorders>
              <w:top w:val="single" w:color="000000" w:sz="4" w:space="0"/>
              <w:left w:val="single" w:color="000000" w:sz="4" w:space="0"/>
              <w:bottom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829" w:type="dxa"/>
            <w:tcBorders>
              <w:top w:val="single" w:color="000000" w:sz="4" w:space="0"/>
              <w:left w:val="single" w:color="000000" w:sz="4" w:space="0"/>
              <w:bottom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816" w:type="dxa"/>
            <w:tcBorders>
              <w:top w:val="single" w:color="000000" w:sz="4" w:space="0"/>
              <w:left w:val="single" w:color="000000" w:sz="4" w:space="0"/>
              <w:bottom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1148" w:type="dxa"/>
            <w:tcBorders>
              <w:top w:val="single" w:color="000000" w:sz="4" w:space="0"/>
              <w:left w:val="single" w:color="000000" w:sz="4" w:space="0"/>
              <w:bottom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1148" w:type="dxa"/>
            <w:tcBorders>
              <w:top w:val="single" w:color="000000" w:sz="4" w:space="0"/>
              <w:left w:val="single" w:color="000000" w:sz="4" w:space="0"/>
              <w:bottom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1148" w:type="dxa"/>
            <w:tcBorders>
              <w:top w:val="single" w:color="000000" w:sz="4" w:space="0"/>
              <w:left w:val="single" w:color="000000" w:sz="4" w:space="0"/>
              <w:bottom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1148" w:type="dxa"/>
            <w:tcBorders>
              <w:top w:val="single" w:color="000000" w:sz="4" w:space="0"/>
              <w:left w:val="single" w:color="000000" w:sz="4" w:space="0"/>
              <w:bottom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850" w:type="dxa"/>
            <w:tcBorders>
              <w:top w:val="single" w:color="000000" w:sz="4" w:space="0"/>
              <w:left w:val="single" w:color="000000" w:sz="4" w:space="0"/>
              <w:bottom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c>
          <w:tcPr>
            <w:tcW w:w="1689"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hanging="254"/>
              <w:jc w:val="center"/>
              <w:rPr>
                <w:rFonts w:hint="eastAsia" w:ascii="宋体" w:hAnsi="宋体" w:cs="宋体"/>
                <w:color w:val="000000" w:themeColor="text1"/>
                <w:szCs w:val="21"/>
                <w:highlight w:val="none"/>
                <w14:textFill>
                  <w14:solidFill>
                    <w14:schemeClr w14:val="tx1"/>
                  </w14:solidFill>
                </w14:textFill>
              </w:rPr>
            </w:pPr>
          </w:p>
        </w:tc>
      </w:tr>
    </w:tbl>
    <w:p>
      <w:pPr>
        <w:spacing w:line="440" w:lineRule="exact"/>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附拟投入人员身份证、相关证书、由县级以上（含县级）社会养老保险经办机构出具的投标人为拟投入项目人员交纳的投标截止时间当月前半年连续任意三个月社保证明（若为近期新聘员工的，以提供劳动合同证明材料复印件为准；若为退休人员的，以提供退休证及劳动合同证明材料复印件为准）等材料复印件】</w:t>
      </w:r>
    </w:p>
    <w:p>
      <w:pPr>
        <w:spacing w:line="440" w:lineRule="exact"/>
        <w:ind w:firstLine="420" w:firstLineChars="200"/>
        <w:jc w:val="both"/>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.在填写时，如本表格不适合供应商的实际情况，可根据本表格式自行制表填写。</w:t>
      </w:r>
    </w:p>
    <w:p>
      <w:pPr>
        <w:pStyle w:val="21"/>
        <w:spacing w:line="440" w:lineRule="exact"/>
        <w:ind w:firstLine="420"/>
        <w:rPr>
          <w:rFonts w:hint="eastAsia" w:hAnsi="宋体" w:cs="宋体"/>
          <w:bCs/>
          <w:color w:val="000000" w:themeColor="text1"/>
          <w:szCs w:val="21"/>
          <w:highlight w:val="none"/>
          <w14:textFill>
            <w14:solidFill>
              <w14:schemeClr w14:val="tx1"/>
            </w14:solidFill>
          </w14:textFill>
        </w:rPr>
      </w:pPr>
    </w:p>
    <w:p>
      <w:pPr>
        <w:pStyle w:val="21"/>
        <w:spacing w:line="440" w:lineRule="exact"/>
        <w:ind w:firstLine="420"/>
        <w:rPr>
          <w:rFonts w:hint="eastAsia" w:hAnsi="宋体" w:cs="宋体"/>
          <w:bCs/>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供应商[公章(CA签章)、自然人除外]：</w:t>
      </w:r>
      <w:r>
        <w:rPr>
          <w:rFonts w:hint="eastAsia" w:hAnsi="宋体" w:cs="宋体"/>
          <w:bCs/>
          <w:color w:val="000000" w:themeColor="text1"/>
          <w:szCs w:val="21"/>
          <w:highlight w:val="none"/>
          <w:u w:val="single"/>
          <w14:textFill>
            <w14:solidFill>
              <w14:schemeClr w14:val="tx1"/>
            </w14:solidFill>
          </w14:textFill>
        </w:rPr>
        <w:t xml:space="preserve">                              </w:t>
      </w:r>
    </w:p>
    <w:p>
      <w:pPr>
        <w:pStyle w:val="21"/>
        <w:spacing w:line="44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color w:val="000000" w:themeColor="text1"/>
          <w:szCs w:val="21"/>
          <w:highlight w:val="none"/>
          <w14:textFill>
            <w14:solidFill>
              <w14:schemeClr w14:val="tx1"/>
            </w14:solidFill>
          </w14:textFill>
        </w:rPr>
        <w:t>法定代表人、负责人、自然人或相应的委托代理人签字[或盖章(CA签章)]（属自然人的应在签名处加盖大拇指指印或个人CA签章）：</w:t>
      </w:r>
      <w:r>
        <w:rPr>
          <w:rFonts w:hint="eastAsia" w:hAnsi="宋体" w:cs="宋体"/>
          <w:color w:val="000000" w:themeColor="text1"/>
          <w:szCs w:val="21"/>
          <w:highlight w:val="none"/>
          <w:u w:val="single"/>
          <w14:textFill>
            <w14:solidFill>
              <w14:schemeClr w14:val="tx1"/>
            </w14:solidFill>
          </w14:textFill>
        </w:rPr>
        <w:t xml:space="preserve">              </w:t>
      </w:r>
    </w:p>
    <w:p>
      <w:pPr>
        <w:pStyle w:val="21"/>
        <w:spacing w:line="440" w:lineRule="exact"/>
        <w:ind w:firstLine="420"/>
        <w:rPr>
          <w:rFonts w:hint="eastAsia" w:hAnsi="宋体" w:cs="宋体"/>
          <w:color w:val="000000" w:themeColor="text1"/>
          <w:szCs w:val="21"/>
          <w:highlight w:val="none"/>
          <w:u w:val="single"/>
          <w14:textFill>
            <w14:solidFill>
              <w14:schemeClr w14:val="tx1"/>
            </w14:solidFill>
          </w14:textFill>
        </w:rPr>
      </w:pPr>
      <w:r>
        <w:rPr>
          <w:rFonts w:hint="eastAsia" w:hAnsi="宋体" w:cs="宋体"/>
          <w:bCs/>
          <w:color w:val="000000" w:themeColor="text1"/>
          <w:szCs w:val="21"/>
          <w:highlight w:val="none"/>
          <w14:textFill>
            <w14:solidFill>
              <w14:schemeClr w14:val="tx1"/>
            </w14:solidFill>
          </w14:textFill>
        </w:rPr>
        <w:t>响应</w:t>
      </w:r>
      <w:r>
        <w:rPr>
          <w:rFonts w:hint="eastAsia" w:hAnsi="宋体" w:cs="宋体"/>
          <w:color w:val="000000" w:themeColor="text1"/>
          <w:szCs w:val="21"/>
          <w:highlight w:val="none"/>
          <w14:textFill>
            <w14:solidFill>
              <w14:schemeClr w14:val="tx1"/>
            </w14:solidFill>
          </w14:textFill>
        </w:rPr>
        <w:t>日期：</w:t>
      </w:r>
      <w:r>
        <w:rPr>
          <w:rFonts w:hint="eastAsia" w:hAnsi="宋体" w:cs="宋体"/>
          <w:color w:val="000000" w:themeColor="text1"/>
          <w:szCs w:val="21"/>
          <w:highlight w:val="none"/>
          <w:u w:val="single"/>
          <w14:textFill>
            <w14:solidFill>
              <w14:schemeClr w14:val="tx1"/>
            </w14:solidFill>
          </w14:textFill>
        </w:rPr>
        <w:t xml:space="preserve">                               </w:t>
      </w:r>
    </w:p>
    <w:p>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3.设计技术方案（如有，请提供）；</w:t>
      </w:r>
    </w:p>
    <w:p>
      <w:pPr>
        <w:spacing w:line="440" w:lineRule="exact"/>
        <w:rPr>
          <w:rFonts w:hint="eastAsia" w:ascii="宋体" w:hAnsi="宋体" w:cs="宋体"/>
          <w:b/>
          <w:bCs/>
          <w:color w:val="000000" w:themeColor="text1"/>
          <w:szCs w:val="21"/>
          <w:highlight w:val="none"/>
          <w14:textFill>
            <w14:solidFill>
              <w14:schemeClr w14:val="tx1"/>
            </w14:solidFill>
          </w14:textFill>
        </w:rPr>
      </w:pPr>
    </w:p>
    <w:p>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p>
    <w:p>
      <w:pPr>
        <w:pStyle w:val="114"/>
        <w:spacing w:line="440" w:lineRule="exact"/>
        <w:ind w:firstLine="0" w:firstLineChars="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4.服务承诺（如有，请提供）；</w:t>
      </w:r>
    </w:p>
    <w:p>
      <w:pPr>
        <w:spacing w:line="440" w:lineRule="exact"/>
        <w:rPr>
          <w:rFonts w:hint="eastAsia" w:ascii="宋体" w:hAnsi="宋体" w:cs="宋体"/>
          <w:b/>
          <w:bCs/>
          <w:color w:val="000000" w:themeColor="text1"/>
          <w:szCs w:val="21"/>
          <w:highlight w:val="none"/>
          <w14:textFill>
            <w14:solidFill>
              <w14:schemeClr w14:val="tx1"/>
            </w14:solidFill>
          </w14:textFill>
        </w:rPr>
      </w:pPr>
    </w:p>
    <w:p>
      <w:pPr>
        <w:pStyle w:val="114"/>
        <w:spacing w:line="440" w:lineRule="exact"/>
        <w:ind w:firstLine="0" w:firstLineChars="0"/>
        <w:jc w:val="left"/>
        <w:rPr>
          <w:rFonts w:hint="eastAsia" w:ascii="宋体" w:hAnsi="宋体" w:cs="宋体"/>
          <w:b/>
          <w:bCs/>
          <w:color w:val="000000" w:themeColor="text1"/>
          <w:szCs w:val="21"/>
          <w:highlight w:val="none"/>
          <w:lang w:val="en-US" w:eastAsia="zh-CN"/>
          <w14:textFill>
            <w14:solidFill>
              <w14:schemeClr w14:val="tx1"/>
            </w14:solidFill>
          </w14:textFill>
        </w:rPr>
      </w:pPr>
    </w:p>
    <w:p>
      <w:pPr>
        <w:pStyle w:val="114"/>
        <w:spacing w:line="440" w:lineRule="exact"/>
        <w:ind w:firstLine="0" w:firstLineChars="0"/>
        <w:jc w:val="left"/>
        <w:rPr>
          <w:rFonts w:hint="eastAsia" w:ascii="宋体" w:hAnsi="宋体" w:cs="宋体"/>
          <w:b/>
          <w:bCs/>
          <w:color w:val="000000" w:themeColor="text1"/>
          <w:szCs w:val="21"/>
          <w:highlight w:val="none"/>
          <w:lang w:val="en-US" w:eastAsia="zh-CN"/>
          <w14:textFill>
            <w14:solidFill>
              <w14:schemeClr w14:val="tx1"/>
            </w14:solidFill>
          </w14:textFill>
        </w:rPr>
      </w:pPr>
    </w:p>
    <w:p>
      <w:pPr>
        <w:pStyle w:val="114"/>
        <w:spacing w:line="440" w:lineRule="exact"/>
        <w:ind w:firstLine="0" w:firstLineChars="0"/>
        <w:jc w:val="left"/>
        <w:rPr>
          <w:rFonts w:hint="eastAsia" w:ascii="宋体" w:hAnsi="宋体" w:cs="宋体"/>
          <w:b/>
          <w:bCs/>
          <w:color w:val="000000" w:themeColor="text1"/>
          <w:szCs w:val="21"/>
          <w:highlight w:val="none"/>
          <w:lang w:val="en-US" w:eastAsia="zh-CN"/>
          <w14:textFill>
            <w14:solidFill>
              <w14:schemeClr w14:val="tx1"/>
            </w14:solidFill>
          </w14:textFill>
        </w:rPr>
      </w:pPr>
    </w:p>
    <w:p>
      <w:pPr>
        <w:pStyle w:val="114"/>
        <w:spacing w:line="440" w:lineRule="exact"/>
        <w:ind w:firstLine="0" w:firstLineChars="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供应商属于中小企业的应提供《中小企业声明函》（详见附件）；或属于监狱企业的，应当提供由省级以上监狱管理局、戒毒管理局(含新疆生产建设兵团)出具的属于监狱企业的证明文件；或符合条件的残疾人福利性单位在参加政府采购活动时，应当提供《残疾人福利性单位声明函》（详见附件），并对声明的真实性负责</w:t>
      </w:r>
      <w:r>
        <w:rPr>
          <w:rFonts w:hint="eastAsia" w:ascii="宋体" w:hAnsi="宋体" w:cs="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lang w:val="en-US" w:eastAsia="zh-CN"/>
          <w14:textFill>
            <w14:solidFill>
              <w14:schemeClr w14:val="tx1"/>
            </w14:solidFill>
          </w14:textFill>
        </w:rPr>
        <w:t>如有，请</w:t>
      </w:r>
      <w:r>
        <w:rPr>
          <w:rFonts w:hint="eastAsia" w:ascii="宋体" w:hAnsi="宋体" w:cs="宋体"/>
          <w:b/>
          <w:color w:val="000000" w:themeColor="text1"/>
          <w:szCs w:val="21"/>
          <w:highlight w:val="none"/>
          <w14:textFill>
            <w14:solidFill>
              <w14:schemeClr w14:val="tx1"/>
            </w14:solidFill>
          </w14:textFill>
        </w:rPr>
        <w:t>提供）；</w:t>
      </w:r>
    </w:p>
    <w:p>
      <w:pPr>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br w:type="page"/>
      </w:r>
    </w:p>
    <w:p>
      <w:pPr>
        <w:spacing w:line="44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color w:val="000000" w:themeColor="text1"/>
          <w:szCs w:val="21"/>
          <w:highlight w:val="none"/>
          <w14:textFill>
            <w14:solidFill>
              <w14:schemeClr w14:val="tx1"/>
            </w14:solidFill>
          </w14:textFill>
        </w:rPr>
        <w:t>、中小企业声明函（如供应商为中小微型企业的，格式见附件，供应商对出具的声明函真实性负责，中标结果将同时公告企业《中小企业声明函》，接受社会监督）；</w:t>
      </w:r>
    </w:p>
    <w:p>
      <w:pPr>
        <w:snapToGrid w:val="0"/>
        <w:spacing w:line="440" w:lineRule="exact"/>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附件</w:t>
      </w:r>
    </w:p>
    <w:p>
      <w:pPr>
        <w:snapToGrid w:val="0"/>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中小企业声明函（格式）</w:t>
      </w:r>
    </w:p>
    <w:p>
      <w:pPr>
        <w:spacing w:line="440" w:lineRule="exact"/>
        <w:ind w:firstLine="641"/>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本公司郑重声明，根据《政府采购促进中小企业发展管理办法》（财库﹝2020﹞46号）的规定，本公司参加</w:t>
      </w:r>
      <w:r>
        <w:rPr>
          <w:rFonts w:hint="eastAsia" w:ascii="宋体" w:hAnsi="宋体" w:cs="宋体"/>
          <w:bCs/>
          <w:color w:val="000000" w:themeColor="text1"/>
          <w:spacing w:val="-10"/>
          <w:szCs w:val="21"/>
          <w:highlight w:val="none"/>
          <w:u w:val="single"/>
          <w14:textFill>
            <w14:solidFill>
              <w14:schemeClr w14:val="tx1"/>
            </w14:solidFill>
          </w14:textFill>
        </w:rPr>
        <w:t>（单位名称）</w:t>
      </w:r>
      <w:r>
        <w:rPr>
          <w:rFonts w:hint="eastAsia" w:ascii="宋体" w:hAnsi="宋体" w:cs="宋体"/>
          <w:bCs/>
          <w:color w:val="000000" w:themeColor="text1"/>
          <w:spacing w:val="-10"/>
          <w:szCs w:val="21"/>
          <w:highlight w:val="none"/>
          <w14:textFill>
            <w14:solidFill>
              <w14:schemeClr w14:val="tx1"/>
            </w14:solidFill>
          </w14:textFill>
        </w:rPr>
        <w:t>的</w:t>
      </w:r>
      <w:r>
        <w:rPr>
          <w:rFonts w:hint="eastAsia" w:ascii="宋体" w:hAnsi="宋体" w:cs="宋体"/>
          <w:bCs/>
          <w:color w:val="000000" w:themeColor="text1"/>
          <w:spacing w:val="-10"/>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14:textFill>
            <w14:solidFill>
              <w14:schemeClr w14:val="tx1"/>
            </w14:solidFill>
          </w14:textFill>
        </w:rPr>
        <w:t>采购活动，服务全部由符合政策要求的中小企业承接。相关企业的具体情况如下：</w:t>
      </w:r>
    </w:p>
    <w:p>
      <w:pPr>
        <w:spacing w:line="44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u w:val="single"/>
          <w14:textFill>
            <w14:solidFill>
              <w14:schemeClr w14:val="tx1"/>
            </w14:solidFill>
          </w14:textFill>
        </w:rPr>
        <w:t>（标的名称）</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szCs w:val="21"/>
          <w:highlight w:val="none"/>
          <w:u w:val="single"/>
          <w14:textFill>
            <w14:solidFill>
              <w14:schemeClr w14:val="tx1"/>
            </w14:solidFill>
          </w14:textFill>
        </w:rPr>
        <w:t xml:space="preserve"> （其他未列明行业） </w:t>
      </w:r>
      <w:r>
        <w:rPr>
          <w:rFonts w:hint="eastAsia" w:ascii="宋体" w:hAnsi="宋体" w:cs="宋体"/>
          <w:color w:val="000000" w:themeColor="text1"/>
          <w:szCs w:val="21"/>
          <w:highlight w:val="none"/>
          <w14:textFill>
            <w14:solidFill>
              <w14:schemeClr w14:val="tx1"/>
            </w14:solidFill>
          </w14:textFill>
        </w:rPr>
        <w:t xml:space="preserve"> 行业；承接企业为</w:t>
      </w:r>
      <w:r>
        <w:rPr>
          <w:rFonts w:hint="eastAsia" w:ascii="宋体" w:hAnsi="宋体" w:cs="宋体"/>
          <w:color w:val="000000" w:themeColor="text1"/>
          <w:szCs w:val="21"/>
          <w:highlight w:val="none"/>
          <w:u w:val="single"/>
          <w14:textFill>
            <w14:solidFill>
              <w14:schemeClr w14:val="tx1"/>
            </w14:solidFill>
          </w14:textFill>
        </w:rPr>
        <w:t>（企业名称）</w:t>
      </w:r>
      <w:r>
        <w:rPr>
          <w:rFonts w:hint="eastAsia" w:ascii="宋体" w:hAnsi="宋体" w:cs="宋体"/>
          <w:color w:val="000000" w:themeColor="text1"/>
          <w:szCs w:val="21"/>
          <w:highlight w:val="none"/>
          <w14:textFill>
            <w14:solidFill>
              <w14:schemeClr w14:val="tx1"/>
            </w14:solidFill>
          </w14:textFill>
        </w:rPr>
        <w:t>，从业人员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人，营业收入为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万元，资产总额为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万元，属于</w:t>
      </w:r>
      <w:r>
        <w:rPr>
          <w:rFonts w:hint="eastAsia" w:ascii="宋体" w:hAnsi="宋体" w:cs="宋体"/>
          <w:color w:val="000000" w:themeColor="text1"/>
          <w:szCs w:val="21"/>
          <w:highlight w:val="none"/>
          <w:u w:val="single"/>
          <w14:textFill>
            <w14:solidFill>
              <w14:schemeClr w14:val="tx1"/>
            </w14:solidFill>
          </w14:textFill>
        </w:rPr>
        <w:t>（中型企业、小型企业、微型企业）</w:t>
      </w:r>
      <w:r>
        <w:rPr>
          <w:rFonts w:hint="eastAsia" w:ascii="宋体" w:hAnsi="宋体" w:cs="宋体"/>
          <w:color w:val="000000" w:themeColor="text1"/>
          <w:szCs w:val="21"/>
          <w:highlight w:val="none"/>
          <w14:textFill>
            <w14:solidFill>
              <w14:schemeClr w14:val="tx1"/>
            </w14:solidFill>
          </w14:textFill>
        </w:rPr>
        <w:t>；</w:t>
      </w:r>
    </w:p>
    <w:p>
      <w:pPr>
        <w:spacing w:line="44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u w:val="single"/>
          <w14:textFill>
            <w14:solidFill>
              <w14:schemeClr w14:val="tx1"/>
            </w14:solidFill>
          </w14:textFill>
        </w:rPr>
        <w:t>（标的名称）</w:t>
      </w:r>
      <w:r>
        <w:rPr>
          <w:rFonts w:hint="eastAsia" w:ascii="宋体" w:hAnsi="宋体" w:cs="宋体"/>
          <w:color w:val="000000" w:themeColor="text1"/>
          <w:szCs w:val="21"/>
          <w:highlight w:val="none"/>
          <w14:textFill>
            <w14:solidFill>
              <w14:schemeClr w14:val="tx1"/>
            </w14:solidFill>
          </w14:textFill>
        </w:rPr>
        <w:t>，属于</w:t>
      </w:r>
      <w:r>
        <w:rPr>
          <w:rFonts w:hint="eastAsia" w:ascii="宋体" w:hAnsi="宋体" w:cs="宋体"/>
          <w:color w:val="000000" w:themeColor="text1"/>
          <w:szCs w:val="21"/>
          <w:highlight w:val="none"/>
          <w:u w:val="single"/>
          <w14:textFill>
            <w14:solidFill>
              <w14:schemeClr w14:val="tx1"/>
            </w14:solidFill>
          </w14:textFill>
        </w:rPr>
        <w:t xml:space="preserve"> （其他未列明行业） </w:t>
      </w:r>
      <w:r>
        <w:rPr>
          <w:rFonts w:hint="eastAsia" w:ascii="宋体" w:hAnsi="宋体" w:cs="宋体"/>
          <w:color w:val="000000" w:themeColor="text1"/>
          <w:szCs w:val="21"/>
          <w:highlight w:val="none"/>
          <w14:textFill>
            <w14:solidFill>
              <w14:schemeClr w14:val="tx1"/>
            </w14:solidFill>
          </w14:textFill>
        </w:rPr>
        <w:t xml:space="preserve"> 行业；承接企业为</w:t>
      </w:r>
      <w:r>
        <w:rPr>
          <w:rFonts w:hint="eastAsia" w:ascii="宋体" w:hAnsi="宋体" w:cs="宋体"/>
          <w:color w:val="000000" w:themeColor="text1"/>
          <w:szCs w:val="21"/>
          <w:highlight w:val="none"/>
          <w:u w:val="single"/>
          <w14:textFill>
            <w14:solidFill>
              <w14:schemeClr w14:val="tx1"/>
            </w14:solidFill>
          </w14:textFill>
        </w:rPr>
        <w:t>（企业名称）</w:t>
      </w:r>
      <w:r>
        <w:rPr>
          <w:rFonts w:hint="eastAsia" w:ascii="宋体" w:hAnsi="宋体" w:cs="宋体"/>
          <w:color w:val="000000" w:themeColor="text1"/>
          <w:szCs w:val="21"/>
          <w:highlight w:val="none"/>
          <w14:textFill>
            <w14:solidFill>
              <w14:schemeClr w14:val="tx1"/>
            </w14:solidFill>
          </w14:textFill>
        </w:rPr>
        <w:t>，从业人员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人，营业收入为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万元，资产总额为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万元，属于</w:t>
      </w:r>
      <w:r>
        <w:rPr>
          <w:rFonts w:hint="eastAsia" w:ascii="宋体" w:hAnsi="宋体" w:cs="宋体"/>
          <w:color w:val="000000" w:themeColor="text1"/>
          <w:szCs w:val="21"/>
          <w:highlight w:val="none"/>
          <w:u w:val="single"/>
          <w14:textFill>
            <w14:solidFill>
              <w14:schemeClr w14:val="tx1"/>
            </w14:solidFill>
          </w14:textFill>
        </w:rPr>
        <w:t>（中型企业、小型企业、微型企业）</w:t>
      </w:r>
      <w:r>
        <w:rPr>
          <w:rFonts w:hint="eastAsia" w:ascii="宋体" w:hAnsi="宋体" w:cs="宋体"/>
          <w:color w:val="000000" w:themeColor="text1"/>
          <w:szCs w:val="21"/>
          <w:highlight w:val="none"/>
          <w14:textFill>
            <w14:solidFill>
              <w14:schemeClr w14:val="tx1"/>
            </w14:solidFill>
          </w14:textFill>
        </w:rPr>
        <w:t>；</w:t>
      </w:r>
    </w:p>
    <w:p>
      <w:pPr>
        <w:spacing w:line="44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以上企业，不属于大企业的分支机构，不存在控股股东为大企业的情形，也不存在与大企业的负责人为同一人的情形。</w:t>
      </w:r>
    </w:p>
    <w:p>
      <w:pPr>
        <w:spacing w:line="440" w:lineRule="exact"/>
        <w:ind w:firstLine="48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本企业对上述声明内容的真实性负责。如有虚假，将依法承担相应责任。</w:t>
      </w:r>
    </w:p>
    <w:p>
      <w:pPr>
        <w:snapToGrid w:val="0"/>
        <w:spacing w:line="4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企业名称（公章(CA签章)、自然人除外）：</w:t>
      </w:r>
    </w:p>
    <w:p>
      <w:pPr>
        <w:snapToGrid w:val="0"/>
        <w:spacing w:line="4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日期：年   月   日</w:t>
      </w:r>
    </w:p>
    <w:p>
      <w:pPr>
        <w:spacing w:line="440" w:lineRule="exact"/>
        <w:ind w:firstLine="482"/>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注：1.从业人员、营业收入、资产总额填报上一年度数据，无上一年度数据的新成立企业可不填报。</w:t>
      </w:r>
    </w:p>
    <w:p>
      <w:pPr>
        <w:spacing w:line="440" w:lineRule="exact"/>
        <w:ind w:firstLine="422" w:firstLineChars="200"/>
        <w:rPr>
          <w:rFonts w:hint="eastAsia" w:ascii="宋体" w:hAnsi="宋体" w:cs="宋体"/>
          <w:b/>
          <w:bCs/>
          <w:color w:val="000000" w:themeColor="text1"/>
          <w:szCs w:val="21"/>
          <w:highlight w:val="none"/>
          <w14:textFill>
            <w14:solidFill>
              <w14:schemeClr w14:val="tx1"/>
            </w14:solidFill>
          </w14:textFill>
        </w:rPr>
      </w:pPr>
    </w:p>
    <w:p>
      <w:pPr>
        <w:spacing w:line="440" w:lineRule="exact"/>
        <w:ind w:firstLine="422" w:firstLineChars="200"/>
        <w:rPr>
          <w:rFonts w:hint="eastAsia" w:ascii="宋体" w:hAnsi="宋体" w:cs="宋体"/>
          <w:b/>
          <w:bCs/>
          <w:color w:val="000000" w:themeColor="text1"/>
          <w:szCs w:val="21"/>
          <w:highlight w:val="none"/>
          <w14:textFill>
            <w14:solidFill>
              <w14:schemeClr w14:val="tx1"/>
            </w14:solidFill>
          </w14:textFill>
        </w:rPr>
      </w:pPr>
    </w:p>
    <w:p>
      <w:pPr>
        <w:spacing w:line="44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.2、监狱企业的证明文件[供应商如为监狱企业的，应当提供由省级以上监狱管理局、戒毒管理局（含新疆生产建设兵团）出具的属于监狱企业的证明文件]</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
          <w:bCs/>
          <w:color w:val="000000" w:themeColor="text1"/>
          <w:szCs w:val="21"/>
          <w:highlight w:val="none"/>
          <w14:textFill>
            <w14:solidFill>
              <w14:schemeClr w14:val="tx1"/>
            </w14:solidFill>
          </w14:textFill>
        </w:rPr>
        <w:t>；</w:t>
      </w:r>
    </w:p>
    <w:p>
      <w:pPr>
        <w:snapToGrid w:val="0"/>
        <w:spacing w:line="440" w:lineRule="exact"/>
        <w:ind w:firstLine="803"/>
        <w:rPr>
          <w:rFonts w:hint="eastAsia" w:ascii="宋体" w:hAnsi="宋体" w:cs="宋体"/>
          <w:b/>
          <w:bCs/>
          <w:color w:val="000000" w:themeColor="text1"/>
          <w:szCs w:val="21"/>
          <w:highlight w:val="none"/>
          <w14:textFill>
            <w14:solidFill>
              <w14:schemeClr w14:val="tx1"/>
            </w14:solidFill>
          </w14:textFill>
        </w:rPr>
      </w:pPr>
    </w:p>
    <w:p>
      <w:pPr>
        <w:spacing w:line="440" w:lineRule="exact"/>
        <w:ind w:firstLine="643"/>
        <w:rPr>
          <w:rFonts w:hint="eastAsia" w:ascii="宋体" w:hAnsi="宋体" w:cs="宋体"/>
          <w:b/>
          <w:bCs/>
          <w:color w:val="000000" w:themeColor="text1"/>
          <w:szCs w:val="21"/>
          <w:highlight w:val="none"/>
          <w14:textFill>
            <w14:solidFill>
              <w14:schemeClr w14:val="tx1"/>
            </w14:solidFill>
          </w14:textFill>
        </w:rPr>
      </w:pPr>
    </w:p>
    <w:p>
      <w:pPr>
        <w:spacing w:line="440" w:lineRule="exact"/>
        <w:ind w:firstLine="422"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r>
        <w:rPr>
          <w:rFonts w:hint="eastAsia" w:ascii="宋体" w:hAnsi="宋体" w:cs="宋体"/>
          <w:b/>
          <w:bCs/>
          <w:color w:val="000000" w:themeColor="text1"/>
          <w:szCs w:val="21"/>
          <w:highlight w:val="non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3、《残疾人福利性单位声明函》【符合条件的残疾人福利性单位在参加政府采购活动时，应当提供《残疾人福利性单位声明函》（格式见附件），并对声明的真实性负责，中标结果将同时公告企业《残疾人福利性单位声明函》，接受社会监督】；</w:t>
      </w:r>
    </w:p>
    <w:p>
      <w:pPr>
        <w:spacing w:line="440" w:lineRule="exact"/>
        <w:jc w:val="left"/>
        <w:rPr>
          <w:rFonts w:hint="eastAsia" w:ascii="宋体" w:hAnsi="宋体" w:cs="宋体"/>
          <w:b/>
          <w:bCs/>
          <w:color w:val="000000" w:themeColor="text1"/>
          <w:szCs w:val="21"/>
          <w:highlight w:val="none"/>
          <w14:textFill>
            <w14:solidFill>
              <w14:schemeClr w14:val="tx1"/>
            </w14:solidFill>
          </w14:textFill>
        </w:rPr>
      </w:pPr>
      <w:bookmarkStart w:id="460" w:name="OLE_LINK13"/>
      <w:bookmarkStart w:id="461" w:name="OLE_LINK14"/>
      <w:r>
        <w:rPr>
          <w:rFonts w:hint="eastAsia" w:ascii="宋体" w:hAnsi="宋体" w:cs="宋体"/>
          <w:b/>
          <w:bCs/>
          <w:color w:val="000000" w:themeColor="text1"/>
          <w:spacing w:val="6"/>
          <w:szCs w:val="21"/>
          <w:highlight w:val="none"/>
          <w14:textFill>
            <w14:solidFill>
              <w14:schemeClr w14:val="tx1"/>
            </w14:solidFill>
          </w14:textFill>
        </w:rPr>
        <w:t>附件</w:t>
      </w:r>
    </w:p>
    <w:p>
      <w:pPr>
        <w:spacing w:line="4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pacing w:val="6"/>
          <w:szCs w:val="21"/>
          <w:highlight w:val="none"/>
          <w14:textFill>
            <w14:solidFill>
              <w14:schemeClr w14:val="tx1"/>
            </w14:solidFill>
          </w14:textFill>
        </w:rPr>
        <w:t>残疾人福利性单位声明函</w:t>
      </w:r>
    </w:p>
    <w:bookmarkEnd w:id="460"/>
    <w:bookmarkEnd w:id="461"/>
    <w:p>
      <w:pPr>
        <w:spacing w:line="440" w:lineRule="exact"/>
        <w:rPr>
          <w:rFonts w:hint="eastAsia" w:ascii="宋体" w:hAnsi="宋体" w:cs="宋体"/>
          <w:b/>
          <w:color w:val="000000" w:themeColor="text1"/>
          <w:spacing w:val="6"/>
          <w:szCs w:val="21"/>
          <w:highlight w:val="none"/>
          <w14:textFill>
            <w14:solidFill>
              <w14:schemeClr w14:val="tx1"/>
            </w14:solidFill>
          </w14:textFill>
        </w:rPr>
      </w:pPr>
    </w:p>
    <w:p>
      <w:pPr>
        <w:spacing w:line="440" w:lineRule="exact"/>
        <w:ind w:firstLine="50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s="宋体"/>
          <w:color w:val="000000" w:themeColor="text1"/>
          <w:szCs w:val="21"/>
          <w:highlight w:val="none"/>
          <w14:textFill>
            <w14:solidFill>
              <w14:schemeClr w14:val="tx1"/>
            </w14:solidFill>
          </w14:textFill>
        </w:rPr>
        <w:t>〔2017〕 141</w:t>
      </w:r>
      <w:r>
        <w:rPr>
          <w:rFonts w:hint="eastAsia" w:ascii="宋体" w:hAnsi="宋体" w:cs="宋体"/>
          <w:color w:val="000000" w:themeColor="text1"/>
          <w:spacing w:val="6"/>
          <w:szCs w:val="21"/>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40" w:lineRule="exact"/>
        <w:ind w:firstLine="50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本单位对上述声明的真实性负责。如有虚假，将依法承担相应责任。</w:t>
      </w:r>
    </w:p>
    <w:p>
      <w:pPr>
        <w:spacing w:line="440" w:lineRule="exact"/>
        <w:ind w:firstLine="504"/>
        <w:rPr>
          <w:rFonts w:hint="eastAsia" w:ascii="宋体" w:hAnsi="宋体" w:cs="宋体"/>
          <w:color w:val="000000" w:themeColor="text1"/>
          <w:spacing w:val="6"/>
          <w:szCs w:val="21"/>
          <w:highlight w:val="none"/>
          <w14:textFill>
            <w14:solidFill>
              <w14:schemeClr w14:val="tx1"/>
            </w14:solidFill>
          </w14:textFill>
        </w:rPr>
      </w:pPr>
    </w:p>
    <w:p>
      <w:pPr>
        <w:spacing w:line="440" w:lineRule="exact"/>
        <w:ind w:firstLine="504"/>
        <w:rPr>
          <w:rFonts w:hint="eastAsia" w:ascii="宋体" w:hAnsi="宋体" w:cs="宋体"/>
          <w:color w:val="000000" w:themeColor="text1"/>
          <w:spacing w:val="6"/>
          <w:szCs w:val="21"/>
          <w:highlight w:val="none"/>
          <w14:textFill>
            <w14:solidFill>
              <w14:schemeClr w14:val="tx1"/>
            </w14:solidFill>
          </w14:textFill>
        </w:rPr>
      </w:pPr>
    </w:p>
    <w:p>
      <w:pPr>
        <w:tabs>
          <w:tab w:val="left" w:pos="4860"/>
        </w:tabs>
        <w:spacing w:line="440" w:lineRule="exact"/>
        <w:ind w:firstLine="504"/>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 xml:space="preserve">                 单位名称（公章(CA签章)、自然人除外）：</w:t>
      </w:r>
    </w:p>
    <w:p>
      <w:pPr>
        <w:pStyle w:val="16"/>
        <w:spacing w:line="440" w:lineRule="exact"/>
        <w:ind w:firstLine="468"/>
        <w:jc w:val="center"/>
        <w:rPr>
          <w:rFonts w:hint="eastAsia" w:ascii="宋体" w:hAnsi="宋体" w:cs="宋体"/>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pacing w:val="6"/>
          <w:sz w:val="21"/>
          <w:szCs w:val="21"/>
          <w:highlight w:val="none"/>
          <w14:textFill>
            <w14:solidFill>
              <w14:schemeClr w14:val="tx1"/>
            </w14:solidFill>
          </w14:textFill>
        </w:rPr>
        <w:t>日  期：</w:t>
      </w:r>
    </w:p>
    <w:p>
      <w:pPr>
        <w:pStyle w:val="16"/>
        <w:spacing w:line="440" w:lineRule="exact"/>
        <w:rPr>
          <w:rFonts w:hint="eastAsia" w:ascii="宋体" w:hAnsi="宋体" w:cs="宋体"/>
          <w:b/>
          <w:bCs/>
          <w:color w:val="000000" w:themeColor="text1"/>
          <w:sz w:val="21"/>
          <w:szCs w:val="21"/>
          <w:highlight w:val="none"/>
          <w14:textFill>
            <w14:solidFill>
              <w14:schemeClr w14:val="tx1"/>
            </w14:solidFill>
          </w14:textFill>
        </w:rPr>
      </w:pPr>
    </w:p>
    <w:p>
      <w:pPr>
        <w:spacing w:line="440" w:lineRule="exact"/>
        <w:rPr>
          <w:rFonts w:hint="eastAsia" w:ascii="宋体" w:hAnsi="宋体" w:cs="宋体"/>
          <w:b/>
          <w:bCs/>
          <w:color w:val="000000" w:themeColor="text1"/>
          <w:szCs w:val="21"/>
          <w:highlight w:val="none"/>
          <w14:textFill>
            <w14:solidFill>
              <w14:schemeClr w14:val="tx1"/>
            </w14:solidFill>
          </w14:textFill>
        </w:rPr>
      </w:pPr>
    </w:p>
    <w:p>
      <w:pPr>
        <w:spacing w:line="44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供应商相关获奖证书、认证证书等复印件（如有请提供）</w:t>
      </w:r>
    </w:p>
    <w:p>
      <w:pPr>
        <w:spacing w:line="440" w:lineRule="exact"/>
        <w:rPr>
          <w:rFonts w:hint="eastAsia" w:ascii="宋体" w:hAnsi="宋体" w:cs="宋体"/>
          <w:b/>
          <w:bCs/>
          <w:color w:val="000000" w:themeColor="text1"/>
          <w:szCs w:val="21"/>
          <w:highlight w:val="none"/>
          <w14:textFill>
            <w14:solidFill>
              <w14:schemeClr w14:val="tx1"/>
            </w14:solidFill>
          </w14:textFill>
        </w:rPr>
      </w:pPr>
    </w:p>
    <w:p>
      <w:pPr>
        <w:pStyle w:val="16"/>
        <w:rPr>
          <w:rFonts w:hint="eastAsia" w:ascii="宋体" w:hAnsi="宋体" w:cs="宋体"/>
          <w:b/>
          <w:bCs/>
          <w:color w:val="000000" w:themeColor="text1"/>
          <w:szCs w:val="21"/>
          <w:highlight w:val="none"/>
          <w14:textFill>
            <w14:solidFill>
              <w14:schemeClr w14:val="tx1"/>
            </w14:solidFill>
          </w14:textFill>
        </w:rPr>
      </w:pPr>
    </w:p>
    <w:p>
      <w:pPr>
        <w:rPr>
          <w:rFonts w:hint="eastAsia"/>
          <w:color w:val="000000" w:themeColor="text1"/>
          <w14:textFill>
            <w14:solidFill>
              <w14:schemeClr w14:val="tx1"/>
            </w14:solidFill>
          </w14:textFill>
        </w:rPr>
      </w:pPr>
    </w:p>
    <w:p>
      <w:pPr>
        <w:spacing w:line="44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7</w:t>
      </w:r>
      <w:r>
        <w:rPr>
          <w:rFonts w:hint="eastAsia" w:ascii="宋体" w:hAnsi="宋体" w:cs="宋体"/>
          <w:b/>
          <w:bCs/>
          <w:color w:val="000000" w:themeColor="text1"/>
          <w:szCs w:val="21"/>
          <w:highlight w:val="none"/>
          <w14:textFill>
            <w14:solidFill>
              <w14:schemeClr w14:val="tx1"/>
            </w14:solidFill>
          </w14:textFill>
        </w:rPr>
        <w:t>.供应商认为有必要提供的其他资料（如有，请提供）</w:t>
      </w:r>
    </w:p>
    <w:p>
      <w:pPr>
        <w:pStyle w:val="21"/>
        <w:adjustRightInd w:val="0"/>
        <w:spacing w:line="360" w:lineRule="exact"/>
        <w:contextualSpacing/>
        <w:rPr>
          <w:rFonts w:hint="eastAsia" w:hAnsi="宋体" w:cs="宋体"/>
          <w:b/>
          <w:color w:val="000000" w:themeColor="text1"/>
          <w:szCs w:val="24"/>
          <w:highlight w:val="none"/>
          <w14:textFill>
            <w14:solidFill>
              <w14:schemeClr w14:val="tx1"/>
            </w14:solidFill>
          </w14:textFill>
        </w:rPr>
      </w:pPr>
      <w:r>
        <w:rPr>
          <w:rFonts w:hint="eastAsia" w:hAnsi="宋体" w:cs="宋体"/>
          <w:b/>
          <w:bCs/>
          <w:color w:val="000000" w:themeColor="text1"/>
          <w:szCs w:val="21"/>
          <w:highlight w:val="none"/>
          <w14:textFill>
            <w14:solidFill>
              <w14:schemeClr w14:val="tx1"/>
            </w14:solidFill>
          </w14:textFill>
        </w:rPr>
        <w:br w:type="page"/>
      </w:r>
      <w:r>
        <w:rPr>
          <w:rFonts w:hint="eastAsia" w:hAnsi="宋体" w:cs="宋体"/>
          <w:b/>
          <w:color w:val="000000" w:themeColor="text1"/>
          <w:szCs w:val="24"/>
          <w:highlight w:val="none"/>
          <w14:textFill>
            <w14:solidFill>
              <w14:schemeClr w14:val="tx1"/>
            </w14:solidFill>
          </w14:textFill>
        </w:rPr>
        <w:t>附表1：</w:t>
      </w:r>
    </w:p>
    <w:p>
      <w:pPr>
        <w:widowControl/>
        <w:spacing w:beforeLines="50" w:afterLines="50" w:line="360" w:lineRule="exact"/>
        <w:jc w:val="center"/>
        <w:rPr>
          <w:rFonts w:ascii="Arial" w:hAnsi="Arial" w:cs="Arial"/>
          <w:b/>
          <w:bCs/>
          <w:color w:val="000000" w:themeColor="text1"/>
          <w:kern w:val="0"/>
          <w:sz w:val="30"/>
          <w:szCs w:val="30"/>
          <w:highlight w:val="none"/>
          <w14:textFill>
            <w14:solidFill>
              <w14:schemeClr w14:val="tx1"/>
            </w14:solidFill>
          </w14:textFill>
        </w:rPr>
      </w:pPr>
      <w:bookmarkStart w:id="462" w:name="_Toc28361_WPSOffice_Level2"/>
      <w:r>
        <w:rPr>
          <w:rFonts w:ascii="Arial" w:hAnsi="Arial" w:cs="Arial"/>
          <w:b/>
          <w:bCs/>
          <w:color w:val="000000" w:themeColor="text1"/>
          <w:kern w:val="0"/>
          <w:sz w:val="30"/>
          <w:szCs w:val="30"/>
          <w:highlight w:val="none"/>
          <w14:textFill>
            <w14:solidFill>
              <w14:schemeClr w14:val="tx1"/>
            </w14:solidFill>
          </w14:textFill>
        </w:rPr>
        <w:t>统计上大中小微型企业划分标准</w:t>
      </w:r>
      <w:bookmarkEnd w:id="462"/>
    </w:p>
    <w:tbl>
      <w:tblPr>
        <w:tblStyle w:val="37"/>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512"/>
        <w:gridCol w:w="838"/>
        <w:gridCol w:w="1137"/>
        <w:gridCol w:w="1750"/>
        <w:gridCol w:w="1513"/>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blHeader/>
          <w:jc w:val="center"/>
        </w:trPr>
        <w:tc>
          <w:tcPr>
            <w:tcW w:w="1808" w:type="dxa"/>
            <w:shd w:val="clear" w:color="auto" w:fill="8DB3E2"/>
            <w:vAlign w:val="center"/>
          </w:tcPr>
          <w:p>
            <w:pPr>
              <w:widowControl/>
              <w:spacing w:line="360" w:lineRule="exact"/>
              <w:jc w:val="center"/>
              <w:rPr>
                <w:rFonts w:hint="eastAsia" w:ascii="宋体" w:hAnsi="宋体" w:cs="宋体"/>
                <w:b/>
                <w:bCs/>
                <w:color w:val="000000" w:themeColor="text1"/>
                <w:kern w:val="0"/>
                <w:sz w:val="18"/>
                <w:szCs w:val="21"/>
                <w:highlight w:val="none"/>
                <w14:textFill>
                  <w14:solidFill>
                    <w14:schemeClr w14:val="tx1"/>
                  </w14:solidFill>
                </w14:textFill>
              </w:rPr>
            </w:pPr>
            <w:r>
              <w:rPr>
                <w:rFonts w:hint="eastAsia" w:ascii="宋体" w:hAnsi="宋体" w:cs="宋体"/>
                <w:b/>
                <w:bCs/>
                <w:color w:val="000000" w:themeColor="text1"/>
                <w:kern w:val="0"/>
                <w:sz w:val="18"/>
                <w:szCs w:val="21"/>
                <w:highlight w:val="none"/>
                <w14:textFill>
                  <w14:solidFill>
                    <w14:schemeClr w14:val="tx1"/>
                  </w14:solidFill>
                </w14:textFill>
              </w:rPr>
              <w:t>行业名称</w:t>
            </w:r>
          </w:p>
        </w:tc>
        <w:tc>
          <w:tcPr>
            <w:tcW w:w="1512" w:type="dxa"/>
            <w:shd w:val="clear" w:color="auto" w:fill="8DB3E2"/>
            <w:vAlign w:val="center"/>
          </w:tcPr>
          <w:p>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指标名称</w:t>
            </w:r>
          </w:p>
        </w:tc>
        <w:tc>
          <w:tcPr>
            <w:tcW w:w="838" w:type="dxa"/>
            <w:shd w:val="clear" w:color="auto" w:fill="8DB3E2"/>
            <w:vAlign w:val="center"/>
          </w:tcPr>
          <w:p>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计量</w:t>
            </w:r>
          </w:p>
          <w:p>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单位</w:t>
            </w:r>
          </w:p>
        </w:tc>
        <w:tc>
          <w:tcPr>
            <w:tcW w:w="1137" w:type="dxa"/>
            <w:shd w:val="clear" w:color="auto" w:fill="8DB3E2"/>
            <w:vAlign w:val="center"/>
          </w:tcPr>
          <w:p>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大型</w:t>
            </w:r>
          </w:p>
        </w:tc>
        <w:tc>
          <w:tcPr>
            <w:tcW w:w="1750" w:type="dxa"/>
            <w:shd w:val="clear" w:color="auto" w:fill="8DB3E2"/>
            <w:vAlign w:val="center"/>
          </w:tcPr>
          <w:p>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中型</w:t>
            </w:r>
          </w:p>
        </w:tc>
        <w:tc>
          <w:tcPr>
            <w:tcW w:w="1513" w:type="dxa"/>
            <w:shd w:val="clear" w:color="auto" w:fill="8DB3E2"/>
            <w:vAlign w:val="center"/>
          </w:tcPr>
          <w:p>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小型</w:t>
            </w:r>
          </w:p>
        </w:tc>
        <w:tc>
          <w:tcPr>
            <w:tcW w:w="1432" w:type="dxa"/>
            <w:shd w:val="clear" w:color="auto" w:fill="8DB3E2"/>
            <w:vAlign w:val="center"/>
          </w:tcPr>
          <w:p>
            <w:pPr>
              <w:widowControl/>
              <w:spacing w:line="360" w:lineRule="exact"/>
              <w:jc w:val="center"/>
              <w:rPr>
                <w:rFonts w:hint="eastAsia" w:ascii="宋体" w:hAnsi="宋体" w:cs="宋体"/>
                <w:b/>
                <w:bCs/>
                <w:color w:val="000000" w:themeColor="text1"/>
                <w:kern w:val="0"/>
                <w:sz w:val="18"/>
                <w:szCs w:val="18"/>
                <w:highlight w:val="none"/>
                <w14:textFill>
                  <w14:solidFill>
                    <w14:schemeClr w14:val="tx1"/>
                  </w14:solidFill>
                </w14:textFill>
              </w:rPr>
            </w:pPr>
            <w:r>
              <w:rPr>
                <w:rFonts w:hint="eastAsia" w:ascii="宋体" w:hAnsi="宋体" w:cs="宋体"/>
                <w:b/>
                <w:bCs/>
                <w:color w:val="000000" w:themeColor="text1"/>
                <w:kern w:val="0"/>
                <w:sz w:val="18"/>
                <w:szCs w:val="18"/>
                <w:highlight w:val="none"/>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农、林、牧、渔业</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50≤Y＜500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工业 ×</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2000≤Y＜40000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300≤Y＜2000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建筑业</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Y≥80000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6000≤Y＜80000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300≤Y＜6000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Z≥80000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5000≤Z＜80000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300≤Z＜5000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批发业</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20≤X＜200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5≤X＜20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Y≥40000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5000≤Y＜40000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零售业</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50≤X＜300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10≤X＜50 </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500≤Y＜20000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100≤Y＜500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交通运输业 ×</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3000≤Y＜30000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200≤Y＜3000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仓储业×</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w:t>
            </w:r>
          </w:p>
        </w:tc>
        <w:tc>
          <w:tcPr>
            <w:tcW w:w="1750" w:type="dxa"/>
            <w:vAlign w:val="center"/>
          </w:tcPr>
          <w:p>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20≤X＜100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1000≤Y＜30000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邮政业</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20≤X＜300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Y≥30000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2000≤Y＜30000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住宿业</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餐饮业</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2000≤Y＜10000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100≤Y＜2000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信息传输业 ×</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X≥2000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100≤X＜2000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pPr>
              <w:widowControl/>
              <w:spacing w:line="360" w:lineRule="exact"/>
              <w:jc w:val="left"/>
              <w:rPr>
                <w:rFonts w:hint="eastAsia" w:ascii="宋体" w:hAnsi="宋体" w:cs="宋体"/>
                <w:color w:val="000000" w:themeColor="text1"/>
                <w:spacing w:val="-12"/>
                <w:kern w:val="0"/>
                <w:sz w:val="18"/>
                <w:szCs w:val="18"/>
                <w:highlight w:val="none"/>
                <w14:textFill>
                  <w14:solidFill>
                    <w14:schemeClr w14:val="tx1"/>
                  </w14:solidFill>
                </w14:textFill>
              </w:rPr>
            </w:pPr>
            <w:r>
              <w:rPr>
                <w:rFonts w:hint="eastAsia" w:ascii="宋体" w:hAnsi="宋体" w:cs="宋体"/>
                <w:color w:val="000000" w:themeColor="text1"/>
                <w:spacing w:val="-12"/>
                <w:kern w:val="0"/>
                <w:sz w:val="18"/>
                <w:szCs w:val="18"/>
                <w:highlight w:val="none"/>
                <w14:textFill>
                  <w14:solidFill>
                    <w14:schemeClr w14:val="tx1"/>
                  </w14:solidFill>
                </w14:textFill>
              </w:rPr>
              <w:t>软件和信息技术服</w:t>
            </w:r>
            <w:r>
              <w:rPr>
                <w:rFonts w:hint="eastAsia" w:ascii="宋体" w:hAnsi="宋体" w:cs="宋体"/>
                <w:color w:val="000000" w:themeColor="text1"/>
                <w:kern w:val="0"/>
                <w:sz w:val="18"/>
                <w:szCs w:val="18"/>
                <w:highlight w:val="none"/>
                <w14:textFill>
                  <w14:solidFill>
                    <w14:schemeClr w14:val="tx1"/>
                  </w14:solidFill>
                </w14:textFill>
              </w:rPr>
              <w:t>务业</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 xml:space="preserve">100≤X＜300 </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pPr>
              <w:widowControl/>
              <w:spacing w:line="360" w:lineRule="exact"/>
              <w:jc w:val="left"/>
              <w:rPr>
                <w:rFonts w:hint="eastAsia" w:ascii="宋体" w:hAnsi="宋体" w:cs="宋体"/>
                <w:color w:val="000000" w:themeColor="text1"/>
                <w:spacing w:val="-12"/>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1000≤Y＜10000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50≤Y＜1000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房地产开发经营</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Y≥200000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1000≤Y＜200000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100≤Y＜1000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5000≤Z＜10000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2000≤Z＜5000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物业管理</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300≤X＜1000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营业收入(Y)</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Y≥5000</w:t>
            </w:r>
          </w:p>
        </w:tc>
        <w:tc>
          <w:tcPr>
            <w:tcW w:w="1750" w:type="dxa"/>
            <w:vAlign w:val="center"/>
          </w:tcPr>
          <w:p>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1000≤Y＜5000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500≤Y＜1000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restart"/>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租赁和商务服务业</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08" w:type="dxa"/>
            <w:vMerge w:val="continue"/>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资产总额(Z)</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万元</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Z≥120000</w:t>
            </w:r>
          </w:p>
        </w:tc>
        <w:tc>
          <w:tcPr>
            <w:tcW w:w="1750"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8000≤Z＜120000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100≤Z＜8000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08" w:type="dxa"/>
            <w:vAlign w:val="center"/>
          </w:tcPr>
          <w:p>
            <w:pPr>
              <w:widowControl/>
              <w:spacing w:line="360" w:lineRule="exact"/>
              <w:jc w:val="left"/>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其他未列明行业 ×</w:t>
            </w:r>
          </w:p>
        </w:tc>
        <w:tc>
          <w:tcPr>
            <w:tcW w:w="151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从业人员(X)</w:t>
            </w:r>
          </w:p>
        </w:tc>
        <w:tc>
          <w:tcPr>
            <w:tcW w:w="838"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人</w:t>
            </w:r>
          </w:p>
        </w:tc>
        <w:tc>
          <w:tcPr>
            <w:tcW w:w="1137"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X≥300</w:t>
            </w:r>
          </w:p>
        </w:tc>
        <w:tc>
          <w:tcPr>
            <w:tcW w:w="1750" w:type="dxa"/>
            <w:vAlign w:val="center"/>
          </w:tcPr>
          <w:p>
            <w:pPr>
              <w:widowControl/>
              <w:spacing w:line="360" w:lineRule="exact"/>
              <w:ind w:left="1" w:leftChars="-51" w:hanging="108" w:hangingChars="60"/>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100≤X＜300</w:t>
            </w:r>
          </w:p>
        </w:tc>
        <w:tc>
          <w:tcPr>
            <w:tcW w:w="1513"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10≤X＜100</w:t>
            </w:r>
          </w:p>
        </w:tc>
        <w:tc>
          <w:tcPr>
            <w:tcW w:w="1432" w:type="dxa"/>
            <w:vAlign w:val="center"/>
          </w:tcPr>
          <w:p>
            <w:pPr>
              <w:widowControl/>
              <w:spacing w:line="360" w:lineRule="exact"/>
              <w:jc w:val="center"/>
              <w:rPr>
                <w:rFonts w:hint="eastAsia"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X＜10</w:t>
            </w:r>
          </w:p>
        </w:tc>
      </w:tr>
    </w:tbl>
    <w:p>
      <w:pPr>
        <w:widowControl/>
        <w:spacing w:line="360" w:lineRule="exact"/>
        <w:rPr>
          <w:rFonts w:hint="eastAsia" w:ascii="宋体" w:hAnsi="宋体" w:cs="宋体"/>
          <w:color w:val="000000" w:themeColor="text1"/>
          <w:spacing w:val="8"/>
          <w:kern w:val="0"/>
          <w:sz w:val="18"/>
          <w:szCs w:val="18"/>
          <w:highlight w:val="none"/>
          <w14:textFill>
            <w14:solidFill>
              <w14:schemeClr w14:val="tx1"/>
            </w14:solidFill>
          </w14:textFill>
        </w:rPr>
      </w:pPr>
    </w:p>
    <w:p>
      <w:pPr>
        <w:widowControl/>
        <w:spacing w:line="360" w:lineRule="exact"/>
        <w:rPr>
          <w:rFonts w:hint="eastAsia" w:ascii="宋体" w:hAnsi="宋体" w:cs="宋体"/>
          <w:color w:val="000000" w:themeColor="text1"/>
          <w:spacing w:val="8"/>
          <w:kern w:val="0"/>
          <w:sz w:val="18"/>
          <w:szCs w:val="18"/>
          <w:highlight w:val="none"/>
          <w14:textFill>
            <w14:solidFill>
              <w14:schemeClr w14:val="tx1"/>
            </w14:solidFill>
          </w14:textFill>
        </w:rPr>
      </w:pPr>
      <w:r>
        <w:rPr>
          <w:rFonts w:hint="eastAsia" w:ascii="宋体" w:hAnsi="宋体" w:cs="宋体"/>
          <w:color w:val="000000" w:themeColor="text1"/>
          <w:spacing w:val="8"/>
          <w:kern w:val="0"/>
          <w:sz w:val="18"/>
          <w:szCs w:val="18"/>
          <w:highlight w:val="none"/>
          <w14:textFill>
            <w14:solidFill>
              <w14:schemeClr w14:val="tx1"/>
            </w14:solidFill>
          </w14:textFill>
        </w:rPr>
        <w:t>说明：</w:t>
      </w:r>
    </w:p>
    <w:p>
      <w:pPr>
        <w:pStyle w:val="21"/>
        <w:adjustRightInd w:val="0"/>
        <w:spacing w:line="360" w:lineRule="exact"/>
        <w:ind w:firstLine="392" w:firstLineChars="200"/>
        <w:contextualSpacing/>
        <w:rPr>
          <w:rFonts w:hint="eastAsia" w:hAnsi="宋体" w:cs="宋体"/>
          <w:color w:val="000000" w:themeColor="text1"/>
          <w:spacing w:val="8"/>
          <w:kern w:val="0"/>
          <w:sz w:val="18"/>
          <w:szCs w:val="18"/>
          <w:highlight w:val="none"/>
          <w14:textFill>
            <w14:solidFill>
              <w14:schemeClr w14:val="tx1"/>
            </w14:solidFill>
          </w14:textFill>
        </w:rPr>
      </w:pPr>
      <w:r>
        <w:rPr>
          <w:rFonts w:hint="eastAsia" w:hAnsi="宋体" w:cs="宋体"/>
          <w:color w:val="000000" w:themeColor="text1"/>
          <w:spacing w:val="8"/>
          <w:kern w:val="0"/>
          <w:sz w:val="18"/>
          <w:szCs w:val="18"/>
          <w:highlight w:val="none"/>
          <w14:textFill>
            <w14:solidFill>
              <w14:schemeClr w14:val="tx1"/>
            </w14:solidFill>
          </w14:textFill>
        </w:rPr>
        <w:t>1.大型、中型和小型企业须同时满足所列指标的下限，否则下划一档；微型企业只须满足所列指标中的一项即可。</w:t>
      </w:r>
    </w:p>
    <w:p>
      <w:pPr>
        <w:pStyle w:val="21"/>
        <w:adjustRightInd w:val="0"/>
        <w:spacing w:line="360" w:lineRule="exact"/>
        <w:ind w:firstLine="392" w:firstLineChars="200"/>
        <w:contextualSpacing/>
        <w:rPr>
          <w:rFonts w:hint="eastAsia" w:hAnsi="宋体" w:cs="宋体"/>
          <w:color w:val="000000" w:themeColor="text1"/>
          <w:spacing w:val="8"/>
          <w:kern w:val="0"/>
          <w:sz w:val="18"/>
          <w:szCs w:val="18"/>
          <w:highlight w:val="none"/>
          <w14:textFill>
            <w14:solidFill>
              <w14:schemeClr w14:val="tx1"/>
            </w14:solidFill>
          </w14:textFill>
        </w:rPr>
      </w:pPr>
      <w:r>
        <w:rPr>
          <w:rFonts w:hint="eastAsia" w:hAnsi="宋体" w:cs="宋体"/>
          <w:color w:val="000000" w:themeColor="text1"/>
          <w:spacing w:val="8"/>
          <w:kern w:val="0"/>
          <w:sz w:val="18"/>
          <w:szCs w:val="18"/>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21"/>
        <w:adjustRightInd w:val="0"/>
        <w:spacing w:line="360" w:lineRule="exact"/>
        <w:ind w:firstLine="392" w:firstLineChars="200"/>
        <w:contextualSpacing/>
        <w:rPr>
          <w:rFonts w:hint="eastAsia" w:hAnsi="宋体" w:cs="宋体"/>
          <w:bCs/>
          <w:color w:val="000000" w:themeColor="text1"/>
          <w:sz w:val="18"/>
          <w:szCs w:val="18"/>
          <w:highlight w:val="none"/>
          <w14:textFill>
            <w14:solidFill>
              <w14:schemeClr w14:val="tx1"/>
            </w14:solidFill>
          </w14:textFill>
        </w:rPr>
      </w:pPr>
      <w:r>
        <w:rPr>
          <w:rFonts w:hint="eastAsia" w:hAnsi="宋体" w:cs="宋体"/>
          <w:color w:val="000000" w:themeColor="text1"/>
          <w:spacing w:val="8"/>
          <w:kern w:val="0"/>
          <w:sz w:val="18"/>
          <w:szCs w:val="18"/>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snapToGrid w:val="0"/>
        <w:rPr>
          <w:rFonts w:hint="eastAsia" w:ascii="宋体" w:hAnsi="宋体" w:cs="宋体"/>
          <w:b/>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br w:type="page"/>
      </w:r>
      <w:r>
        <w:rPr>
          <w:rFonts w:hint="eastAsia" w:ascii="宋体" w:hAnsi="宋体" w:cs="宋体"/>
          <w:b/>
          <w:color w:val="000000" w:themeColor="text1"/>
          <w:highlight w:val="none"/>
          <w14:textFill>
            <w14:solidFill>
              <w14:schemeClr w14:val="tx1"/>
            </w14:solidFill>
          </w14:textFill>
        </w:rPr>
        <w:t>附表2：</w:t>
      </w:r>
    </w:p>
    <w:p>
      <w:pPr>
        <w:spacing w:line="460" w:lineRule="exact"/>
        <w:jc w:val="center"/>
        <w:rPr>
          <w:rFonts w:hint="eastAsia" w:ascii="宋体" w:hAnsi="宋体" w:cs="宋体"/>
          <w:color w:val="000000" w:themeColor="text1"/>
          <w:sz w:val="44"/>
          <w:highlight w:val="none"/>
          <w14:textFill>
            <w14:solidFill>
              <w14:schemeClr w14:val="tx1"/>
            </w14:solidFill>
          </w14:textFill>
        </w:rPr>
      </w:pPr>
      <w:r>
        <w:rPr>
          <w:rFonts w:hint="eastAsia" w:ascii="宋体" w:hAnsi="宋体" w:cs="宋体"/>
          <w:color w:val="000000" w:themeColor="text1"/>
          <w:sz w:val="44"/>
          <w:highlight w:val="none"/>
          <w14:textFill>
            <w14:solidFill>
              <w14:schemeClr w14:val="tx1"/>
            </w14:solidFill>
          </w14:textFill>
        </w:rPr>
        <w:t>质疑函（格式）</w:t>
      </w:r>
    </w:p>
    <w:p>
      <w:pPr>
        <w:snapToGrid w:val="0"/>
        <w:spacing w:line="360" w:lineRule="exact"/>
        <w:ind w:firstLine="422"/>
        <w:rPr>
          <w:rFonts w:hint="eastAsia" w:ascii="宋体" w:hAnsi="宋体" w:cs="宋体"/>
          <w:b/>
          <w:bCs/>
          <w:color w:val="000000" w:themeColor="text1"/>
          <w:szCs w:val="20"/>
          <w:highlight w:val="none"/>
          <w14:textFill>
            <w14:solidFill>
              <w14:schemeClr w14:val="tx1"/>
            </w14:solidFill>
          </w14:textFill>
        </w:rPr>
      </w:pPr>
      <w:r>
        <w:rPr>
          <w:rFonts w:hint="eastAsia" w:ascii="宋体" w:hAnsi="宋体" w:cs="宋体"/>
          <w:b/>
          <w:bCs/>
          <w:color w:val="000000" w:themeColor="text1"/>
          <w:szCs w:val="20"/>
          <w:highlight w:val="none"/>
          <w14:textFill>
            <w14:solidFill>
              <w14:schemeClr w14:val="tx1"/>
            </w14:solidFill>
          </w14:textFill>
        </w:rPr>
        <w:t>一、质疑供应商基本信息：</w:t>
      </w:r>
    </w:p>
    <w:p>
      <w:pPr>
        <w:snapToGrid w:val="0"/>
        <w:spacing w:line="36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质疑供应商：</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pPr>
        <w:snapToGrid w:val="0"/>
        <w:spacing w:line="36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pPr>
        <w:snapToGrid w:val="0"/>
        <w:spacing w:line="36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联系人：</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p>
    <w:p>
      <w:pPr>
        <w:snapToGrid w:val="0"/>
        <w:spacing w:line="36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授权代表：</w:t>
      </w:r>
      <w:r>
        <w:rPr>
          <w:rFonts w:hint="eastAsia" w:ascii="宋体" w:hAnsi="宋体" w:cs="宋体"/>
          <w:bCs/>
          <w:color w:val="000000" w:themeColor="text1"/>
          <w:szCs w:val="20"/>
          <w:highlight w:val="none"/>
          <w:u w:val="single"/>
          <w14:textFill>
            <w14:solidFill>
              <w14:schemeClr w14:val="tx1"/>
            </w14:solidFill>
          </w14:textFill>
        </w:rPr>
        <w:t xml:space="preserve">                      </w:t>
      </w:r>
    </w:p>
    <w:p>
      <w:pPr>
        <w:snapToGrid w:val="0"/>
        <w:spacing w:line="36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p>
    <w:p>
      <w:pPr>
        <w:snapToGrid w:val="0"/>
        <w:spacing w:line="36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pPr>
        <w:snapToGrid w:val="0"/>
        <w:spacing w:line="360" w:lineRule="exact"/>
        <w:ind w:firstLine="422"/>
        <w:rPr>
          <w:rFonts w:hint="eastAsia" w:ascii="宋体" w:hAnsi="宋体" w:cs="宋体"/>
          <w:b/>
          <w:bCs/>
          <w:color w:val="000000" w:themeColor="text1"/>
          <w:szCs w:val="20"/>
          <w:highlight w:val="none"/>
          <w14:textFill>
            <w14:solidFill>
              <w14:schemeClr w14:val="tx1"/>
            </w14:solidFill>
          </w14:textFill>
        </w:rPr>
      </w:pPr>
      <w:r>
        <w:rPr>
          <w:rFonts w:hint="eastAsia" w:ascii="宋体" w:hAnsi="宋体" w:cs="宋体"/>
          <w:b/>
          <w:bCs/>
          <w:color w:val="000000" w:themeColor="text1"/>
          <w:szCs w:val="20"/>
          <w:highlight w:val="none"/>
          <w14:textFill>
            <w14:solidFill>
              <w14:schemeClr w14:val="tx1"/>
            </w14:solidFill>
          </w14:textFill>
        </w:rPr>
        <w:t>二、质疑项目基本情况：</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质疑</w:t>
      </w:r>
      <w:r>
        <w:rPr>
          <w:rFonts w:hint="eastAsia" w:ascii="宋体" w:hAnsi="宋体" w:cs="宋体"/>
          <w:color w:val="000000" w:themeColor="text1"/>
          <w:szCs w:val="21"/>
          <w:highlight w:val="none"/>
          <w14:textFill>
            <w14:solidFill>
              <w14:schemeClr w14:val="tx1"/>
            </w14:solidFill>
          </w14:textFill>
        </w:rPr>
        <w:t>项目的名称：</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质疑</w:t>
      </w:r>
      <w:r>
        <w:rPr>
          <w:rFonts w:hint="eastAsia" w:ascii="宋体" w:hAnsi="宋体" w:cs="宋体"/>
          <w:color w:val="000000" w:themeColor="text1"/>
          <w:szCs w:val="21"/>
          <w:highlight w:val="none"/>
          <w14:textFill>
            <w14:solidFill>
              <w14:schemeClr w14:val="tx1"/>
            </w14:solidFill>
          </w14:textFill>
        </w:rPr>
        <w:t>项目的编号：</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采购人名称：</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质疑事项：</w:t>
      </w:r>
    </w:p>
    <w:p>
      <w:pPr>
        <w:spacing w:line="360" w:lineRule="exact"/>
        <w:ind w:left="25" w:leftChars="12" w:firstLine="441" w:firstLineChars="14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磋商文件   采购文件获取日期：</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360" w:lineRule="exact"/>
        <w:ind w:left="25" w:leftChars="12" w:firstLine="441" w:firstLineChars="14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采购过程   </w:t>
      </w:r>
    </w:p>
    <w:p>
      <w:pPr>
        <w:spacing w:line="360" w:lineRule="exact"/>
        <w:ind w:left="25" w:leftChars="12" w:firstLine="441" w:firstLineChars="14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 xml:space="preserve">成交结果   </w:t>
      </w:r>
    </w:p>
    <w:p>
      <w:pPr>
        <w:spacing w:line="360" w:lineRule="exact"/>
        <w:ind w:left="25" w:leftChars="12" w:firstLine="413" w:firstLineChars="196"/>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三、质疑事项具体内容</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质疑事项1：</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事实依据：</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法律依据：</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质疑事项2</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四、与质疑事项相关的质疑请求：</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请求：</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360" w:lineRule="exact"/>
        <w:ind w:left="25" w:leftChars="12" w:firstLine="308" w:firstLineChars="147"/>
        <w:rPr>
          <w:rFonts w:hint="eastAsia" w:ascii="宋体" w:hAnsi="宋体" w:cs="宋体"/>
          <w:color w:val="000000" w:themeColor="text1"/>
          <w:szCs w:val="21"/>
          <w:highlight w:val="none"/>
          <w14:textFill>
            <w14:solidFill>
              <w14:schemeClr w14:val="tx1"/>
            </w14:solidFill>
          </w14:textFill>
        </w:rPr>
      </w:pP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签字（签章）：                                       公章：</w:t>
      </w:r>
    </w:p>
    <w:p>
      <w:pPr>
        <w:spacing w:line="360" w:lineRule="exact"/>
        <w:ind w:left="25" w:leftChars="12" w:firstLine="308" w:firstLineChars="147"/>
        <w:rPr>
          <w:rFonts w:hint="eastAsia" w:ascii="宋体" w:hAnsi="宋体" w:cs="宋体"/>
          <w:color w:val="000000" w:themeColor="text1"/>
          <w:szCs w:val="21"/>
          <w:highlight w:val="none"/>
          <w14:textFill>
            <w14:solidFill>
              <w14:schemeClr w14:val="tx1"/>
            </w14:solidFill>
          </w14:textFill>
        </w:rPr>
      </w:pP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p>
    <w:p>
      <w:pPr>
        <w:snapToGri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说明：</w:t>
      </w:r>
    </w:p>
    <w:p>
      <w:pPr>
        <w:snapToGri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1.供应商提出质疑时，应提交质疑函和必要的证明材料。</w:t>
      </w:r>
    </w:p>
    <w:p>
      <w:pPr>
        <w:snapToGrid w:val="0"/>
        <w:spacing w:line="340" w:lineRule="exac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napToGri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3.质疑函的质疑事项应具体、明确，并有必要的事实依据和法律依据。</w:t>
      </w:r>
    </w:p>
    <w:p>
      <w:pPr>
        <w:snapToGri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4.质疑函的质疑请求应与质疑事项相关。</w:t>
      </w:r>
    </w:p>
    <w:p>
      <w:pPr>
        <w:snapToGrid w:val="0"/>
        <w:spacing w:line="34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5.质疑供应商为自然人的，质疑函应由本人签字；质疑供应商为法人或者其他组织的，质疑函应由法定代表人、主要负责人，或者其授权代表签字或者盖章，并加盖公章。</w:t>
      </w:r>
    </w:p>
    <w:p>
      <w:pPr>
        <w:snapToGrid w:val="0"/>
        <w:spacing w:line="340" w:lineRule="exact"/>
        <w:rPr>
          <w:rFonts w:hint="eastAsia"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br w:type="page"/>
      </w:r>
      <w:r>
        <w:rPr>
          <w:rFonts w:hint="eastAsia" w:ascii="宋体" w:hAnsi="宋体" w:cs="宋体"/>
          <w:b/>
          <w:color w:val="000000" w:themeColor="text1"/>
          <w:highlight w:val="none"/>
          <w14:textFill>
            <w14:solidFill>
              <w14:schemeClr w14:val="tx1"/>
            </w14:solidFill>
          </w14:textFill>
        </w:rPr>
        <w:t>附表3：</w:t>
      </w:r>
    </w:p>
    <w:p>
      <w:pPr>
        <w:ind w:left="2940"/>
        <w:rPr>
          <w:rFonts w:hint="eastAsia"/>
          <w:color w:val="000000" w:themeColor="text1"/>
          <w:highlight w:val="none"/>
          <w14:textFill>
            <w14:solidFill>
              <w14:schemeClr w14:val="tx1"/>
            </w14:solidFill>
          </w14:textFill>
        </w:rPr>
      </w:pPr>
    </w:p>
    <w:p>
      <w:pPr>
        <w:spacing w:line="460" w:lineRule="exact"/>
        <w:jc w:val="center"/>
        <w:rPr>
          <w:rFonts w:hint="eastAsia" w:ascii="宋体" w:hAnsi="宋体" w:cs="宋体"/>
          <w:color w:val="000000" w:themeColor="text1"/>
          <w:sz w:val="44"/>
          <w:highlight w:val="none"/>
          <w14:textFill>
            <w14:solidFill>
              <w14:schemeClr w14:val="tx1"/>
            </w14:solidFill>
          </w14:textFill>
        </w:rPr>
      </w:pPr>
      <w:r>
        <w:rPr>
          <w:rFonts w:hint="eastAsia" w:ascii="宋体" w:hAnsi="宋体" w:cs="宋体"/>
          <w:color w:val="000000" w:themeColor="text1"/>
          <w:sz w:val="44"/>
          <w:highlight w:val="none"/>
          <w14:textFill>
            <w14:solidFill>
              <w14:schemeClr w14:val="tx1"/>
            </w14:solidFill>
          </w14:textFill>
        </w:rPr>
        <w:t>投诉书（格式）</w:t>
      </w:r>
    </w:p>
    <w:p>
      <w:pPr>
        <w:snapToGrid w:val="0"/>
        <w:spacing w:line="400" w:lineRule="exact"/>
        <w:ind w:firstLine="422"/>
        <w:rPr>
          <w:rFonts w:hint="eastAsia" w:ascii="宋体" w:hAnsi="宋体" w:cs="宋体"/>
          <w:b/>
          <w:bCs/>
          <w:color w:val="000000" w:themeColor="text1"/>
          <w:szCs w:val="20"/>
          <w:highlight w:val="none"/>
          <w14:textFill>
            <w14:solidFill>
              <w14:schemeClr w14:val="tx1"/>
            </w14:solidFill>
          </w14:textFill>
        </w:rPr>
      </w:pPr>
      <w:r>
        <w:rPr>
          <w:rFonts w:hint="eastAsia" w:ascii="宋体" w:hAnsi="宋体" w:cs="宋体"/>
          <w:b/>
          <w:bCs/>
          <w:color w:val="000000" w:themeColor="text1"/>
          <w:szCs w:val="20"/>
          <w:highlight w:val="none"/>
          <w14:textFill>
            <w14:solidFill>
              <w14:schemeClr w14:val="tx1"/>
            </w14:solidFill>
          </w14:textFill>
        </w:rPr>
        <w:t>一、投诉相关主体基本情况：</w:t>
      </w:r>
    </w:p>
    <w:p>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供应商：</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法定代表人/主要负责人：</w:t>
      </w:r>
      <w:r>
        <w:rPr>
          <w:rFonts w:hint="eastAsia" w:ascii="宋体" w:hAnsi="宋体" w:cs="宋体"/>
          <w:bCs/>
          <w:color w:val="000000" w:themeColor="text1"/>
          <w:szCs w:val="20"/>
          <w:highlight w:val="none"/>
          <w:u w:val="single"/>
          <w14:textFill>
            <w14:solidFill>
              <w14:schemeClr w14:val="tx1"/>
            </w14:solidFill>
          </w14:textFill>
        </w:rPr>
        <w:t xml:space="preserve">                                                         </w:t>
      </w:r>
    </w:p>
    <w:p>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p>
    <w:p>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授权代表：</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p>
    <w:p>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被投诉人1：</w:t>
      </w:r>
    </w:p>
    <w:p>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联系人：</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p>
    <w:p>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被投诉人2：</w:t>
      </w:r>
    </w:p>
    <w:p>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w:t>
      </w:r>
    </w:p>
    <w:p>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相关供应商：</w:t>
      </w:r>
      <w:r>
        <w:rPr>
          <w:rFonts w:hint="eastAsia" w:ascii="宋体" w:hAnsi="宋体" w:cs="宋体"/>
          <w:bCs/>
          <w:color w:val="000000" w:themeColor="text1"/>
          <w:szCs w:val="20"/>
          <w:highlight w:val="none"/>
          <w:u w:val="single"/>
          <w14:textFill>
            <w14:solidFill>
              <w14:schemeClr w14:val="tx1"/>
            </w14:solidFill>
          </w14:textFill>
        </w:rPr>
        <w:t xml:space="preserve">                                                                       </w:t>
      </w:r>
    </w:p>
    <w:p>
      <w:pPr>
        <w:snapToGrid w:val="0"/>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地址：</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邮编：</w:t>
      </w:r>
      <w:r>
        <w:rPr>
          <w:rFonts w:hint="eastAsia" w:ascii="宋体" w:hAnsi="宋体" w:cs="宋体"/>
          <w:bCs/>
          <w:color w:val="000000" w:themeColor="text1"/>
          <w:szCs w:val="20"/>
          <w:highlight w:val="none"/>
          <w:u w:val="single"/>
          <w14:textFill>
            <w14:solidFill>
              <w14:schemeClr w14:val="tx1"/>
            </w14:solidFill>
          </w14:textFill>
        </w:rPr>
        <w:t xml:space="preserve">                         </w:t>
      </w:r>
    </w:p>
    <w:p>
      <w:pPr>
        <w:snapToGrid w:val="0"/>
        <w:spacing w:line="400" w:lineRule="exact"/>
        <w:ind w:firstLine="420"/>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联系人：</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联系电话：</w:t>
      </w:r>
      <w:r>
        <w:rPr>
          <w:rFonts w:hint="eastAsia" w:ascii="宋体" w:hAnsi="宋体" w:cs="宋体"/>
          <w:bCs/>
          <w:color w:val="000000" w:themeColor="text1"/>
          <w:szCs w:val="20"/>
          <w:highlight w:val="none"/>
          <w:u w:val="single"/>
          <w14:textFill>
            <w14:solidFill>
              <w14:schemeClr w14:val="tx1"/>
            </w14:solidFill>
          </w14:textFill>
        </w:rPr>
        <w:t xml:space="preserve">                     </w:t>
      </w:r>
      <w:r>
        <w:rPr>
          <w:rFonts w:hint="eastAsia" w:ascii="宋体" w:hAnsi="宋体" w:cs="宋体"/>
          <w:bCs/>
          <w:color w:val="000000" w:themeColor="text1"/>
          <w:szCs w:val="20"/>
          <w:highlight w:val="none"/>
          <w14:textFill>
            <w14:solidFill>
              <w14:schemeClr w14:val="tx1"/>
            </w14:solidFill>
          </w14:textFill>
        </w:rPr>
        <w:t xml:space="preserve">                </w:t>
      </w:r>
    </w:p>
    <w:p>
      <w:pPr>
        <w:snapToGrid w:val="0"/>
        <w:spacing w:line="400" w:lineRule="exact"/>
        <w:ind w:firstLine="422"/>
        <w:rPr>
          <w:rFonts w:hint="eastAsia" w:ascii="宋体" w:hAnsi="宋体" w:cs="宋体"/>
          <w:b/>
          <w:bCs/>
          <w:color w:val="000000" w:themeColor="text1"/>
          <w:szCs w:val="20"/>
          <w:highlight w:val="none"/>
          <w14:textFill>
            <w14:solidFill>
              <w14:schemeClr w14:val="tx1"/>
            </w14:solidFill>
          </w14:textFill>
        </w:rPr>
      </w:pPr>
      <w:r>
        <w:rPr>
          <w:rFonts w:hint="eastAsia" w:ascii="宋体" w:hAnsi="宋体" w:cs="宋体"/>
          <w:b/>
          <w:bCs/>
          <w:color w:val="000000" w:themeColor="text1"/>
          <w:szCs w:val="20"/>
          <w:highlight w:val="none"/>
          <w14:textFill>
            <w14:solidFill>
              <w14:schemeClr w14:val="tx1"/>
            </w14:solidFill>
          </w14:textFill>
        </w:rPr>
        <w:t>二、投诉项目基本情况：</w:t>
      </w:r>
    </w:p>
    <w:p>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项目的名称：</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项目的编号：</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left="25" w:leftChars="12" w:firstLine="413" w:firstLineChars="19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采购人名称：</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left="25" w:leftChars="12" w:firstLine="413" w:firstLineChars="19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代理机构名称：</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left="25" w:leftChars="12" w:firstLine="413" w:firstLineChars="19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采购文件公告：</w:t>
      </w:r>
      <w:r>
        <w:rPr>
          <w:rFonts w:hint="eastAsia" w:ascii="宋体" w:hAnsi="宋体" w:cs="宋体"/>
          <w:bCs/>
          <w:color w:val="000000" w:themeColor="text1"/>
          <w:szCs w:val="20"/>
          <w:highlight w:val="none"/>
          <w:u w:val="single"/>
          <w14:textFill>
            <w14:solidFill>
              <w14:schemeClr w14:val="tx1"/>
            </w14:solidFill>
          </w14:textFill>
        </w:rPr>
        <w:t>是/否</w:t>
      </w:r>
      <w:r>
        <w:rPr>
          <w:rFonts w:hint="eastAsia" w:ascii="宋体" w:hAnsi="宋体" w:cs="宋体"/>
          <w:bCs/>
          <w:color w:val="000000" w:themeColor="text1"/>
          <w:szCs w:val="20"/>
          <w:highlight w:val="none"/>
          <w14:textFill>
            <w14:solidFill>
              <w14:schemeClr w14:val="tx1"/>
            </w14:solidFill>
          </w14:textFill>
        </w:rPr>
        <w:t>公告期限：</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left="25" w:leftChars="12" w:firstLine="413" w:firstLineChars="19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采购结果公告：</w:t>
      </w:r>
      <w:r>
        <w:rPr>
          <w:rFonts w:hint="eastAsia" w:ascii="宋体" w:hAnsi="宋体" w:cs="宋体"/>
          <w:bCs/>
          <w:color w:val="000000" w:themeColor="text1"/>
          <w:szCs w:val="20"/>
          <w:highlight w:val="none"/>
          <w:u w:val="single"/>
          <w14:textFill>
            <w14:solidFill>
              <w14:schemeClr w14:val="tx1"/>
            </w14:solidFill>
          </w14:textFill>
        </w:rPr>
        <w:t>是/否</w:t>
      </w:r>
      <w:r>
        <w:rPr>
          <w:rFonts w:hint="eastAsia" w:ascii="宋体" w:hAnsi="宋体" w:cs="宋体"/>
          <w:bCs/>
          <w:color w:val="000000" w:themeColor="text1"/>
          <w:szCs w:val="20"/>
          <w:highlight w:val="none"/>
          <w14:textFill>
            <w14:solidFill>
              <w14:schemeClr w14:val="tx1"/>
            </w14:solidFill>
          </w14:textFill>
        </w:rPr>
        <w:t>公告期限：</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left="25" w:leftChars="12" w:firstLine="413" w:firstLineChars="196"/>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三、质疑基本情况</w:t>
      </w:r>
    </w:p>
    <w:p>
      <w:pPr>
        <w:spacing w:line="400" w:lineRule="exact"/>
        <w:ind w:left="25" w:leftChars="12" w:firstLine="833" w:firstLineChars="3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投诉人于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日，向</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提出质疑，质疑事项为：</w:t>
      </w:r>
    </w:p>
    <w:p>
      <w:pPr>
        <w:spacing w:line="400" w:lineRule="exact"/>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采购人/代理机构</w:t>
      </w:r>
      <w:r>
        <w:rPr>
          <w:rFonts w:hint="eastAsia" w:ascii="宋体" w:hAnsi="宋体" w:cs="宋体"/>
          <w:bCs/>
          <w:color w:val="000000" w:themeColor="text1"/>
          <w:szCs w:val="20"/>
          <w:highlight w:val="none"/>
          <w14:textFill>
            <w14:solidFill>
              <w14:schemeClr w14:val="tx1"/>
            </w14:solidFill>
          </w14:textFill>
        </w:rPr>
        <w:t>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bCs/>
          <w:color w:val="000000" w:themeColor="text1"/>
          <w:szCs w:val="20"/>
          <w:highlight w:val="none"/>
          <w14:textFill>
            <w14:solidFill>
              <w14:schemeClr w14:val="tx1"/>
            </w14:solidFill>
          </w14:textFill>
        </w:rPr>
        <w:t xml:space="preserve">就质疑事项作出了答复/没有在法定期限内作出答复。                                                                                             </w:t>
      </w:r>
    </w:p>
    <w:p>
      <w:pPr>
        <w:spacing w:line="400" w:lineRule="exact"/>
        <w:ind w:left="25" w:leftChars="12" w:firstLine="413" w:firstLineChars="196"/>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四、投诉事项具体内容</w:t>
      </w:r>
    </w:p>
    <w:p>
      <w:pPr>
        <w:spacing w:line="400" w:lineRule="exact"/>
        <w:ind w:left="25" w:leftChars="12" w:firstLine="413" w:firstLineChars="19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投诉事项1：</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事实依据：</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firstLine="420"/>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法律依据：</w:t>
      </w: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left="25" w:leftChars="12" w:firstLine="308" w:firstLineChars="147"/>
        <w:rPr>
          <w:rFonts w:hint="eastAsia" w:ascii="宋体" w:hAnsi="宋体" w:cs="宋体"/>
          <w:bCs/>
          <w:color w:val="000000" w:themeColor="text1"/>
          <w:szCs w:val="20"/>
          <w:highlight w:val="none"/>
          <w:u w:val="singl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 xml:space="preserve"> </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left="25" w:leftChars="12" w:firstLine="413" w:firstLineChars="197"/>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投诉事项2  </w:t>
      </w:r>
      <w:r>
        <w:rPr>
          <w:rFonts w:hint="eastAsia" w:ascii="宋体" w:hAnsi="宋体" w:cs="宋体"/>
          <w:bCs/>
          <w:color w:val="000000" w:themeColor="text1"/>
          <w:szCs w:val="20"/>
          <w:highlight w:val="none"/>
          <w14:textFill>
            <w14:solidFill>
              <w14:schemeClr w14:val="tx1"/>
            </w14:solidFill>
          </w14:textFill>
        </w:rPr>
        <w:t xml:space="preserve">   </w:t>
      </w:r>
    </w:p>
    <w:p>
      <w:pPr>
        <w:spacing w:line="400" w:lineRule="exact"/>
        <w:ind w:left="25" w:leftChars="12" w:firstLine="413" w:firstLineChars="197"/>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w:t>
      </w:r>
    </w:p>
    <w:p>
      <w:pPr>
        <w:spacing w:line="400" w:lineRule="exact"/>
        <w:ind w:left="25" w:leftChars="12" w:firstLine="413" w:firstLineChars="196"/>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五、与投诉事项相关的投诉请求：</w:t>
      </w:r>
    </w:p>
    <w:p>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请求：</w:t>
      </w:r>
      <w:r>
        <w:rPr>
          <w:rFonts w:hint="eastAsia" w:ascii="宋体" w:hAnsi="宋体" w:cs="宋体"/>
          <w:bCs/>
          <w:color w:val="000000" w:themeColor="text1"/>
          <w:szCs w:val="20"/>
          <w:highlight w:val="none"/>
          <w:u w:val="single"/>
          <w14:textFill>
            <w14:solidFill>
              <w14:schemeClr w14:val="tx1"/>
            </w14:solidFill>
          </w14:textFill>
        </w:rPr>
        <w:t xml:space="preserve">                                                                                 </w:t>
      </w:r>
    </w:p>
    <w:p>
      <w:pPr>
        <w:spacing w:line="400" w:lineRule="exact"/>
        <w:ind w:left="25" w:leftChars="12" w:firstLine="308" w:firstLineChars="147"/>
        <w:rPr>
          <w:rFonts w:hint="eastAsia" w:ascii="宋体" w:hAnsi="宋体" w:cs="宋体"/>
          <w:color w:val="000000" w:themeColor="text1"/>
          <w:szCs w:val="21"/>
          <w:highlight w:val="none"/>
          <w14:textFill>
            <w14:solidFill>
              <w14:schemeClr w14:val="tx1"/>
            </w14:solidFill>
          </w14:textFill>
        </w:rPr>
      </w:pPr>
    </w:p>
    <w:p>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签字（签章）：                                       公章：</w:t>
      </w:r>
    </w:p>
    <w:p>
      <w:pPr>
        <w:spacing w:line="400" w:lineRule="exact"/>
        <w:ind w:left="25" w:leftChars="12" w:firstLine="308" w:firstLineChars="147"/>
        <w:rPr>
          <w:rFonts w:hint="eastAsia" w:ascii="宋体" w:hAnsi="宋体" w:cs="宋体"/>
          <w:color w:val="000000" w:themeColor="text1"/>
          <w:szCs w:val="21"/>
          <w:highlight w:val="none"/>
          <w14:textFill>
            <w14:solidFill>
              <w14:schemeClr w14:val="tx1"/>
            </w14:solidFill>
          </w14:textFill>
        </w:rPr>
      </w:pPr>
    </w:p>
    <w:p>
      <w:pPr>
        <w:spacing w:line="40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p>
    <w:p>
      <w:pPr>
        <w:spacing w:line="360" w:lineRule="exact"/>
        <w:ind w:left="25" w:leftChars="12" w:firstLine="413" w:firstLineChars="197"/>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0"/>
          <w:highlight w:val="none"/>
          <w14:textFill>
            <w14:solidFill>
              <w14:schemeClr w14:val="tx1"/>
            </w14:solidFill>
          </w14:textFill>
        </w:rPr>
        <w:t xml:space="preserve">                                                                                 </w:t>
      </w:r>
    </w:p>
    <w:p>
      <w:pPr>
        <w:snapToGrid w:val="0"/>
        <w:spacing w:line="340" w:lineRule="exact"/>
        <w:rPr>
          <w:rFonts w:hint="eastAsia" w:ascii="宋体" w:hAnsi="宋体" w:cs="宋体"/>
          <w:b/>
          <w:color w:val="000000" w:themeColor="text1"/>
          <w:szCs w:val="21"/>
          <w:highlight w:val="none"/>
          <w14:textFill>
            <w14:solidFill>
              <w14:schemeClr w14:val="tx1"/>
            </w14:solidFill>
          </w14:textFill>
        </w:rPr>
      </w:pPr>
    </w:p>
    <w:p>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说明：</w:t>
      </w:r>
    </w:p>
    <w:p>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1.投诉人提起投诉时，应当提交投诉书和必要的证明材料，并按照被投诉人和与投诉事项有关的供应商数量提供投诉书副本。</w:t>
      </w:r>
    </w:p>
    <w:p>
      <w:pPr>
        <w:spacing w:line="340" w:lineRule="exact"/>
        <w:ind w:left="25" w:leftChars="12" w:firstLine="310" w:firstLineChars="147"/>
        <w:rPr>
          <w:rFonts w:ascii="宋体" w:hAnsi="宋体"/>
          <w:b/>
          <w:color w:val="000000" w:themeColor="text1"/>
          <w:szCs w:val="20"/>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3.投诉书应简要列明质疑事项，质疑函、质疑答复等作为附件材料提供。</w:t>
      </w:r>
    </w:p>
    <w:p>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4.投诉书的投诉事项应具体、明确，并有必要的事实依据和法律依据。</w:t>
      </w:r>
    </w:p>
    <w:p>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5.投诉书的投诉请求应与投诉事项相关。</w:t>
      </w:r>
    </w:p>
    <w:p>
      <w:pPr>
        <w:spacing w:line="340" w:lineRule="exact"/>
        <w:ind w:left="25" w:leftChars="12" w:firstLine="310" w:firstLineChars="147"/>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6.投诉人为自然人的，投诉书应由本人签字；投诉人为法人或者其他组织的，投诉书应由法定代表人、主要负责人，或者其授权代表签字或者盖章，并加盖公章。</w:t>
      </w:r>
    </w:p>
    <w:p>
      <w:pPr>
        <w:spacing w:line="340" w:lineRule="exact"/>
        <w:ind w:left="25" w:leftChars="12" w:firstLine="310" w:firstLineChars="147"/>
        <w:rPr>
          <w:rFonts w:hint="eastAsia" w:ascii="宋体" w:hAnsi="宋体" w:cs="宋体"/>
          <w:b/>
          <w:color w:val="000000" w:themeColor="text1"/>
          <w:kern w:val="0"/>
          <w:szCs w:val="21"/>
          <w:highlight w:val="none"/>
          <w14:textFill>
            <w14:solidFill>
              <w14:schemeClr w14:val="tx1"/>
            </w14:solidFill>
          </w14:textFill>
        </w:rPr>
      </w:pPr>
    </w:p>
    <w:p>
      <w:pPr>
        <w:spacing w:line="340" w:lineRule="exact"/>
        <w:ind w:left="25" w:leftChars="12" w:firstLine="310" w:firstLineChars="147"/>
        <w:rPr>
          <w:rFonts w:ascii="宋体" w:hAnsi="宋体"/>
          <w:b/>
          <w:color w:val="000000" w:themeColor="text1"/>
          <w:kern w:val="0"/>
          <w:szCs w:val="21"/>
          <w:highlight w:val="none"/>
          <w14:textFill>
            <w14:solidFill>
              <w14:schemeClr w14:val="tx1"/>
            </w14:solidFill>
          </w14:textFill>
        </w:rPr>
      </w:pPr>
    </w:p>
    <w:p>
      <w:pPr>
        <w:tabs>
          <w:tab w:val="center" w:pos="4410"/>
          <w:tab w:val="left" w:pos="6735"/>
        </w:tabs>
        <w:spacing w:line="480" w:lineRule="auto"/>
        <w:jc w:val="center"/>
        <w:rPr>
          <w:rFonts w:ascii="宋体" w:hAnsi="宋体"/>
          <w:b/>
          <w:color w:val="000000" w:themeColor="text1"/>
          <w:kern w:val="0"/>
          <w:sz w:val="32"/>
          <w:szCs w:val="32"/>
          <w:highlight w:val="none"/>
          <w14:textFill>
            <w14:solidFill>
              <w14:schemeClr w14:val="tx1"/>
            </w14:solidFill>
          </w14:textFill>
        </w:rPr>
      </w:pPr>
    </w:p>
    <w:p>
      <w:pPr>
        <w:tabs>
          <w:tab w:val="center" w:pos="4410"/>
          <w:tab w:val="left" w:pos="6735"/>
        </w:tabs>
        <w:spacing w:line="480" w:lineRule="auto"/>
        <w:jc w:val="center"/>
        <w:rPr>
          <w:rFonts w:ascii="宋体" w:hAnsi="宋体"/>
          <w:b/>
          <w:color w:val="000000" w:themeColor="text1"/>
          <w:kern w:val="0"/>
          <w:sz w:val="32"/>
          <w:szCs w:val="32"/>
          <w:highlight w:val="none"/>
          <w14:textFill>
            <w14:solidFill>
              <w14:schemeClr w14:val="tx1"/>
            </w14:solidFill>
          </w14:textFill>
        </w:rPr>
      </w:pPr>
    </w:p>
    <w:p>
      <w:pPr>
        <w:tabs>
          <w:tab w:val="center" w:pos="4410"/>
          <w:tab w:val="left" w:pos="6735"/>
        </w:tabs>
        <w:spacing w:line="480" w:lineRule="auto"/>
        <w:jc w:val="center"/>
        <w:rPr>
          <w:rFonts w:hint="eastAsia" w:ascii="宋体" w:hAnsi="宋体"/>
          <w:b/>
          <w:color w:val="000000" w:themeColor="text1"/>
          <w:kern w:val="0"/>
          <w:sz w:val="32"/>
          <w:szCs w:val="32"/>
          <w:highlight w:val="none"/>
          <w14:textFill>
            <w14:solidFill>
              <w14:schemeClr w14:val="tx1"/>
            </w14:solidFill>
          </w14:textFill>
        </w:rPr>
      </w:pPr>
    </w:p>
    <w:p>
      <w:pPr>
        <w:tabs>
          <w:tab w:val="center" w:pos="4410"/>
          <w:tab w:val="left" w:pos="6735"/>
        </w:tabs>
        <w:spacing w:line="480" w:lineRule="auto"/>
        <w:jc w:val="center"/>
        <w:rPr>
          <w:rFonts w:hint="eastAsia" w:ascii="宋体" w:hAnsi="宋体"/>
          <w:b/>
          <w:color w:val="000000" w:themeColor="text1"/>
          <w:kern w:val="0"/>
          <w:sz w:val="32"/>
          <w:szCs w:val="32"/>
          <w:highlight w:val="none"/>
          <w14:textFill>
            <w14:solidFill>
              <w14:schemeClr w14:val="tx1"/>
            </w14:solidFill>
          </w14:textFill>
        </w:rPr>
      </w:pPr>
    </w:p>
    <w:p>
      <w:pPr>
        <w:rPr>
          <w:rFonts w:hint="eastAsia" w:ascii="宋体" w:hAnsi="宋体"/>
          <w:b/>
          <w:color w:val="000000" w:themeColor="text1"/>
          <w:kern w:val="0"/>
          <w:sz w:val="32"/>
          <w:szCs w:val="32"/>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tabs>
          <w:tab w:val="left" w:pos="1408"/>
        </w:tabs>
        <w:snapToGrid w:val="0"/>
        <w:spacing w:line="340" w:lineRule="exact"/>
        <w:rPr>
          <w:color w:val="000000" w:themeColor="text1"/>
          <w:highlight w:val="none"/>
          <w14:textFill>
            <w14:solidFill>
              <w14:schemeClr w14:val="tx1"/>
            </w14:solidFill>
          </w14:textFill>
        </w:rPr>
      </w:pPr>
      <w:r>
        <w:rPr>
          <w:rFonts w:ascii="宋体" w:hAnsi="宋体" w:cs="宋体"/>
          <w:b/>
          <w:color w:val="000000" w:themeColor="text1"/>
          <w:highlight w:val="none"/>
          <w14:textFill>
            <w14:solidFill>
              <w14:schemeClr w14:val="tx1"/>
            </w14:solidFill>
          </w14:textFill>
        </w:rPr>
        <w:br w:type="page"/>
      </w:r>
      <w:r>
        <w:rPr>
          <w:rFonts w:hint="eastAsia" w:ascii="宋体" w:hAnsi="宋体" w:cs="宋体"/>
          <w:b/>
          <w:color w:val="000000" w:themeColor="text1"/>
          <w:highlight w:val="none"/>
          <w14:textFill>
            <w14:solidFill>
              <w14:schemeClr w14:val="tx1"/>
            </w14:solidFill>
          </w14:textFill>
        </w:rPr>
        <w:t>附表4：</w:t>
      </w:r>
    </w:p>
    <w:p>
      <w:pPr>
        <w:ind w:firstLine="480"/>
        <w:rPr>
          <w:rFonts w:hint="eastAsia"/>
          <w:color w:val="000000" w:themeColor="text1"/>
          <w:highlight w:val="none"/>
          <w14:textFill>
            <w14:solidFill>
              <w14:schemeClr w14:val="tx1"/>
            </w14:solidFill>
          </w14:textFill>
        </w:rPr>
      </w:pP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drawing>
          <wp:inline distT="0" distB="0" distL="114300" distR="114300">
            <wp:extent cx="5886450" cy="4620260"/>
            <wp:effectExtent l="0" t="0" r="0" b="889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8">
                      <a:lum/>
                    </a:blip>
                    <a:srcRect t="20779" b="23657"/>
                    <a:stretch>
                      <a:fillRect/>
                    </a:stretch>
                  </pic:blipFill>
                  <pic:spPr>
                    <a:xfrm>
                      <a:off x="0" y="0"/>
                      <a:ext cx="5886450" cy="4620260"/>
                    </a:xfrm>
                    <a:prstGeom prst="rect">
                      <a:avLst/>
                    </a:prstGeom>
                    <a:noFill/>
                    <a:ln>
                      <a:noFill/>
                    </a:ln>
                  </pic:spPr>
                </pic:pic>
              </a:graphicData>
            </a:graphic>
          </wp:inline>
        </w:drawing>
      </w:r>
    </w:p>
    <w:p>
      <w:pPr>
        <w:spacing w:line="360" w:lineRule="auto"/>
        <w:rPr>
          <w:rFonts w:hint="eastAsia" w:ascii="宋体" w:hAnsi="宋体" w:cs="宋体"/>
          <w:b/>
          <w:bCs/>
          <w:color w:val="000000" w:themeColor="text1"/>
          <w:szCs w:val="21"/>
          <w:highlight w:val="none"/>
          <w14:textFill>
            <w14:solidFill>
              <w14:schemeClr w14:val="tx1"/>
            </w14:solidFill>
          </w14:textFill>
        </w:rPr>
      </w:pPr>
    </w:p>
    <w:sectPr>
      <w:footerReference r:id="rId6"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monospace">
    <w:altName w:val="微软雅黑"/>
    <w:panose1 w:val="00000000000000000000"/>
    <w:charset w:val="00"/>
    <w:family w:val="auto"/>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Sim Sun">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Ђˎ̥">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 w:name="Calibri Light">
    <w:panose1 w:val="020F0302020204030204"/>
    <w:charset w:val="00"/>
    <w:family w:val="auto"/>
    <w:pitch w:val="default"/>
    <w:sig w:usb0="A00002EF" w:usb1="4000207B" w:usb2="00000000" w:usb3="00000000" w:csb0="2000019F" w:csb1="00000000"/>
  </w:font>
  <w:font w:name="华文新魏">
    <w:altName w:val="宋体"/>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ascii="Tahoma" w:hAnsi="Tahoma"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LKcMRfEAQAAkAMAAA4AAAAAAAAAAQAgAAAAHwEAAGRycy9lMm9Eb2MueG1s&#10;UEsFBgAAAAAGAAYAWQEAAFU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000000"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0NmI2ZjEwYTZhOWY4ZmE4NzFmN2ZjNzRmZTA2MDgifQ=="/>
  </w:docVars>
  <w:rsids>
    <w:rsidRoot w:val="00000000"/>
    <w:rsid w:val="009A7605"/>
    <w:rsid w:val="02B41891"/>
    <w:rsid w:val="03906AAC"/>
    <w:rsid w:val="05485881"/>
    <w:rsid w:val="08666CD9"/>
    <w:rsid w:val="0A530095"/>
    <w:rsid w:val="0B49271F"/>
    <w:rsid w:val="0BBF669C"/>
    <w:rsid w:val="0C837641"/>
    <w:rsid w:val="102B6B23"/>
    <w:rsid w:val="12740612"/>
    <w:rsid w:val="12F87D71"/>
    <w:rsid w:val="134C29E0"/>
    <w:rsid w:val="14C447F8"/>
    <w:rsid w:val="1AEE0821"/>
    <w:rsid w:val="24184D89"/>
    <w:rsid w:val="24781891"/>
    <w:rsid w:val="24FD1E47"/>
    <w:rsid w:val="256817EC"/>
    <w:rsid w:val="25A93CC2"/>
    <w:rsid w:val="27134FE3"/>
    <w:rsid w:val="27800622"/>
    <w:rsid w:val="28A8200F"/>
    <w:rsid w:val="2970538A"/>
    <w:rsid w:val="2D7626DC"/>
    <w:rsid w:val="33943C0E"/>
    <w:rsid w:val="36A729BE"/>
    <w:rsid w:val="3AEF1D20"/>
    <w:rsid w:val="3B3337EC"/>
    <w:rsid w:val="3E1C675A"/>
    <w:rsid w:val="41124178"/>
    <w:rsid w:val="4164121A"/>
    <w:rsid w:val="4447497A"/>
    <w:rsid w:val="45E16709"/>
    <w:rsid w:val="4799729B"/>
    <w:rsid w:val="50015CA1"/>
    <w:rsid w:val="565F7902"/>
    <w:rsid w:val="567809C3"/>
    <w:rsid w:val="58F9211A"/>
    <w:rsid w:val="5B7A2AEE"/>
    <w:rsid w:val="5D4810F0"/>
    <w:rsid w:val="5E10474A"/>
    <w:rsid w:val="5F287B9B"/>
    <w:rsid w:val="60036CCD"/>
    <w:rsid w:val="60D20B61"/>
    <w:rsid w:val="61720E31"/>
    <w:rsid w:val="62652D5E"/>
    <w:rsid w:val="63402C15"/>
    <w:rsid w:val="64DF3B8A"/>
    <w:rsid w:val="64E32AD7"/>
    <w:rsid w:val="67662E07"/>
    <w:rsid w:val="68035E0F"/>
    <w:rsid w:val="68482C2A"/>
    <w:rsid w:val="696D6B39"/>
    <w:rsid w:val="69A24BAC"/>
    <w:rsid w:val="6AC459F9"/>
    <w:rsid w:val="6BD6587A"/>
    <w:rsid w:val="6D287C0C"/>
    <w:rsid w:val="6D463172"/>
    <w:rsid w:val="6E7032E1"/>
    <w:rsid w:val="6FE920DB"/>
    <w:rsid w:val="707B3571"/>
    <w:rsid w:val="71F413EE"/>
    <w:rsid w:val="72005FE5"/>
    <w:rsid w:val="727F33AE"/>
    <w:rsid w:val="75CD61DE"/>
    <w:rsid w:val="771A5453"/>
    <w:rsid w:val="7A794B87"/>
    <w:rsid w:val="7C386577"/>
    <w:rsid w:val="7C9059A5"/>
    <w:rsid w:val="7EBE0DB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unhideWhenUsed="0" w:uiPriority="39" w:semiHidden="0" w:name="toc 6"/>
    <w:lsdException w:unhideWhenUsed="0" w:uiPriority="39" w:semiHidden="0" w:name="toc 7"/>
    <w:lsdException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iPriority="99"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spacing w:line="500" w:lineRule="exact"/>
      <w:jc w:val="center"/>
      <w:outlineLvl w:val="0"/>
    </w:pPr>
    <w:rPr>
      <w:rFonts w:ascii="Tahoma" w:hAnsi="Tahoma"/>
      <w:b/>
      <w:bCs/>
      <w:kern w:val="44"/>
      <w:sz w:val="32"/>
      <w:szCs w:val="44"/>
    </w:rPr>
  </w:style>
  <w:style w:type="paragraph" w:styleId="4">
    <w:name w:val="heading 2"/>
    <w:basedOn w:val="1"/>
    <w:next w:val="5"/>
    <w:link w:val="55"/>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56"/>
    <w:qFormat/>
    <w:uiPriority w:val="0"/>
    <w:pPr>
      <w:keepNext/>
      <w:keepLines/>
      <w:spacing w:before="260" w:after="260" w:line="416" w:lineRule="auto"/>
      <w:outlineLvl w:val="2"/>
    </w:pPr>
    <w:rPr>
      <w:b/>
      <w:bCs/>
      <w:kern w:val="0"/>
      <w:sz w:val="32"/>
      <w:szCs w:val="32"/>
    </w:rPr>
  </w:style>
  <w:style w:type="paragraph" w:styleId="7">
    <w:name w:val="heading 4"/>
    <w:basedOn w:val="1"/>
    <w:next w:val="1"/>
    <w:qFormat/>
    <w:uiPriority w:val="0"/>
    <w:pPr>
      <w:keepNext/>
      <w:spacing w:before="240" w:after="60"/>
      <w:outlineLvl w:val="3"/>
    </w:pPr>
    <w:rPr>
      <w:b/>
      <w:bCs/>
      <w:sz w:val="28"/>
      <w:szCs w:val="28"/>
    </w:rPr>
  </w:style>
  <w:style w:type="paragraph" w:styleId="8">
    <w:name w:val="heading 6"/>
    <w:basedOn w:val="1"/>
    <w:next w:val="1"/>
    <w:link w:val="124"/>
    <w:qFormat/>
    <w:uiPriority w:val="0"/>
    <w:pPr>
      <w:keepNext/>
      <w:keepLines/>
      <w:spacing w:before="240" w:after="64" w:line="320" w:lineRule="auto"/>
      <w:outlineLvl w:val="5"/>
    </w:pPr>
    <w:rPr>
      <w:rFonts w:ascii="Arial" w:hAnsi="Arial" w:eastAsia="黑体"/>
      <w:b/>
      <w:bCs/>
      <w:sz w:val="24"/>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adjustRightInd w:val="0"/>
      <w:snapToGrid w:val="0"/>
      <w:jc w:val="center"/>
    </w:pPr>
    <w:rPr>
      <w:rFonts w:ascii="Times New Roman" w:hAnsi="Times New Roman" w:eastAsia="宋体" w:cs="Times New Roman"/>
      <w:kern w:val="0"/>
      <w:sz w:val="24"/>
    </w:rPr>
  </w:style>
  <w:style w:type="paragraph" w:styleId="5">
    <w:name w:val="Normal Indent"/>
    <w:basedOn w:val="1"/>
    <w:link w:val="125"/>
    <w:qFormat/>
    <w:uiPriority w:val="0"/>
    <w:pPr>
      <w:ind w:firstLine="420"/>
    </w:pPr>
    <w:rPr>
      <w:szCs w:val="20"/>
    </w:rPr>
  </w:style>
  <w:style w:type="paragraph" w:styleId="9">
    <w:name w:val="table of authorities"/>
    <w:basedOn w:val="1"/>
    <w:next w:val="1"/>
    <w:qFormat/>
    <w:uiPriority w:val="0"/>
    <w:pPr>
      <w:ind w:left="420" w:leftChars="200"/>
    </w:p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2">
    <w:name w:val="Document Map"/>
    <w:basedOn w:val="1"/>
    <w:link w:val="126"/>
    <w:qFormat/>
    <w:uiPriority w:val="0"/>
    <w:rPr>
      <w:rFonts w:ascii="宋体" w:hAnsi="Tahoma"/>
      <w:sz w:val="18"/>
      <w:szCs w:val="18"/>
    </w:rPr>
  </w:style>
  <w:style w:type="paragraph" w:styleId="13">
    <w:name w:val="toa heading"/>
    <w:basedOn w:val="1"/>
    <w:next w:val="1"/>
    <w:qFormat/>
    <w:uiPriority w:val="0"/>
    <w:rPr>
      <w:rFonts w:ascii="Arial" w:hAnsi="Arial"/>
      <w:sz w:val="24"/>
    </w:rPr>
  </w:style>
  <w:style w:type="paragraph" w:styleId="14">
    <w:name w:val="annotation text"/>
    <w:basedOn w:val="1"/>
    <w:link w:val="127"/>
    <w:semiHidden/>
    <w:qFormat/>
    <w:uiPriority w:val="0"/>
    <w:pPr>
      <w:jc w:val="left"/>
    </w:pPr>
  </w:style>
  <w:style w:type="paragraph" w:styleId="15">
    <w:name w:val="Body Text 3"/>
    <w:basedOn w:val="1"/>
    <w:qFormat/>
    <w:uiPriority w:val="0"/>
    <w:pPr>
      <w:spacing w:line="240" w:lineRule="exact"/>
    </w:pPr>
    <w:rPr>
      <w:rFonts w:ascii="宋体" w:hAnsi="宋体"/>
      <w:color w:val="000000"/>
      <w:szCs w:val="21"/>
    </w:rPr>
  </w:style>
  <w:style w:type="paragraph" w:styleId="16">
    <w:name w:val="Body Text"/>
    <w:basedOn w:val="1"/>
    <w:next w:val="1"/>
    <w:qFormat/>
    <w:uiPriority w:val="0"/>
    <w:pPr>
      <w:spacing w:line="380" w:lineRule="exact"/>
    </w:pPr>
    <w:rPr>
      <w:sz w:val="24"/>
    </w:rPr>
  </w:style>
  <w:style w:type="paragraph" w:styleId="17">
    <w:name w:val="Body Text Indent"/>
    <w:basedOn w:val="1"/>
    <w:next w:val="18"/>
    <w:link w:val="128"/>
    <w:qFormat/>
    <w:uiPriority w:val="0"/>
    <w:pPr>
      <w:spacing w:after="120"/>
      <w:ind w:left="420" w:leftChars="200"/>
    </w:pPr>
    <w:rPr>
      <w:rFonts w:ascii="Tahoma" w:hAnsi="Tahoma"/>
    </w:rPr>
  </w:style>
  <w:style w:type="paragraph" w:styleId="18">
    <w:name w:val="envelope return"/>
    <w:basedOn w:val="1"/>
    <w:qFormat/>
    <w:uiPriority w:val="0"/>
    <w:pPr>
      <w:snapToGrid w:val="0"/>
    </w:pPr>
    <w:rPr>
      <w:rFonts w:ascii="Arial" w:hAnsi="Arial"/>
    </w:rPr>
  </w:style>
  <w:style w:type="paragraph" w:styleId="19">
    <w:name w:val="Block Text"/>
    <w:basedOn w:val="1"/>
    <w:qFormat/>
    <w:uiPriority w:val="0"/>
    <w:pPr>
      <w:snapToGrid w:val="0"/>
      <w:spacing w:line="480" w:lineRule="atLeast"/>
      <w:ind w:left="-57" w:right="69" w:firstLine="0"/>
    </w:pPr>
    <w:rPr>
      <w:rFonts w:ascii="宋体" w:hAnsi="宋体"/>
      <w:b/>
      <w:sz w:val="24"/>
      <w:szCs w:val="20"/>
    </w:rPr>
  </w:style>
  <w:style w:type="paragraph" w:styleId="20">
    <w:name w:val="toc 3"/>
    <w:basedOn w:val="1"/>
    <w:next w:val="1"/>
    <w:qFormat/>
    <w:uiPriority w:val="39"/>
    <w:pPr>
      <w:ind w:left="840" w:leftChars="400"/>
    </w:pPr>
  </w:style>
  <w:style w:type="paragraph" w:styleId="21">
    <w:name w:val="Plain Text"/>
    <w:basedOn w:val="1"/>
    <w:next w:val="1"/>
    <w:link w:val="129"/>
    <w:qFormat/>
    <w:uiPriority w:val="0"/>
    <w:rPr>
      <w:rFonts w:ascii="宋体" w:hAnsi="Courier New"/>
      <w:szCs w:val="20"/>
    </w:rPr>
  </w:style>
  <w:style w:type="paragraph" w:styleId="22">
    <w:name w:val="Date"/>
    <w:basedOn w:val="1"/>
    <w:next w:val="1"/>
    <w:qFormat/>
    <w:uiPriority w:val="0"/>
    <w:pPr>
      <w:ind w:left="100" w:leftChars="2500"/>
    </w:pPr>
  </w:style>
  <w:style w:type="paragraph" w:styleId="23">
    <w:name w:val="Body Text Indent 2"/>
    <w:basedOn w:val="1"/>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130"/>
    <w:qFormat/>
    <w:uiPriority w:val="99"/>
    <w:pPr>
      <w:tabs>
        <w:tab w:val="center" w:pos="4153"/>
        <w:tab w:val="right" w:pos="8306"/>
      </w:tabs>
      <w:snapToGrid w:val="0"/>
      <w:jc w:val="left"/>
    </w:pPr>
    <w:rPr>
      <w:rFonts w:ascii="Tahoma" w:hAnsi="Tahoma"/>
      <w:sz w:val="18"/>
      <w:szCs w:val="18"/>
    </w:rPr>
  </w:style>
  <w:style w:type="paragraph" w:styleId="26">
    <w:name w:val="header"/>
    <w:basedOn w:val="1"/>
    <w:link w:val="131"/>
    <w:qFormat/>
    <w:uiPriority w:val="99"/>
    <w:pPr>
      <w:pBdr>
        <w:bottom w:val="single" w:color="auto" w:sz="6" w:space="1"/>
      </w:pBdr>
      <w:tabs>
        <w:tab w:val="center" w:pos="4153"/>
        <w:tab w:val="right" w:pos="8306"/>
      </w:tabs>
      <w:snapToGrid w:val="0"/>
      <w:jc w:val="center"/>
    </w:pPr>
    <w:rPr>
      <w:rFonts w:ascii="Tahoma" w:hAnsi="Tahoma"/>
      <w:sz w:val="18"/>
      <w:szCs w:val="18"/>
    </w:rPr>
  </w:style>
  <w:style w:type="paragraph" w:styleId="27">
    <w:name w:val="toc 1"/>
    <w:basedOn w:val="1"/>
    <w:next w:val="1"/>
    <w:qFormat/>
    <w:uiPriority w:val="39"/>
  </w:style>
  <w:style w:type="paragraph" w:styleId="28">
    <w:name w:val="toc 2"/>
    <w:basedOn w:val="1"/>
    <w:next w:val="1"/>
    <w:qFormat/>
    <w:uiPriority w:val="39"/>
    <w:pPr>
      <w:ind w:left="420" w:leftChars="200"/>
    </w:pPr>
  </w:style>
  <w:style w:type="paragraph" w:styleId="29">
    <w:name w:val="toc 9"/>
    <w:basedOn w:val="1"/>
    <w:next w:val="1"/>
    <w:qFormat/>
    <w:uiPriority w:val="39"/>
    <w:pPr>
      <w:ind w:left="1680"/>
      <w:jc w:val="left"/>
    </w:pPr>
    <w:rPr>
      <w:sz w:val="18"/>
      <w:szCs w:val="18"/>
    </w:rPr>
  </w:style>
  <w:style w:type="paragraph" w:styleId="30">
    <w:name w:val="List 4"/>
    <w:basedOn w:val="1"/>
    <w:unhideWhenUsed/>
    <w:qFormat/>
    <w:uiPriority w:val="99"/>
    <w:pPr>
      <w:ind w:left="100" w:leftChars="600" w:hanging="200" w:hangingChars="200"/>
      <w:contextualSpacing/>
    </w:pPr>
  </w:style>
  <w:style w:type="paragraph" w:styleId="31">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next w:val="1"/>
    <w:qFormat/>
    <w:uiPriority w:val="10"/>
    <w:pPr>
      <w:spacing w:before="240" w:after="60"/>
      <w:jc w:val="center"/>
      <w:outlineLvl w:val="0"/>
    </w:pPr>
    <w:rPr>
      <w:rFonts w:ascii="等线 Light" w:hAnsi="等线 Light"/>
      <w:b/>
      <w:bCs/>
      <w:sz w:val="32"/>
      <w:szCs w:val="32"/>
    </w:rPr>
  </w:style>
  <w:style w:type="paragraph" w:styleId="34">
    <w:name w:val="annotation subject"/>
    <w:basedOn w:val="14"/>
    <w:next w:val="14"/>
    <w:semiHidden/>
    <w:qFormat/>
    <w:uiPriority w:val="0"/>
    <w:rPr>
      <w:b/>
      <w:bCs/>
    </w:rPr>
  </w:style>
  <w:style w:type="paragraph" w:styleId="35">
    <w:name w:val="Body Text First Indent"/>
    <w:basedOn w:val="16"/>
    <w:next w:val="1"/>
    <w:qFormat/>
    <w:uiPriority w:val="99"/>
    <w:pPr>
      <w:spacing w:line="240" w:lineRule="auto"/>
      <w:ind w:firstLine="420" w:firstLineChars="100"/>
    </w:pPr>
    <w:rPr>
      <w:sz w:val="21"/>
    </w:rPr>
  </w:style>
  <w:style w:type="paragraph" w:styleId="36">
    <w:name w:val="Body Text First Indent 2"/>
    <w:basedOn w:val="17"/>
    <w:qFormat/>
    <w:uiPriority w:val="0"/>
    <w:pPr>
      <w:spacing w:after="120"/>
      <w:ind w:left="420" w:leftChars="200" w:firstLine="420" w:firstLineChars="200"/>
    </w:pPr>
  </w:style>
  <w:style w:type="table" w:styleId="38">
    <w:name w:val="Table Grid"/>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ahoma" w:hAnsi="Tahoma"/>
      <w:b/>
      <w:bCs/>
      <w:sz w:val="24"/>
      <w:szCs w:val="20"/>
    </w:rPr>
  </w:style>
  <w:style w:type="character" w:styleId="41">
    <w:name w:val="page number"/>
    <w:qFormat/>
    <w:uiPriority w:val="0"/>
  </w:style>
  <w:style w:type="character" w:styleId="42">
    <w:name w:val="FollowedHyperlink"/>
    <w:unhideWhenUsed/>
    <w:qFormat/>
    <w:uiPriority w:val="99"/>
    <w:rPr>
      <w:color w:val="954F72"/>
      <w:u w:val="single"/>
    </w:rPr>
  </w:style>
  <w:style w:type="character" w:styleId="43">
    <w:name w:val="Emphasis"/>
    <w:qFormat/>
    <w:uiPriority w:val="0"/>
  </w:style>
  <w:style w:type="character" w:styleId="44">
    <w:name w:val="HTML Definition"/>
    <w:qFormat/>
    <w:uiPriority w:val="0"/>
  </w:style>
  <w:style w:type="character" w:styleId="45">
    <w:name w:val="HTML Typewriter"/>
    <w:qFormat/>
    <w:uiPriority w:val="0"/>
    <w:rPr>
      <w:rFonts w:hint="default" w:ascii="monospace" w:hAnsi="monospace" w:eastAsia="monospace" w:cs="monospace"/>
      <w:sz w:val="20"/>
    </w:rPr>
  </w:style>
  <w:style w:type="character" w:styleId="46">
    <w:name w:val="HTML Acronym"/>
    <w:qFormat/>
    <w:uiPriority w:val="0"/>
  </w:style>
  <w:style w:type="character" w:styleId="47">
    <w:name w:val="HTML Variable"/>
    <w:qFormat/>
    <w:uiPriority w:val="0"/>
    <w:rPr>
      <w:rFonts w:ascii="Tahoma" w:hAnsi="Tahoma"/>
      <w:sz w:val="24"/>
      <w:szCs w:val="20"/>
    </w:rPr>
  </w:style>
  <w:style w:type="character" w:styleId="48">
    <w:name w:val="Hyperlink"/>
    <w:qFormat/>
    <w:uiPriority w:val="99"/>
    <w:rPr>
      <w:rFonts w:ascii="Tahoma" w:hAnsi="Tahoma"/>
      <w:color w:val="0000FF"/>
      <w:sz w:val="24"/>
      <w:szCs w:val="20"/>
      <w:u w:val="single"/>
    </w:rPr>
  </w:style>
  <w:style w:type="character" w:styleId="49">
    <w:name w:val="HTML Code"/>
    <w:qFormat/>
    <w:uiPriority w:val="0"/>
    <w:rPr>
      <w:rFonts w:ascii="monospace" w:hAnsi="monospace" w:eastAsia="monospace" w:cs="monospace"/>
      <w:sz w:val="20"/>
    </w:rPr>
  </w:style>
  <w:style w:type="character" w:styleId="50">
    <w:name w:val="annotation reference"/>
    <w:semiHidden/>
    <w:qFormat/>
    <w:uiPriority w:val="0"/>
    <w:rPr>
      <w:rFonts w:ascii="Tahoma" w:hAnsi="Tahoma"/>
      <w:sz w:val="21"/>
      <w:szCs w:val="21"/>
    </w:rPr>
  </w:style>
  <w:style w:type="character" w:styleId="51">
    <w:name w:val="HTML Cite"/>
    <w:qFormat/>
    <w:uiPriority w:val="0"/>
  </w:style>
  <w:style w:type="character" w:styleId="52">
    <w:name w:val="HTML Keyboard"/>
    <w:qFormat/>
    <w:uiPriority w:val="0"/>
    <w:rPr>
      <w:rFonts w:hint="default" w:ascii="monospace" w:hAnsi="monospace" w:eastAsia="monospace" w:cs="monospace"/>
      <w:sz w:val="20"/>
    </w:rPr>
  </w:style>
  <w:style w:type="character" w:styleId="53">
    <w:name w:val="HTML Sample"/>
    <w:qFormat/>
    <w:uiPriority w:val="0"/>
    <w:rPr>
      <w:rFonts w:hint="default" w:ascii="monospace" w:hAnsi="monospace" w:eastAsia="monospace" w:cs="monospace"/>
    </w:rPr>
  </w:style>
  <w:style w:type="character" w:customStyle="1" w:styleId="54">
    <w:name w:val="标题 1 Char"/>
    <w:link w:val="3"/>
    <w:qFormat/>
    <w:uiPriority w:val="0"/>
    <w:rPr>
      <w:rFonts w:ascii="Tahoma" w:hAnsi="Tahoma" w:eastAsia="宋体"/>
      <w:b/>
      <w:bCs/>
      <w:kern w:val="44"/>
      <w:sz w:val="32"/>
      <w:szCs w:val="44"/>
    </w:rPr>
  </w:style>
  <w:style w:type="character" w:customStyle="1" w:styleId="55">
    <w:name w:val="标题 2 Char"/>
    <w:link w:val="4"/>
    <w:semiHidden/>
    <w:qFormat/>
    <w:uiPriority w:val="0"/>
    <w:rPr>
      <w:rFonts w:ascii="Cambria" w:hAnsi="Cambria" w:eastAsia="宋体" w:cs="Times New Roman"/>
      <w:b/>
      <w:bCs/>
      <w:kern w:val="2"/>
      <w:sz w:val="32"/>
      <w:szCs w:val="32"/>
    </w:rPr>
  </w:style>
  <w:style w:type="character" w:customStyle="1" w:styleId="56">
    <w:name w:val="标题 3 Char"/>
    <w:link w:val="6"/>
    <w:qFormat/>
    <w:uiPriority w:val="0"/>
    <w:rPr>
      <w:b/>
      <w:bCs/>
      <w:sz w:val="32"/>
      <w:szCs w:val="32"/>
    </w:rPr>
  </w:style>
  <w:style w:type="paragraph" w:customStyle="1" w:styleId="5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8">
    <w:name w:val="段"/>
    <w:next w:val="1"/>
    <w:qFormat/>
    <w:uiPriority w:val="99"/>
    <w:pPr>
      <w:autoSpaceDE w:val="0"/>
      <w:autoSpaceDN w:val="0"/>
      <w:ind w:firstLine="200"/>
      <w:jc w:val="both"/>
    </w:pPr>
    <w:rPr>
      <w:rFonts w:ascii="宋体" w:hAnsi="宋体" w:eastAsia="宋体" w:cs="Times New Roman"/>
      <w:sz w:val="21"/>
      <w:szCs w:val="21"/>
      <w:lang w:val="en-US" w:eastAsia="zh-CN" w:bidi="ar-SA"/>
    </w:rPr>
  </w:style>
  <w:style w:type="paragraph" w:customStyle="1" w:styleId="59">
    <w:name w:val="正文文本缩进1"/>
    <w:basedOn w:val="1"/>
    <w:qFormat/>
    <w:uiPriority w:val="0"/>
    <w:pPr>
      <w:spacing w:before="0" w:after="120"/>
      <w:ind w:left="420" w:right="0" w:firstLine="0"/>
    </w:pPr>
  </w:style>
  <w:style w:type="paragraph" w:customStyle="1" w:styleId="60">
    <w:name w:val="列出段落"/>
    <w:basedOn w:val="1"/>
    <w:link w:val="158"/>
    <w:qFormat/>
    <w:uiPriority w:val="0"/>
    <w:pPr>
      <w:ind w:firstLine="420" w:firstLineChars="200"/>
    </w:pPr>
  </w:style>
  <w:style w:type="paragraph" w:customStyle="1" w:styleId="6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2">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63">
    <w:name w:val="p0"/>
    <w:basedOn w:val="1"/>
    <w:qFormat/>
    <w:uiPriority w:val="0"/>
    <w:pPr>
      <w:widowControl/>
    </w:pPr>
    <w:rPr>
      <w:kern w:val="0"/>
      <w:szCs w:val="20"/>
    </w:rPr>
  </w:style>
  <w:style w:type="paragraph" w:customStyle="1" w:styleId="64">
    <w:name w:val="Body text|1"/>
    <w:basedOn w:val="1"/>
    <w:qFormat/>
    <w:uiPriority w:val="0"/>
    <w:pPr>
      <w:spacing w:line="350" w:lineRule="auto"/>
      <w:ind w:firstLine="400"/>
      <w:jc w:val="left"/>
    </w:pPr>
    <w:rPr>
      <w:rFonts w:ascii="宋体" w:hAnsi="宋体" w:cs="宋体"/>
      <w:kern w:val="0"/>
      <w:sz w:val="30"/>
      <w:szCs w:val="30"/>
    </w:rPr>
  </w:style>
  <w:style w:type="paragraph" w:customStyle="1" w:styleId="65">
    <w:name w:val="p17"/>
    <w:basedOn w:val="1"/>
    <w:qFormat/>
    <w:uiPriority w:val="0"/>
    <w:pPr>
      <w:widowControl/>
    </w:pPr>
    <w:rPr>
      <w:rFonts w:ascii="宋体" w:hAnsi="宋体" w:cs="宋体"/>
      <w:kern w:val="0"/>
      <w:szCs w:val="21"/>
    </w:rPr>
  </w:style>
  <w:style w:type="paragraph" w:customStyle="1" w:styleId="66">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7">
    <w:name w:val="正文_0"/>
    <w:qFormat/>
    <w:uiPriority w:val="0"/>
    <w:pPr>
      <w:widowControl w:val="0"/>
      <w:tabs>
        <w:tab w:val="left" w:pos="480"/>
      </w:tabs>
      <w:spacing w:line="360" w:lineRule="auto"/>
      <w:jc w:val="both"/>
    </w:pPr>
    <w:rPr>
      <w:rFonts w:ascii="Times New Roman" w:hAnsi="Times New Roman" w:eastAsia="宋体" w:cs="Times New Roman"/>
      <w:kern w:val="2"/>
      <w:sz w:val="24"/>
      <w:szCs w:val="22"/>
      <w:lang w:val="en-US" w:eastAsia="zh-CN" w:bidi="ar-SA"/>
    </w:rPr>
  </w:style>
  <w:style w:type="paragraph" w:customStyle="1" w:styleId="68">
    <w:name w:val="xl72"/>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69">
    <w:name w:val="Table Paragraph"/>
    <w:basedOn w:val="1"/>
    <w:qFormat/>
    <w:uiPriority w:val="1"/>
  </w:style>
  <w:style w:type="paragraph" w:customStyle="1" w:styleId="70">
    <w:name w:val="Body text|3"/>
    <w:basedOn w:val="1"/>
    <w:qFormat/>
    <w:uiPriority w:val="0"/>
    <w:pPr>
      <w:spacing w:after="460"/>
      <w:jc w:val="center"/>
    </w:pPr>
    <w:rPr>
      <w:rFonts w:ascii="宋体" w:hAnsi="宋体" w:cs="宋体"/>
      <w:kern w:val="0"/>
      <w:sz w:val="34"/>
      <w:szCs w:val="34"/>
    </w:rPr>
  </w:style>
  <w:style w:type="paragraph" w:customStyle="1" w:styleId="71">
    <w:name w:val="xl85"/>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7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7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75">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6">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7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78">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79">
    <w:name w:val="CM15"/>
    <w:basedOn w:val="57"/>
    <w:next w:val="57"/>
    <w:qFormat/>
    <w:uiPriority w:val="0"/>
    <w:pPr>
      <w:spacing w:line="468" w:lineRule="atLeast"/>
    </w:pPr>
    <w:rPr>
      <w:rFonts w:ascii="Sim Sun" w:eastAsia="Sim Sun" w:cs="Times New Roman"/>
      <w:color w:val="auto"/>
    </w:rPr>
  </w:style>
  <w:style w:type="paragraph" w:customStyle="1" w:styleId="80">
    <w:name w:val="1"/>
    <w:basedOn w:val="1"/>
    <w:next w:val="21"/>
    <w:qFormat/>
    <w:uiPriority w:val="0"/>
    <w:rPr>
      <w:rFonts w:ascii="宋体" w:hAnsi="Courier New"/>
      <w:szCs w:val="20"/>
    </w:rPr>
  </w:style>
  <w:style w:type="paragraph" w:customStyle="1" w:styleId="81">
    <w:name w:val="_Style 36"/>
    <w:basedOn w:val="1"/>
    <w:qFormat/>
    <w:uiPriority w:val="0"/>
    <w:rPr>
      <w:rFonts w:ascii="Tahoma" w:hAnsi="Tahoma"/>
      <w:sz w:val="24"/>
      <w:szCs w:val="20"/>
    </w:rPr>
  </w:style>
  <w:style w:type="paragraph" w:customStyle="1" w:styleId="82">
    <w:name w:val="普通(网站)1"/>
    <w:basedOn w:val="1"/>
    <w:qFormat/>
    <w:uiPriority w:val="0"/>
    <w:pPr>
      <w:jc w:val="left"/>
    </w:pPr>
    <w:rPr>
      <w:kern w:val="0"/>
      <w:sz w:val="24"/>
    </w:rPr>
  </w:style>
  <w:style w:type="paragraph" w:customStyle="1" w:styleId="83">
    <w:name w:val="列出段落1"/>
    <w:basedOn w:val="1"/>
    <w:qFormat/>
    <w:uiPriority w:val="0"/>
    <w:pPr>
      <w:ind w:firstLine="420" w:firstLineChars="200"/>
    </w:pPr>
    <w:rPr>
      <w:rFonts w:ascii="仿宋_GB2312" w:eastAsia="仿宋_GB2312"/>
      <w:sz w:val="32"/>
    </w:rPr>
  </w:style>
  <w:style w:type="paragraph" w:customStyle="1" w:styleId="84">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样式1"/>
    <w:basedOn w:val="1"/>
    <w:qFormat/>
    <w:uiPriority w:val="0"/>
    <w:pPr>
      <w:widowControl/>
      <w:jc w:val="left"/>
    </w:pPr>
    <w:rPr>
      <w:rFonts w:ascii="宋体" w:hAnsi="宋体"/>
      <w:kern w:val="0"/>
      <w:szCs w:val="21"/>
    </w:rPr>
  </w:style>
  <w:style w:type="paragraph" w:customStyle="1" w:styleId="86">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7">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8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89">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首行缩进"/>
    <w:basedOn w:val="1"/>
    <w:qFormat/>
    <w:uiPriority w:val="0"/>
    <w:pPr>
      <w:ind w:firstLine="480" w:firstLineChars="200"/>
    </w:p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2">
    <w:name w:val="xl87"/>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3">
    <w:name w:val="xl89"/>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4">
    <w:name w:val="xl88"/>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5">
    <w:name w:val="xl78"/>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96">
    <w:name w:val="Char Char8"/>
    <w:basedOn w:val="1"/>
    <w:qFormat/>
    <w:uiPriority w:val="0"/>
    <w:rPr>
      <w:rFonts w:ascii="Tahoma" w:hAnsi="Tahoma" w:eastAsia="Times New Roman"/>
      <w:kern w:val="0"/>
      <w:sz w:val="24"/>
      <w:szCs w:val="20"/>
    </w:rPr>
  </w:style>
  <w:style w:type="paragraph" w:customStyle="1" w:styleId="97">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00">
    <w:name w:val="CM14"/>
    <w:basedOn w:val="57"/>
    <w:next w:val="57"/>
    <w:qFormat/>
    <w:uiPriority w:val="0"/>
    <w:pPr>
      <w:spacing w:line="468" w:lineRule="atLeast"/>
    </w:pPr>
    <w:rPr>
      <w:rFonts w:ascii="Sim Sun" w:eastAsia="Sim Sun" w:cs="Times New Roman"/>
      <w:color w:val="auto"/>
    </w:rPr>
  </w:style>
  <w:style w:type="paragraph" w:customStyle="1" w:styleId="101">
    <w:name w:val="正文_0_0"/>
    <w:qFormat/>
    <w:uiPriority w:val="0"/>
    <w:pPr>
      <w:widowControl w:val="0"/>
      <w:spacing w:line="360" w:lineRule="auto"/>
      <w:ind w:firstLine="480" w:firstLineChars="200"/>
      <w:jc w:val="both"/>
    </w:pPr>
    <w:rPr>
      <w:rFonts w:ascii="宋体" w:hAnsi="宋体" w:eastAsia="宋体" w:cs="Times New Roman"/>
      <w:color w:val="000000"/>
      <w:kern w:val="2"/>
      <w:sz w:val="24"/>
      <w:szCs w:val="24"/>
      <w:lang w:val="en-US" w:eastAsia="zh-CN" w:bidi="ar-SA"/>
    </w:rPr>
  </w:style>
  <w:style w:type="paragraph" w:customStyle="1" w:styleId="102">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03">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4">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05">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7">
    <w:name w:val="xl8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08">
    <w:name w:val="Char Char2 Char Char"/>
    <w:basedOn w:val="1"/>
    <w:qFormat/>
    <w:uiPriority w:val="0"/>
    <w:rPr>
      <w:rFonts w:ascii="Tahoma" w:hAnsi="Tahoma"/>
      <w:sz w:val="24"/>
      <w:szCs w:val="20"/>
    </w:rPr>
  </w:style>
  <w:style w:type="paragraph" w:customStyle="1" w:styleId="109">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0">
    <w:name w:val="Char"/>
    <w:basedOn w:val="1"/>
    <w:qFormat/>
    <w:uiPriority w:val="0"/>
    <w:pPr>
      <w:widowControl/>
      <w:adjustRightInd w:val="0"/>
      <w:snapToGrid w:val="0"/>
      <w:spacing w:after="160" w:line="240" w:lineRule="exact"/>
      <w:jc w:val="left"/>
    </w:pPr>
    <w:rPr>
      <w:szCs w:val="20"/>
    </w:rPr>
  </w:style>
  <w:style w:type="paragraph" w:customStyle="1" w:styleId="111">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2">
    <w:name w:val="BodyText"/>
    <w:basedOn w:val="1"/>
    <w:next w:val="1"/>
    <w:qFormat/>
    <w:uiPriority w:val="0"/>
    <w:pPr>
      <w:textAlignment w:val="baseline"/>
    </w:pPr>
    <w:rPr>
      <w:rFonts w:ascii="宋体" w:hAnsi="宋体"/>
      <w:sz w:val="24"/>
    </w:rPr>
  </w:style>
  <w:style w:type="paragraph" w:customStyle="1" w:styleId="113">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4">
    <w:name w:val="正文呀2"/>
    <w:basedOn w:val="115"/>
    <w:qFormat/>
    <w:uiPriority w:val="0"/>
    <w:rPr>
      <w:rFonts w:ascii="Times New Roman" w:hAnsi="Times New Roman"/>
    </w:rPr>
  </w:style>
  <w:style w:type="paragraph" w:customStyle="1" w:styleId="115">
    <w:name w:val="正文呀"/>
    <w:basedOn w:val="1"/>
    <w:qFormat/>
    <w:uiPriority w:val="0"/>
    <w:pPr>
      <w:spacing w:line="420" w:lineRule="exact"/>
      <w:ind w:firstLine="420" w:firstLineChars="200"/>
    </w:pPr>
    <w:rPr>
      <w:rFonts w:ascii="宋体" w:hAnsi="宋体"/>
    </w:rPr>
  </w:style>
  <w:style w:type="paragraph" w:customStyle="1" w:styleId="116">
    <w:name w:val="_Style 2"/>
    <w:next w:val="1"/>
    <w:qFormat/>
    <w:uiPriority w:val="1"/>
    <w:rPr>
      <w:rFonts w:ascii="Times New Roman" w:hAnsi="Times New Roman" w:eastAsia="宋体" w:cs="Times New Roman"/>
      <w:sz w:val="22"/>
      <w:szCs w:val="22"/>
      <w:lang w:val="en-US" w:eastAsia="zh-CN" w:bidi="ar-SA"/>
    </w:rPr>
  </w:style>
  <w:style w:type="paragraph" w:customStyle="1" w:styleId="117">
    <w:name w:val="_Style 5"/>
    <w:qFormat/>
    <w:uiPriority w:val="1"/>
    <w:rPr>
      <w:rFonts w:ascii="Times New Roman" w:hAnsi="Times New Roman" w:eastAsia="宋体" w:cs="Times New Roman"/>
      <w:sz w:val="22"/>
      <w:szCs w:val="22"/>
      <w:lang w:val="en-US" w:eastAsia="zh-CN" w:bidi="ar-SA"/>
    </w:rPr>
  </w:style>
  <w:style w:type="paragraph" w:customStyle="1" w:styleId="118">
    <w:name w:val="无间隔"/>
    <w:qFormat/>
    <w:uiPriority w:val="0"/>
    <w:pPr>
      <w:widowControl w:val="0"/>
      <w:suppressAutoHyphens/>
      <w:jc w:val="both"/>
    </w:pPr>
    <w:rPr>
      <w:rFonts w:ascii="Times New Roman" w:hAnsi="Times New Roman" w:eastAsia="宋体" w:cs="Times New Roman"/>
      <w:kern w:val="2"/>
      <w:sz w:val="21"/>
      <w:szCs w:val="24"/>
      <w:lang w:val="en-US" w:eastAsia="zh-CN" w:bidi="ar-SA"/>
    </w:rPr>
  </w:style>
  <w:style w:type="paragraph" w:customStyle="1" w:styleId="119">
    <w:name w:val="正文_2"/>
    <w:qFormat/>
    <w:uiPriority w:val="0"/>
    <w:pPr>
      <w:widowControl w:val="0"/>
      <w:suppressAutoHyphens/>
      <w:jc w:val="both"/>
    </w:pPr>
    <w:rPr>
      <w:rFonts w:ascii="Times New Roman" w:hAnsi="Times New Roman" w:eastAsia="宋体" w:cs="Times New Roman"/>
      <w:kern w:val="2"/>
      <w:sz w:val="21"/>
      <w:szCs w:val="22"/>
      <w:lang w:val="en-US" w:eastAsia="zh-CN" w:bidi="ar-SA"/>
    </w:rPr>
  </w:style>
  <w:style w:type="paragraph" w:customStyle="1" w:styleId="120">
    <w:name w:val="正文_1_0"/>
    <w:qFormat/>
    <w:uiPriority w:val="0"/>
    <w:pPr>
      <w:widowControl w:val="0"/>
      <w:suppressAutoHyphens/>
      <w:jc w:val="both"/>
    </w:pPr>
    <w:rPr>
      <w:rFonts w:ascii="Times New Roman" w:hAnsi="Times New Roman" w:eastAsia="宋体" w:cs="Times New Roman"/>
      <w:kern w:val="2"/>
      <w:sz w:val="21"/>
      <w:lang w:val="en-US" w:eastAsia="zh-CN" w:bidi="ar-SA"/>
    </w:rPr>
  </w:style>
  <w:style w:type="paragraph" w:customStyle="1" w:styleId="121">
    <w:name w:val="正文_3"/>
    <w:qFormat/>
    <w:uiPriority w:val="0"/>
    <w:pPr>
      <w:widowControl w:val="0"/>
      <w:suppressAutoHyphens/>
      <w:jc w:val="both"/>
    </w:pPr>
    <w:rPr>
      <w:rFonts w:ascii="Calibri" w:hAnsi="Calibri" w:eastAsia="宋体" w:cs="Times New Roman"/>
      <w:kern w:val="2"/>
      <w:sz w:val="21"/>
      <w:szCs w:val="22"/>
      <w:lang w:val="en-US" w:eastAsia="zh-CN" w:bidi="ar-SA"/>
    </w:rPr>
  </w:style>
  <w:style w:type="paragraph" w:customStyle="1" w:styleId="122">
    <w:name w:val="TOC1"/>
    <w:basedOn w:val="1"/>
    <w:next w:val="1"/>
    <w:qFormat/>
    <w:uiPriority w:val="0"/>
    <w:pPr>
      <w:jc w:val="both"/>
      <w:textAlignment w:val="baseline"/>
    </w:pPr>
    <w:rPr>
      <w:rFonts w:ascii="Calibri" w:hAnsi="Calibri" w:eastAsia="宋体"/>
      <w:kern w:val="2"/>
      <w:sz w:val="21"/>
      <w:szCs w:val="22"/>
      <w:lang w:val="en-US" w:eastAsia="zh-CN" w:bidi="ar-SA"/>
    </w:rPr>
  </w:style>
  <w:style w:type="paragraph" w:customStyle="1" w:styleId="123">
    <w:name w:val="Table of contents|1"/>
    <w:basedOn w:val="1"/>
    <w:qFormat/>
    <w:uiPriority w:val="0"/>
    <w:pPr>
      <w:widowControl w:val="0"/>
      <w:shd w:val="clear" w:color="auto" w:fill="auto"/>
      <w:spacing w:line="474" w:lineRule="exact"/>
      <w:ind w:firstLine="500"/>
    </w:pPr>
    <w:rPr>
      <w:rFonts w:ascii="宋体" w:hAnsi="宋体" w:eastAsia="宋体" w:cs="宋体"/>
      <w:sz w:val="22"/>
      <w:szCs w:val="22"/>
      <w:u w:val="none"/>
      <w:shd w:val="clear" w:color="auto" w:fill="auto"/>
      <w:lang w:val="zh-TW" w:eastAsia="zh-TW" w:bidi="zh-TW"/>
    </w:rPr>
  </w:style>
  <w:style w:type="character" w:customStyle="1" w:styleId="124">
    <w:name w:val="标题 6 Char"/>
    <w:link w:val="8"/>
    <w:qFormat/>
    <w:uiPriority w:val="0"/>
    <w:rPr>
      <w:rFonts w:ascii="Arial" w:hAnsi="Arial" w:eastAsia="黑体"/>
      <w:b/>
      <w:bCs/>
      <w:kern w:val="2"/>
      <w:sz w:val="24"/>
      <w:szCs w:val="24"/>
      <w:lang w:val="en-US" w:eastAsia="zh-CN" w:bidi="ar-SA"/>
    </w:rPr>
  </w:style>
  <w:style w:type="character" w:customStyle="1" w:styleId="125">
    <w:name w:val="正文缩进 Char"/>
    <w:link w:val="5"/>
    <w:qFormat/>
    <w:locked/>
    <w:uiPriority w:val="0"/>
    <w:rPr>
      <w:rFonts w:eastAsia="宋体"/>
      <w:kern w:val="2"/>
      <w:sz w:val="21"/>
      <w:lang w:val="en-US" w:eastAsia="zh-CN" w:bidi="ar-SA"/>
    </w:rPr>
  </w:style>
  <w:style w:type="character" w:customStyle="1" w:styleId="126">
    <w:name w:val="文档结构图 Char"/>
    <w:link w:val="12"/>
    <w:qFormat/>
    <w:uiPriority w:val="0"/>
    <w:rPr>
      <w:rFonts w:ascii="宋体" w:hAnsi="Tahoma"/>
      <w:kern w:val="2"/>
      <w:sz w:val="18"/>
      <w:szCs w:val="18"/>
    </w:rPr>
  </w:style>
  <w:style w:type="character" w:customStyle="1" w:styleId="127">
    <w:name w:val="批注文字 Char"/>
    <w:link w:val="14"/>
    <w:qFormat/>
    <w:uiPriority w:val="0"/>
    <w:rPr>
      <w:rFonts w:eastAsia="宋体"/>
      <w:kern w:val="2"/>
      <w:sz w:val="21"/>
      <w:szCs w:val="24"/>
      <w:lang w:val="en-US" w:eastAsia="zh-CN" w:bidi="ar-SA"/>
    </w:rPr>
  </w:style>
  <w:style w:type="character" w:customStyle="1" w:styleId="128">
    <w:name w:val="正文文本缩进 Char1"/>
    <w:link w:val="17"/>
    <w:qFormat/>
    <w:uiPriority w:val="0"/>
    <w:rPr>
      <w:rFonts w:ascii="Tahoma" w:hAnsi="Tahoma"/>
      <w:kern w:val="2"/>
      <w:sz w:val="21"/>
      <w:szCs w:val="24"/>
    </w:rPr>
  </w:style>
  <w:style w:type="character" w:customStyle="1" w:styleId="129">
    <w:name w:val="纯文本 Char1"/>
    <w:link w:val="21"/>
    <w:qFormat/>
    <w:uiPriority w:val="0"/>
    <w:rPr>
      <w:rFonts w:ascii="宋体" w:hAnsi="Courier New" w:eastAsia="宋体"/>
      <w:kern w:val="2"/>
      <w:sz w:val="21"/>
      <w:szCs w:val="20"/>
      <w:lang w:val="en-US" w:eastAsia="zh-CN" w:bidi="ar-SA"/>
    </w:rPr>
  </w:style>
  <w:style w:type="character" w:customStyle="1" w:styleId="130">
    <w:name w:val="页脚 Char"/>
    <w:link w:val="25"/>
    <w:qFormat/>
    <w:uiPriority w:val="99"/>
    <w:rPr>
      <w:rFonts w:ascii="Tahoma" w:hAnsi="Tahoma"/>
      <w:kern w:val="2"/>
      <w:sz w:val="18"/>
      <w:szCs w:val="18"/>
    </w:rPr>
  </w:style>
  <w:style w:type="character" w:customStyle="1" w:styleId="131">
    <w:name w:val="页眉 Char"/>
    <w:link w:val="26"/>
    <w:qFormat/>
    <w:uiPriority w:val="99"/>
    <w:rPr>
      <w:rFonts w:ascii="Tahoma" w:hAnsi="Tahoma"/>
      <w:kern w:val="2"/>
      <w:sz w:val="18"/>
      <w:szCs w:val="18"/>
    </w:rPr>
  </w:style>
  <w:style w:type="character" w:customStyle="1" w:styleId="132">
    <w:name w:val="未处理的提及1"/>
    <w:unhideWhenUsed/>
    <w:qFormat/>
    <w:uiPriority w:val="99"/>
    <w:rPr>
      <w:rFonts w:ascii="Tahoma" w:hAnsi="Tahoma"/>
      <w:color w:val="808080"/>
      <w:sz w:val="24"/>
      <w:szCs w:val="20"/>
      <w:shd w:val="clear" w:color="auto" w:fill="E6E6E6"/>
    </w:rPr>
  </w:style>
  <w:style w:type="character" w:customStyle="1" w:styleId="133">
    <w:name w:val="qxdate"/>
    <w:qFormat/>
    <w:uiPriority w:val="0"/>
    <w:rPr>
      <w:color w:val="333333"/>
      <w:sz w:val="18"/>
      <w:szCs w:val="18"/>
    </w:rPr>
  </w:style>
  <w:style w:type="character" w:customStyle="1" w:styleId="134">
    <w:name w:val="font21"/>
    <w:qFormat/>
    <w:uiPriority w:val="0"/>
    <w:rPr>
      <w:rFonts w:hint="eastAsia" w:ascii="宋体" w:hAnsi="宋体" w:eastAsia="宋体" w:cs="宋体"/>
      <w:color w:val="000000"/>
      <w:sz w:val="22"/>
      <w:szCs w:val="22"/>
      <w:u w:val="none"/>
    </w:rPr>
  </w:style>
  <w:style w:type="character" w:customStyle="1" w:styleId="135">
    <w:name w:val="font122"/>
    <w:qFormat/>
    <w:uiPriority w:val="0"/>
    <w:rPr>
      <w:rFonts w:hint="eastAsia" w:ascii="宋体" w:hAnsi="宋体" w:eastAsia="宋体" w:cs="宋体"/>
      <w:color w:val="FF0000"/>
      <w:sz w:val="20"/>
      <w:szCs w:val="20"/>
      <w:u w:val="none"/>
    </w:rPr>
  </w:style>
  <w:style w:type="character" w:customStyle="1" w:styleId="136">
    <w:name w:val="纯文本 字符2"/>
    <w:qFormat/>
    <w:uiPriority w:val="0"/>
    <w:rPr>
      <w:rFonts w:ascii="宋体" w:hAnsi="Courier New" w:eastAsia="宋体"/>
      <w:kern w:val="2"/>
      <w:sz w:val="21"/>
      <w:lang w:val="en-US" w:eastAsia="zh-CN" w:bidi="ar-SA"/>
    </w:rPr>
  </w:style>
  <w:style w:type="character" w:customStyle="1" w:styleId="137">
    <w:name w:val="main12"/>
    <w:qFormat/>
    <w:uiPriority w:val="0"/>
    <w:rPr>
      <w:rFonts w:ascii="Arial" w:hAnsi="Arial" w:cs="Arial"/>
      <w:color w:val="000000"/>
      <w:sz w:val="18"/>
      <w:szCs w:val="18"/>
    </w:rPr>
  </w:style>
  <w:style w:type="character" w:customStyle="1" w:styleId="138">
    <w:name w:val="Char Char10"/>
    <w:qFormat/>
    <w:locked/>
    <w:uiPriority w:val="0"/>
    <w:rPr>
      <w:rFonts w:ascii="宋体" w:hAnsi="宋体" w:eastAsia="宋体"/>
      <w:kern w:val="2"/>
      <w:sz w:val="21"/>
      <w:szCs w:val="24"/>
      <w:lang w:val="en-US" w:eastAsia="zh-CN" w:bidi="ar-SA"/>
    </w:rPr>
  </w:style>
  <w:style w:type="character" w:customStyle="1" w:styleId="139">
    <w:name w:val="font61"/>
    <w:qFormat/>
    <w:uiPriority w:val="0"/>
    <w:rPr>
      <w:rFonts w:hint="eastAsia" w:ascii="宋体" w:hAnsi="宋体" w:eastAsia="宋体" w:cs="宋体"/>
      <w:color w:val="000000"/>
      <w:sz w:val="21"/>
      <w:szCs w:val="21"/>
      <w:u w:val="none"/>
    </w:rPr>
  </w:style>
  <w:style w:type="character" w:customStyle="1" w:styleId="140">
    <w:name w:val="无"/>
    <w:qFormat/>
    <w:uiPriority w:val="0"/>
  </w:style>
  <w:style w:type="character" w:customStyle="1" w:styleId="141">
    <w:name w:val="cfdate"/>
    <w:qFormat/>
    <w:uiPriority w:val="0"/>
    <w:rPr>
      <w:color w:val="333333"/>
      <w:sz w:val="18"/>
      <w:szCs w:val="18"/>
    </w:rPr>
  </w:style>
  <w:style w:type="character" w:customStyle="1" w:styleId="142">
    <w:name w:val="正文文本缩进 Char"/>
    <w:qFormat/>
    <w:uiPriority w:val="0"/>
    <w:rPr>
      <w:rFonts w:ascii="Times New Roman" w:hAnsi="Times New Roman" w:eastAsia="宋体" w:cs="Times New Roman"/>
      <w:kern w:val="2"/>
      <w:sz w:val="21"/>
      <w:szCs w:val="24"/>
    </w:rPr>
  </w:style>
  <w:style w:type="character" w:customStyle="1" w:styleId="143">
    <w:name w:val="正文缩进 Char1"/>
    <w:qFormat/>
    <w:locked/>
    <w:uiPriority w:val="0"/>
    <w:rPr>
      <w:rFonts w:eastAsia="宋体"/>
      <w:kern w:val="2"/>
      <w:sz w:val="21"/>
      <w:lang w:val="en-US" w:eastAsia="zh-CN" w:bidi="ar-SA"/>
    </w:rPr>
  </w:style>
  <w:style w:type="character" w:customStyle="1" w:styleId="144">
    <w:name w:val="apple-converted-space"/>
    <w:qFormat/>
    <w:uiPriority w:val="0"/>
  </w:style>
  <w:style w:type="character" w:customStyle="1" w:styleId="145">
    <w:name w:val="font31"/>
    <w:qFormat/>
    <w:uiPriority w:val="0"/>
    <w:rPr>
      <w:rFonts w:hint="eastAsia" w:ascii="宋体" w:hAnsi="宋体" w:eastAsia="宋体" w:cs="宋体"/>
      <w:color w:val="000000"/>
      <w:sz w:val="24"/>
      <w:szCs w:val="24"/>
      <w:u w:val="none"/>
    </w:rPr>
  </w:style>
  <w:style w:type="character" w:customStyle="1" w:styleId="146">
    <w:name w:val="font71"/>
    <w:qFormat/>
    <w:uiPriority w:val="0"/>
    <w:rPr>
      <w:rFonts w:hint="default" w:ascii="Times New Roman" w:hAnsi="Times New Roman" w:cs="Times New Roman"/>
      <w:color w:val="000000"/>
      <w:sz w:val="24"/>
      <w:szCs w:val="24"/>
      <w:u w:val="none"/>
    </w:rPr>
  </w:style>
  <w:style w:type="character" w:customStyle="1" w:styleId="147">
    <w:name w:val="纯文本 字符1"/>
    <w:qFormat/>
    <w:uiPriority w:val="0"/>
    <w:rPr>
      <w:rFonts w:ascii="Ђˎ̥" w:hAnsi="Verdana" w:eastAsia="Ђˎ̥" w:cs="Verdana"/>
      <w:szCs w:val="21"/>
    </w:rPr>
  </w:style>
  <w:style w:type="character" w:customStyle="1" w:styleId="148">
    <w:name w:val="列出段落 Char"/>
    <w:qFormat/>
    <w:locked/>
    <w:uiPriority w:val="34"/>
    <w:rPr>
      <w:rFonts w:ascii="Times New Roman" w:hAnsi="Times New Roman" w:eastAsia="宋体" w:cs="Times New Roman"/>
      <w:kern w:val="0"/>
      <w:sz w:val="24"/>
      <w:szCs w:val="20"/>
    </w:rPr>
  </w:style>
  <w:style w:type="character" w:customStyle="1" w:styleId="149">
    <w:name w:val="页脚 字符"/>
    <w:qFormat/>
    <w:uiPriority w:val="99"/>
  </w:style>
  <w:style w:type="character" w:customStyle="1" w:styleId="150">
    <w:name w:val="纯文本 字符"/>
    <w:qFormat/>
    <w:uiPriority w:val="0"/>
    <w:rPr>
      <w:rFonts w:ascii="宋体" w:hAnsi="Courier New" w:eastAsia="宋体" w:cs="Courier New"/>
      <w:szCs w:val="21"/>
    </w:rPr>
  </w:style>
  <w:style w:type="character" w:customStyle="1" w:styleId="151">
    <w:name w:val="fontstyle01"/>
    <w:qFormat/>
    <w:uiPriority w:val="0"/>
    <w:rPr>
      <w:rFonts w:hint="eastAsia" w:ascii="宋体" w:hAnsi="宋体" w:eastAsia="宋体"/>
      <w:color w:val="000000"/>
      <w:sz w:val="22"/>
      <w:szCs w:val="22"/>
    </w:rPr>
  </w:style>
  <w:style w:type="character" w:customStyle="1" w:styleId="152">
    <w:name w:val="redfilenumber"/>
    <w:qFormat/>
    <w:uiPriority w:val="0"/>
    <w:rPr>
      <w:color w:val="BA2636"/>
      <w:sz w:val="18"/>
      <w:szCs w:val="18"/>
    </w:rPr>
  </w:style>
  <w:style w:type="character" w:customStyle="1" w:styleId="153">
    <w:name w:val="gjfg"/>
    <w:qFormat/>
    <w:uiPriority w:val="0"/>
  </w:style>
  <w:style w:type="character" w:customStyle="1" w:styleId="154">
    <w:name w:val="纯文本 Char"/>
    <w:qFormat/>
    <w:uiPriority w:val="99"/>
    <w:rPr>
      <w:rFonts w:ascii="宋体" w:hAnsi="Courier New" w:eastAsia="宋体"/>
    </w:rPr>
  </w:style>
  <w:style w:type="character" w:customStyle="1" w:styleId="155">
    <w:name w:val="displayarti"/>
    <w:qFormat/>
    <w:uiPriority w:val="0"/>
    <w:rPr>
      <w:color w:val="FFFFFF"/>
      <w:shd w:val="clear" w:color="auto" w:fill="A00000"/>
    </w:rPr>
  </w:style>
  <w:style w:type="character" w:customStyle="1" w:styleId="156">
    <w:name w:val="Char Char1"/>
    <w:qFormat/>
    <w:uiPriority w:val="0"/>
    <w:rPr>
      <w:rFonts w:eastAsia="宋体"/>
      <w:kern w:val="2"/>
      <w:sz w:val="21"/>
      <w:szCs w:val="24"/>
      <w:lang w:val="en-US" w:eastAsia="zh-CN" w:bidi="ar-SA"/>
    </w:rPr>
  </w:style>
  <w:style w:type="character" w:customStyle="1" w:styleId="157">
    <w:name w:val="font01"/>
    <w:qFormat/>
    <w:uiPriority w:val="0"/>
    <w:rPr>
      <w:rFonts w:hint="eastAsia" w:ascii="宋体" w:hAnsi="宋体" w:eastAsia="宋体" w:cs="宋体"/>
      <w:color w:val="000000"/>
      <w:sz w:val="22"/>
      <w:szCs w:val="22"/>
      <w:u w:val="none"/>
    </w:rPr>
  </w:style>
  <w:style w:type="character" w:customStyle="1" w:styleId="158">
    <w:name w:val="列出段落 Char1"/>
    <w:link w:val="60"/>
    <w:qFormat/>
    <w:locked/>
    <w:uiPriority w:val="0"/>
    <w:rPr>
      <w:kern w:val="2"/>
      <w:sz w:val="21"/>
      <w:szCs w:val="24"/>
    </w:rPr>
  </w:style>
  <w:style w:type="character" w:customStyle="1" w:styleId="159">
    <w:name w:val="普通文字 Char Char5"/>
    <w:qFormat/>
    <w:uiPriority w:val="0"/>
    <w:rPr>
      <w:rFonts w:ascii="宋体" w:hAnsi="Courier New" w:eastAsia="宋体"/>
      <w:szCs w:val="21"/>
      <w:lang w:bidi="ar-SA"/>
    </w:rPr>
  </w:style>
  <w:style w:type="character" w:customStyle="1" w:styleId="160">
    <w:name w:val="标题 Char"/>
    <w:qFormat/>
    <w:uiPriority w:val="10"/>
    <w:rPr>
      <w:rFonts w:ascii="Calibri Light" w:hAnsi="Calibri Light" w:cs="Times New Roman"/>
      <w:b/>
      <w:bCs/>
      <w:kern w:val="2"/>
      <w:sz w:val="32"/>
      <w:szCs w:val="32"/>
    </w:rPr>
  </w:style>
  <w:style w:type="character" w:customStyle="1" w:styleId="161">
    <w:name w:val="font131"/>
    <w:qFormat/>
    <w:uiPriority w:val="0"/>
    <w:rPr>
      <w:rFonts w:hint="eastAsia" w:ascii="宋体" w:hAnsi="宋体" w:eastAsia="宋体" w:cs="宋体"/>
      <w:b/>
      <w:bCs/>
      <w:color w:val="FF0000"/>
      <w:sz w:val="18"/>
      <w:szCs w:val="18"/>
      <w:u w:val="none"/>
    </w:rPr>
  </w:style>
  <w:style w:type="character" w:customStyle="1" w:styleId="162">
    <w:name w:val="font121"/>
    <w:qFormat/>
    <w:uiPriority w:val="0"/>
    <w:rPr>
      <w:rFonts w:hint="eastAsia" w:ascii="宋体" w:hAnsi="宋体" w:eastAsia="宋体" w:cs="宋体"/>
      <w:b/>
      <w:color w:val="000000"/>
      <w:sz w:val="22"/>
      <w:szCs w:val="22"/>
      <w:u w:val="none"/>
    </w:rPr>
  </w:style>
  <w:style w:type="character" w:customStyle="1" w:styleId="163">
    <w:name w:val="redfilefwwh"/>
    <w:qFormat/>
    <w:uiPriority w:val="0"/>
    <w:rPr>
      <w:color w:val="BA2636"/>
      <w:sz w:val="18"/>
      <w:szCs w:val="18"/>
    </w:rPr>
  </w:style>
  <w:style w:type="character" w:customStyle="1" w:styleId="164">
    <w:name w:val="font41"/>
    <w:qFormat/>
    <w:uiPriority w:val="0"/>
    <w:rPr>
      <w:rFonts w:hint="eastAsia" w:ascii="宋体" w:hAnsi="宋体" w:eastAsia="宋体" w:cs="宋体"/>
      <w:color w:val="000000"/>
      <w:sz w:val="22"/>
      <w:szCs w:val="22"/>
      <w:u w:val="none"/>
    </w:rPr>
  </w:style>
  <w:style w:type="character" w:customStyle="1" w:styleId="165">
    <w:name w:val="c-icon30"/>
    <w:qFormat/>
    <w:uiPriority w:val="0"/>
  </w:style>
  <w:style w:type="character" w:customStyle="1" w:styleId="166">
    <w:name w:val="hover24"/>
    <w:qFormat/>
    <w:uiPriority w:val="0"/>
  </w:style>
  <w:style w:type="character" w:customStyle="1" w:styleId="167">
    <w:name w:val="hover25"/>
    <w:qFormat/>
    <w:uiPriority w:val="0"/>
    <w:rPr>
      <w:color w:val="315EFB"/>
    </w:rPr>
  </w:style>
  <w:style w:type="character" w:customStyle="1" w:styleId="168">
    <w:name w:val="hover26"/>
    <w:qFormat/>
    <w:uiPriority w:val="0"/>
    <w:rPr>
      <w:color w:val="315EFB"/>
    </w:rPr>
  </w:style>
  <w:style w:type="character" w:customStyle="1" w:styleId="169">
    <w:name w:val="hover27"/>
    <w:qFormat/>
    <w:uiPriority w:val="0"/>
    <w:rPr>
      <w:color w:val="315EFB"/>
      <w:shd w:val="clear" w:color="auto" w:fill="F0F3FD"/>
    </w:rPr>
  </w:style>
  <w:style w:type="character" w:customStyle="1" w:styleId="170">
    <w:name w:val="font11"/>
    <w:qFormat/>
    <w:uiPriority w:val="0"/>
    <w:rPr>
      <w:rFonts w:hint="eastAsia" w:ascii="宋体" w:hAnsi="宋体" w:eastAsia="宋体" w:cs="宋体"/>
      <w:color w:val="000000"/>
      <w:sz w:val="21"/>
      <w:szCs w:val="21"/>
      <w:u w:val="none"/>
    </w:rPr>
  </w:style>
  <w:style w:type="character" w:customStyle="1" w:styleId="171">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30766</Words>
  <Characters>32956</Characters>
  <Lines>252</Lines>
  <Paragraphs>71</Paragraphs>
  <TotalTime>84</TotalTime>
  <ScaleCrop>false</ScaleCrop>
  <LinksUpToDate>false</LinksUpToDate>
  <CharactersWithSpaces>38067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2022-07-11T08:18:00Z</dcterms:created>
  <dc:creator>微软用户</dc:creator>
  <cp:lastModifiedBy>Administrator</cp:lastModifiedBy>
  <cp:lastPrinted>2023-12-19T01:52:00Z</cp:lastPrinted>
  <dcterms:modified xsi:type="dcterms:W3CDTF">2024-08-12T09:01:11Z</dcterms:modified>
  <dc:title>工程类公开招标文件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492B906EBBC64C29A02AFC128EBEA976_13</vt:lpwstr>
  </property>
</Properties>
</file>