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秀政〔</w:t>
      </w:r>
      <w:r>
        <w:rPr>
          <w:rFonts w:hint="default" w:ascii="Times New Roman" w:hAnsi="Times New Roman" w:eastAsia="仿宋_GB2312" w:cs="Times New Roman"/>
          <w:color w:val="auto"/>
          <w:sz w:val="32"/>
          <w:lang w:val="en-US" w:eastAsia="zh-CN"/>
        </w:rPr>
        <w:t>202</w:t>
      </w:r>
      <w:r>
        <w:rPr>
          <w:rFonts w:hint="eastAsia"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9</w:t>
      </w:r>
      <w:r>
        <w:rPr>
          <w:rFonts w:hint="default" w:ascii="Times New Roman" w:hAnsi="Times New Roman" w:eastAsia="仿宋_GB2312" w:cs="Times New Roman"/>
          <w:color w:val="auto"/>
          <w:sz w:val="32"/>
        </w:rPr>
        <w:t>号</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桂林市秀峰区</w:t>
      </w:r>
      <w:r>
        <w:rPr>
          <w:rFonts w:hint="eastAsia" w:ascii="方正小标宋_GBK" w:hAnsi="方正小标宋_GBK" w:eastAsia="方正小标宋_GBK" w:cs="方正小标宋_GBK"/>
          <w:sz w:val="44"/>
          <w:szCs w:val="44"/>
        </w:rPr>
        <w:t>人民政府关于印发</w:t>
      </w:r>
      <w:r>
        <w:rPr>
          <w:rFonts w:hint="eastAsia" w:ascii="方正小标宋_GBK" w:hAnsi="方正小标宋_GBK" w:eastAsia="方正小标宋_GBK" w:cs="方正小标宋_GBK"/>
          <w:sz w:val="44"/>
          <w:szCs w:val="44"/>
          <w:lang w:eastAsia="zh-CN"/>
        </w:rPr>
        <w:t>桂林市秀峰区</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4"/>
          <w:szCs w:val="44"/>
          <w:lang w:eastAsia="zh-CN"/>
        </w:rPr>
        <w:t>全民</w:t>
      </w:r>
      <w:r>
        <w:rPr>
          <w:rFonts w:hint="eastAsia" w:ascii="方正小标宋_GBK" w:hAnsi="方正小标宋_GBK" w:eastAsia="方正小标宋_GBK" w:cs="方正小标宋_GBK"/>
          <w:sz w:val="44"/>
          <w:szCs w:val="44"/>
        </w:rPr>
        <w:t>健身实施计划（</w:t>
      </w:r>
      <w:r>
        <w:rPr>
          <w:rFonts w:hint="default" w:ascii="Times New Roman" w:hAnsi="Times New Roman" w:eastAsia="方正小标宋_GBK" w:cs="Times New Roman"/>
          <w:sz w:val="44"/>
          <w:szCs w:val="44"/>
        </w:rPr>
        <w:t>2021</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2025</w:t>
      </w:r>
      <w:r>
        <w:rPr>
          <w:rFonts w:hint="eastAsia" w:ascii="方正小标宋_GBK" w:hAnsi="方正小标宋_GBK" w:eastAsia="方正小标宋_GBK" w:cs="方正小标宋_GBK"/>
          <w:sz w:val="44"/>
          <w:szCs w:val="44"/>
        </w:rPr>
        <w:t>年）的通知</w:t>
      </w:r>
      <w:r>
        <w:rPr>
          <w:rFonts w:hint="eastAsia"/>
        </w:rPr>
        <w:br w:type="textWrapping"/>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各</w:t>
      </w:r>
      <w:r>
        <w:rPr>
          <w:rFonts w:hint="eastAsia" w:ascii="楷体_GB2312" w:hAnsi="楷体_GB2312" w:eastAsia="楷体_GB2312" w:cs="楷体_GB2312"/>
          <w:sz w:val="32"/>
          <w:szCs w:val="32"/>
          <w:lang w:eastAsia="zh-CN"/>
        </w:rPr>
        <w:t>街道办事处，区机关各有关部门：</w:t>
      </w:r>
    </w:p>
    <w:p>
      <w:pPr>
        <w:keepNext w:val="0"/>
        <w:keepLines w:val="0"/>
        <w:pageBreakBefore w:val="0"/>
        <w:widowControl w:val="0"/>
        <w:kinsoku/>
        <w:wordWrap/>
        <w:overflowPunct/>
        <w:topLinePunct w:val="0"/>
        <w:autoSpaceDE/>
        <w:autoSpaceDN/>
        <w:bidi w:val="0"/>
        <w:adjustRightInd/>
        <w:snapToGrid/>
        <w:spacing w:line="586" w:lineRule="exact"/>
        <w:ind w:firstLine="640"/>
        <w:textAlignment w:val="auto"/>
        <w:rPr>
          <w:rFonts w:hint="default" w:ascii="Times New Roman" w:hAnsi="Times New Roman" w:eastAsia="楷体_GB2312" w:cs="Times New Roman"/>
          <w:sz w:val="32"/>
          <w:szCs w:val="32"/>
        </w:rPr>
      </w:pPr>
      <w:r>
        <w:rPr>
          <w:rFonts w:hint="eastAsia" w:ascii="楷体_GB2312" w:hAnsi="楷体_GB2312" w:eastAsia="楷体_GB2312" w:cs="楷体_GB2312"/>
          <w:sz w:val="32"/>
          <w:szCs w:val="32"/>
        </w:rPr>
        <w:t>经区政府同意，现将《桂林市秀峰区全民健身实施计划（</w:t>
      </w:r>
      <w:r>
        <w:rPr>
          <w:rFonts w:hint="default" w:ascii="Times New Roman" w:hAnsi="Times New Roman" w:eastAsia="楷体_GB2312" w:cs="Times New Roman"/>
          <w:sz w:val="32"/>
          <w:szCs w:val="32"/>
        </w:rPr>
        <w:t>2021</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楷体_GB2312" w:hAnsi="楷体_GB2312" w:eastAsia="楷体_GB2312" w:cs="楷体_GB2312"/>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2025年</w:t>
      </w:r>
      <w:r>
        <w:rPr>
          <w:rFonts w:hint="eastAsia" w:ascii="楷体_GB2312" w:hAnsi="楷体_GB2312" w:eastAsia="楷体_GB2312" w:cs="楷体_GB2312"/>
          <w:sz w:val="32"/>
          <w:szCs w:val="32"/>
        </w:rPr>
        <w:t>）》印发给你们，请认真贯彻落实。</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lang w:eastAsia="zh-CN"/>
        </w:rPr>
      </w:pPr>
      <w:r>
        <w:rPr>
          <w:rFonts w:hint="eastAsia" w:ascii="楷体_GB2312" w:hAnsi="楷体_GB2312" w:eastAsia="楷体_GB2312" w:cs="楷体_GB2312"/>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楷体_GB2312" w:hAnsi="楷体_GB2312" w:eastAsia="楷体_GB2312" w:cs="楷体_GB2312"/>
          <w:sz w:val="32"/>
          <w:szCs w:val="32"/>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桂林市秀峰</w:t>
      </w:r>
      <w:r>
        <w:rPr>
          <w:rFonts w:hint="eastAsia" w:ascii="楷体_GB2312" w:hAnsi="楷体_GB2312" w:eastAsia="楷体_GB2312" w:cs="楷体_GB2312"/>
          <w:sz w:val="32"/>
          <w:szCs w:val="32"/>
        </w:rPr>
        <w:t>区人民政府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sz w:val="32"/>
          <w:szCs w:val="32"/>
          <w:lang w:eastAsia="zh-CN"/>
        </w:rPr>
        <w:t>　　　　　　　　　　　　</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11</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1</w:t>
      </w:r>
      <w:r>
        <w:rPr>
          <w:rFonts w:hint="default" w:ascii="Times New Roman" w:hAnsi="Times New Roman" w:eastAsia="楷体_GB2312" w:cs="Times New Roman"/>
          <w:sz w:val="32"/>
          <w:szCs w:val="32"/>
        </w:rPr>
        <w:t>日</w:t>
      </w:r>
    </w:p>
    <w:p>
      <w:pPr>
        <w:pStyle w:val="2"/>
        <w:pageBreakBefore w:val="0"/>
        <w:widowControl w:val="0"/>
        <w:kinsoku/>
        <w:wordWrap/>
        <w:overflowPunct/>
        <w:topLinePunct w:val="0"/>
        <w:autoSpaceDE/>
        <w:autoSpaceDN/>
        <w:bidi w:val="0"/>
        <w:adjustRightInd/>
        <w:snapToGrid/>
        <w:spacing w:line="586" w:lineRule="exact"/>
        <w:textAlignment w:val="auto"/>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pStyle w:val="2"/>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桂林市秀峰区</w:t>
      </w:r>
      <w:r>
        <w:rPr>
          <w:rFonts w:hint="default" w:ascii="Times New Roman" w:hAnsi="Times New Roman" w:eastAsia="方正小标宋_GBK" w:cs="Times New Roman"/>
          <w:sz w:val="44"/>
          <w:szCs w:val="44"/>
        </w:rPr>
        <w:t>全民健身实施计划</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（2021—2025年）</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color="auto" w:fill="FFFFFF"/>
        </w:rPr>
        <w:t>为贯彻落实全民健身国家战略，普及全民健身运动，促进全民健身更高水平发展，</w:t>
      </w:r>
      <w:r>
        <w:rPr>
          <w:rFonts w:hint="default" w:ascii="Times New Roman" w:hAnsi="Times New Roman" w:eastAsia="仿宋_GB2312" w:cs="Times New Roman"/>
          <w:i w:val="0"/>
          <w:caps w:val="0"/>
          <w:color w:val="auto"/>
          <w:spacing w:val="0"/>
          <w:sz w:val="32"/>
          <w:szCs w:val="32"/>
          <w:shd w:val="clear" w:color="auto" w:fill="FFFFFF"/>
          <w:lang w:eastAsia="zh-CN"/>
        </w:rPr>
        <w:t>高标准</w:t>
      </w:r>
      <w:r>
        <w:rPr>
          <w:rFonts w:hint="default" w:ascii="Times New Roman" w:hAnsi="Times New Roman" w:eastAsia="仿宋_GB2312" w:cs="Times New Roman"/>
          <w:color w:val="auto"/>
          <w:sz w:val="32"/>
          <w:szCs w:val="32"/>
        </w:rPr>
        <w:t>打造</w:t>
      </w:r>
      <w:r>
        <w:rPr>
          <w:rFonts w:hint="default" w:ascii="Times New Roman" w:hAnsi="Times New Roman" w:eastAsia="仿宋_GB2312" w:cs="Times New Roman"/>
          <w:color w:val="auto"/>
          <w:sz w:val="32"/>
          <w:szCs w:val="32"/>
          <w:lang w:eastAsia="zh-CN"/>
        </w:rPr>
        <w:t>世界级</w:t>
      </w:r>
      <w:r>
        <w:rPr>
          <w:rFonts w:hint="default" w:ascii="Times New Roman" w:hAnsi="Times New Roman" w:eastAsia="仿宋_GB2312" w:cs="Times New Roman"/>
          <w:color w:val="auto"/>
          <w:sz w:val="32"/>
          <w:szCs w:val="32"/>
        </w:rPr>
        <w:t>旅游城</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i w:val="0"/>
          <w:caps w:val="0"/>
          <w:color w:val="auto"/>
          <w:spacing w:val="0"/>
          <w:sz w:val="32"/>
          <w:szCs w:val="32"/>
          <w:shd w:val="clear" w:color="auto" w:fill="FFFFFF"/>
        </w:rPr>
        <w:t>更好满足人民群众的健身和健康需求，根据《国务院关于印发全民健身计划（2021</w:t>
      </w:r>
      <w:r>
        <w:rPr>
          <w:rFonts w:hint="eastAsia"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rPr>
        <w:t>2025年）的通知》（国发〔2021〕11号）</w:t>
      </w:r>
      <w:r>
        <w:rPr>
          <w:rFonts w:hint="default" w:ascii="Times New Roman" w:hAnsi="Times New Roman" w:eastAsia="仿宋_GB2312" w:cs="Times New Roman"/>
          <w:i w:val="0"/>
          <w:caps w:val="0"/>
          <w:color w:val="auto"/>
          <w:spacing w:val="0"/>
          <w:sz w:val="32"/>
          <w:szCs w:val="32"/>
          <w:shd w:val="clear" w:color="auto" w:fill="FFFFFF"/>
          <w:lang w:eastAsia="zh-CN"/>
        </w:rPr>
        <w:t>、《广西壮族自治区人民政府关于印发广西全民健身实施计划（2021</w:t>
      </w:r>
      <w:r>
        <w:rPr>
          <w:rFonts w:hint="eastAsia"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eastAsia="zh-CN"/>
        </w:rPr>
        <w:t>2025年）的通知》（桂政发〔2021〕46号）、《桂林市人民政府关于印发桂林市全民健身实施计划（2021</w:t>
      </w:r>
      <w:r>
        <w:rPr>
          <w:rFonts w:hint="eastAsia"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eastAsia="zh-CN"/>
        </w:rPr>
        <w:t>2025年）的通知》</w:t>
      </w:r>
      <w:r>
        <w:rPr>
          <w:rFonts w:hint="default" w:ascii="Times New Roman" w:hAnsi="Times New Roman" w:eastAsia="仿宋_GB2312" w:cs="Times New Roman"/>
          <w:i w:val="0"/>
          <w:caps w:val="0"/>
          <w:color w:val="auto"/>
          <w:spacing w:val="0"/>
          <w:sz w:val="32"/>
          <w:szCs w:val="32"/>
          <w:shd w:val="clear" w:color="auto" w:fill="FFFFFF"/>
        </w:rPr>
        <w:t>精神，</w:t>
      </w:r>
      <w:r>
        <w:rPr>
          <w:rFonts w:hint="default" w:ascii="Times New Roman" w:hAnsi="Times New Roman" w:eastAsia="仿宋_GB2312" w:cs="Times New Roman"/>
          <w:color w:val="auto"/>
          <w:sz w:val="32"/>
          <w:szCs w:val="32"/>
        </w:rPr>
        <w:t>结合我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实际，制定本实施计划。</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（一）指导思想。</w:t>
      </w:r>
      <w:r>
        <w:rPr>
          <w:rFonts w:hint="eastAsia" w:ascii="仿宋_GB2312" w:hAnsi="仿宋_GB2312" w:eastAsia="仿宋_GB2312" w:cs="仿宋_GB2312"/>
          <w:sz w:val="32"/>
          <w:szCs w:val="32"/>
        </w:rPr>
        <w:t>以习近平新时代中国特色社会主义思想为指导，认真贯彻落实习近平总书记关于体育的重要论述，深入贯彻落实习近平总书记</w:t>
      </w:r>
      <w:r>
        <w:rPr>
          <w:rFonts w:hint="eastAsia" w:ascii="仿宋_GB2312" w:hAnsi="仿宋_GB2312" w:eastAsia="仿宋_GB2312" w:cs="仿宋_GB2312"/>
          <w:sz w:val="32"/>
          <w:szCs w:val="32"/>
          <w:lang w:eastAsia="zh-CN"/>
        </w:rPr>
        <w:t>视察广西“</w:t>
      </w:r>
      <w:r>
        <w:rPr>
          <w:rFonts w:hint="default" w:ascii="Times New Roman" w:hAnsi="Times New Roman" w:eastAsia="仿宋_GB2312" w:cs="Times New Roman"/>
          <w:sz w:val="32"/>
          <w:szCs w:val="32"/>
          <w:lang w:val="en-US" w:eastAsia="zh-CN"/>
        </w:rPr>
        <w:t>4·27</w:t>
      </w:r>
      <w:r>
        <w:rPr>
          <w:rFonts w:hint="eastAsia" w:ascii="仿宋_GB2312" w:hAnsi="仿宋_GB2312" w:eastAsia="仿宋_GB2312" w:cs="仿宋_GB2312"/>
          <w:sz w:val="32"/>
          <w:szCs w:val="32"/>
          <w:lang w:eastAsia="zh-CN"/>
        </w:rPr>
        <w:t>”重要讲话精神和</w:t>
      </w:r>
      <w:r>
        <w:rPr>
          <w:rFonts w:hint="eastAsia" w:ascii="仿宋_GB2312" w:hAnsi="仿宋_GB2312" w:eastAsia="仿宋_GB2312" w:cs="仿宋_GB2312"/>
          <w:sz w:val="32"/>
          <w:szCs w:val="32"/>
        </w:rPr>
        <w:t>对广西工作的系列重要指示要求，全面贯彻党的十九大和十九届历次全会精神</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桂林市第六次党代会精神和市委六届三次全会精神，</w:t>
      </w:r>
      <w:r>
        <w:rPr>
          <w:rFonts w:hint="eastAsia" w:ascii="仿宋_GB2312" w:hAnsi="仿宋_GB2312" w:eastAsia="仿宋_GB2312" w:cs="仿宋_GB2312"/>
          <w:sz w:val="32"/>
          <w:szCs w:val="32"/>
          <w:lang w:eastAsia="zh-CN"/>
        </w:rPr>
        <w:t>全面落实</w:t>
      </w:r>
      <w:r>
        <w:rPr>
          <w:rFonts w:hint="eastAsia" w:ascii="仿宋_GB2312" w:hAnsi="仿宋_GB2312" w:eastAsia="仿宋_GB2312" w:cs="仿宋_GB2312"/>
          <w:sz w:val="32"/>
          <w:szCs w:val="32"/>
        </w:rPr>
        <w:t>桂林市秀峰区第十一次</w:t>
      </w:r>
      <w:r>
        <w:rPr>
          <w:rFonts w:hint="eastAsia" w:ascii="仿宋_GB2312" w:hAnsi="仿宋_GB2312" w:eastAsia="仿宋_GB2312" w:cs="仿宋_GB2312"/>
          <w:sz w:val="32"/>
          <w:szCs w:val="32"/>
          <w:lang w:eastAsia="zh-CN"/>
        </w:rPr>
        <w:t>党代会精神，</w:t>
      </w:r>
      <w:r>
        <w:rPr>
          <w:rFonts w:hint="eastAsia" w:ascii="仿宋_GB2312" w:hAnsi="仿宋_GB2312" w:eastAsia="仿宋_GB2312" w:cs="仿宋_GB2312"/>
          <w:sz w:val="32"/>
          <w:szCs w:val="32"/>
        </w:rPr>
        <w:t>坚定实施“东升西拓、南联北融”发展战略，全面推进秀峰区“经济强区、文旅名区、生态之区、幸福之区”建设</w:t>
      </w:r>
      <w:r>
        <w:rPr>
          <w:rFonts w:hint="eastAsia" w:ascii="仿宋_GB2312" w:hAnsi="仿宋_GB2312" w:eastAsia="仿宋_GB2312" w:cs="仿宋_GB2312"/>
          <w:sz w:val="32"/>
          <w:szCs w:val="32"/>
          <w:lang w:eastAsia="zh-CN"/>
        </w:rPr>
        <w:t>。坚</w:t>
      </w:r>
      <w:r>
        <w:rPr>
          <w:rFonts w:hint="eastAsia" w:ascii="仿宋_GB2312" w:hAnsi="仿宋_GB2312" w:eastAsia="仿宋_GB2312" w:cs="仿宋_GB2312"/>
          <w:sz w:val="32"/>
          <w:szCs w:val="32"/>
        </w:rPr>
        <w:t>持以人民为中心，推动全民健身与全民健康深度融合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构建更高水平的全民健身公共服务体系，更好满足群众多样化的健身和健康需求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巩固全国文明城市创建成果，努力打造全民健身活力城市，为建设“健康桂林”和桂林</w:t>
      </w:r>
      <w:r>
        <w:rPr>
          <w:rFonts w:hint="eastAsia" w:ascii="仿宋_GB2312" w:hAnsi="仿宋_GB2312" w:eastAsia="仿宋_GB2312" w:cs="仿宋_GB2312"/>
          <w:sz w:val="32"/>
          <w:szCs w:val="32"/>
          <w:lang w:eastAsia="zh-CN"/>
        </w:rPr>
        <w:t>世界级</w:t>
      </w:r>
      <w:r>
        <w:rPr>
          <w:rFonts w:hint="eastAsia" w:ascii="仿宋_GB2312" w:hAnsi="仿宋_GB2312" w:eastAsia="仿宋_GB2312" w:cs="仿宋_GB2312"/>
          <w:sz w:val="32"/>
          <w:szCs w:val="32"/>
        </w:rPr>
        <w:t>旅游</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rPr>
        <w:t>作出</w:t>
      </w:r>
      <w:r>
        <w:rPr>
          <w:rFonts w:hint="eastAsia" w:ascii="仿宋_GB2312" w:hAnsi="仿宋_GB2312" w:eastAsia="仿宋_GB2312" w:cs="仿宋_GB2312"/>
          <w:sz w:val="32"/>
          <w:szCs w:val="32"/>
          <w:lang w:eastAsia="zh-CN"/>
        </w:rPr>
        <w:t>秀峰</w:t>
      </w:r>
      <w:r>
        <w:rPr>
          <w:rFonts w:hint="eastAsia" w:ascii="仿宋_GB2312" w:hAnsi="仿宋_GB2312" w:eastAsia="仿宋_GB2312" w:cs="仿宋_GB2312"/>
          <w:sz w:val="32"/>
          <w:szCs w:val="32"/>
        </w:rPr>
        <w:t>贡献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（二）发展目标。</w:t>
      </w:r>
      <w:r>
        <w:rPr>
          <w:rFonts w:hint="eastAsia" w:ascii="仿宋_GB2312" w:hAnsi="仿宋_GB2312" w:eastAsia="仿宋_GB2312" w:cs="仿宋_GB2312"/>
          <w:sz w:val="32"/>
          <w:szCs w:val="32"/>
        </w:rPr>
        <w:t>到</w:t>
      </w: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年，人民群众参与</w:t>
      </w:r>
      <w:r>
        <w:rPr>
          <w:rFonts w:hint="eastAsia" w:ascii="仿宋_GB2312" w:hAnsi="仿宋_GB2312" w:eastAsia="仿宋_GB2312" w:cs="仿宋_GB2312"/>
          <w:sz w:val="32"/>
          <w:szCs w:val="32"/>
          <w:lang w:eastAsia="zh-CN"/>
        </w:rPr>
        <w:t>健身</w:t>
      </w:r>
      <w:r>
        <w:rPr>
          <w:rFonts w:hint="eastAsia" w:ascii="仿宋_GB2312" w:hAnsi="仿宋_GB2312" w:eastAsia="仿宋_GB2312" w:cs="仿宋_GB2312"/>
          <w:sz w:val="32"/>
          <w:szCs w:val="32"/>
        </w:rPr>
        <w:t>的意识不断提高，健康素养不断提升，</w:t>
      </w:r>
      <w:r>
        <w:rPr>
          <w:rFonts w:hint="eastAsia" w:ascii="仿宋_GB2312" w:hAnsi="仿宋_GB2312" w:eastAsia="仿宋_GB2312" w:cs="仿宋_GB2312"/>
          <w:sz w:val="32"/>
          <w:szCs w:val="32"/>
          <w:lang w:eastAsia="zh-CN"/>
        </w:rPr>
        <w:t>覆盖所有人群的</w:t>
      </w:r>
      <w:r>
        <w:rPr>
          <w:rFonts w:hint="eastAsia" w:ascii="仿宋_GB2312" w:hAnsi="仿宋_GB2312" w:eastAsia="仿宋_GB2312" w:cs="仿宋_GB2312"/>
          <w:sz w:val="32"/>
          <w:szCs w:val="32"/>
        </w:rPr>
        <w:t>全民健身公共服务体系</w:t>
      </w:r>
      <w:r>
        <w:rPr>
          <w:rFonts w:hint="eastAsia" w:ascii="仿宋_GB2312" w:hAnsi="仿宋_GB2312" w:eastAsia="仿宋_GB2312" w:cs="仿宋_GB2312"/>
          <w:sz w:val="32"/>
          <w:szCs w:val="32"/>
          <w:lang w:eastAsia="zh-CN"/>
        </w:rPr>
        <w:t>更趋完善</w:t>
      </w:r>
      <w:r>
        <w:rPr>
          <w:rFonts w:hint="eastAsia" w:ascii="仿宋_GB2312" w:hAnsi="仿宋_GB2312" w:eastAsia="仿宋_GB2312" w:cs="仿宋_GB2312"/>
          <w:sz w:val="32"/>
          <w:szCs w:val="32"/>
        </w:rPr>
        <w:t>，人民群众对高品质健康生活的需求得到进一步满足。全区经常参加体育锻炼人数比例达到</w:t>
      </w:r>
      <w:r>
        <w:rPr>
          <w:rFonts w:hint="default" w:ascii="Times New Roman" w:hAnsi="Times New Roman" w:eastAsia="仿宋_GB2312" w:cs="Times New Roman"/>
          <w:sz w:val="32"/>
          <w:szCs w:val="32"/>
        </w:rPr>
        <w:t>40%以上，人均体育场地面积达到</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sz w:val="32"/>
          <w:szCs w:val="32"/>
        </w:rPr>
        <w:t>平方米以上，每千人拥有社会体育指导员2.16名；</w:t>
      </w:r>
      <w:r>
        <w:rPr>
          <w:rFonts w:hint="default" w:ascii="Times New Roman" w:hAnsi="Times New Roman" w:eastAsia="仿宋_GB2312" w:cs="Times New Roman"/>
          <w:sz w:val="32"/>
          <w:szCs w:val="32"/>
          <w:lang w:eastAsia="zh-CN"/>
        </w:rPr>
        <w:t>荷韵生态体育公园全面建成；桃花江旅游休闲绿道二期建设完工，辖区高标准</w:t>
      </w:r>
      <w:r>
        <w:rPr>
          <w:rFonts w:hint="default" w:ascii="Times New Roman" w:hAnsi="Times New Roman" w:eastAsia="仿宋_GB2312" w:cs="Times New Roman"/>
          <w:sz w:val="32"/>
          <w:szCs w:val="32"/>
        </w:rPr>
        <w:t>健身步道</w:t>
      </w:r>
      <w:r>
        <w:rPr>
          <w:rFonts w:hint="default" w:ascii="Times New Roman" w:hAnsi="Times New Roman" w:eastAsia="仿宋_GB2312" w:cs="Times New Roman"/>
          <w:sz w:val="32"/>
          <w:szCs w:val="32"/>
          <w:lang w:eastAsia="zh-CN"/>
        </w:rPr>
        <w:t>达</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公里以上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每万人拥有足球场地数量达到0.9块</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城区、街道、社区（村）三级</w:t>
      </w:r>
      <w:r>
        <w:rPr>
          <w:rFonts w:hint="eastAsia" w:ascii="仿宋_GB2312" w:hAnsi="仿宋_GB2312" w:eastAsia="仿宋_GB2312" w:cs="仿宋_GB2312"/>
          <w:sz w:val="32"/>
          <w:szCs w:val="32"/>
        </w:rPr>
        <w:t>全民健身</w:t>
      </w:r>
      <w:r>
        <w:rPr>
          <w:rFonts w:hint="eastAsia" w:ascii="仿宋_GB2312" w:hAnsi="仿宋_GB2312" w:eastAsia="仿宋_GB2312" w:cs="仿宋_GB2312"/>
          <w:sz w:val="32"/>
          <w:szCs w:val="32"/>
          <w:lang w:eastAsia="zh-CN"/>
        </w:rPr>
        <w:t>服务网络基本建成，基本建成</w:t>
      </w:r>
      <w:r>
        <w:rPr>
          <w:rFonts w:hint="eastAsia" w:ascii="仿宋_GB2312" w:hAnsi="仿宋_GB2312" w:eastAsia="仿宋_GB2312" w:cs="仿宋_GB2312"/>
          <w:sz w:val="32"/>
          <w:szCs w:val="32"/>
        </w:rPr>
        <w:t>城镇社区“</w:t>
      </w:r>
      <w:r>
        <w:rPr>
          <w:rFonts w:hint="default" w:ascii="Times New Roman" w:hAnsi="Times New Roman" w:eastAsia="仿宋_GB2312" w:cs="Times New Roman"/>
          <w:sz w:val="32"/>
          <w:szCs w:val="32"/>
        </w:rPr>
        <w:t>15</w:t>
      </w:r>
      <w:r>
        <w:rPr>
          <w:rFonts w:hint="eastAsia" w:ascii="仿宋_GB2312" w:hAnsi="仿宋_GB2312" w:eastAsia="仿宋_GB2312" w:cs="仿宋_GB2312"/>
          <w:sz w:val="32"/>
          <w:szCs w:val="32"/>
        </w:rPr>
        <w:t>分钟健身圈”。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二、主要任务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仿宋" w:hAnsi="仿宋" w:eastAsia="仿宋" w:cs="仿宋"/>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）开展全民健身模范区创建。</w:t>
      </w:r>
      <w:r>
        <w:rPr>
          <w:rFonts w:eastAsia="仿宋"/>
          <w:sz w:val="32"/>
          <w:szCs w:val="32"/>
        </w:rPr>
        <w:t>全面加强街道、行政村（社区）、行业、系统、企（事）业单位和社会力量开展全民健身工作的督促指导，加快推进全民健身各项工作落实落地。</w:t>
      </w:r>
      <w:r>
        <w:rPr>
          <w:rFonts w:hint="eastAsia" w:ascii="仿宋" w:hAnsi="仿宋" w:eastAsia="仿宋" w:cs="仿宋"/>
          <w:sz w:val="32"/>
          <w:szCs w:val="32"/>
        </w:rPr>
        <w:t>加大保障力度，建设全民健身场地设施，开展全民健身指导服务，举办全民健身赛事活动，提升人民群众对全民健身的满意度及全民健身活动对社会发展的贡献度，力争创建</w:t>
      </w:r>
      <w:r>
        <w:rPr>
          <w:rFonts w:hint="eastAsia" w:ascii="仿宋" w:hAnsi="仿宋" w:eastAsia="仿宋" w:cs="仿宋"/>
          <w:sz w:val="32"/>
          <w:szCs w:val="32"/>
          <w:lang w:eastAsia="zh-CN"/>
        </w:rPr>
        <w:t>自治区级</w:t>
      </w:r>
      <w:r>
        <w:rPr>
          <w:rFonts w:hint="eastAsia" w:ascii="仿宋" w:hAnsi="仿宋" w:eastAsia="仿宋" w:cs="仿宋"/>
          <w:sz w:val="32"/>
          <w:szCs w:val="32"/>
        </w:rPr>
        <w:t>全民健身模范区。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）加大全民健身场地设施供给。</w:t>
      </w:r>
      <w:r>
        <w:rPr>
          <w:rFonts w:hint="eastAsia" w:ascii="仿宋_GB2312" w:hAnsi="仿宋_GB2312" w:eastAsia="仿宋_GB2312" w:cs="仿宋_GB2312"/>
          <w:b w:val="0"/>
          <w:bCs w:val="0"/>
          <w:sz w:val="32"/>
          <w:szCs w:val="32"/>
        </w:rPr>
        <w:t>实施全民健身设施补短板工程，重点推进</w:t>
      </w:r>
      <w:r>
        <w:rPr>
          <w:rFonts w:hint="eastAsia" w:ascii="仿宋_GB2312" w:hAnsi="仿宋_GB2312" w:eastAsia="仿宋_GB2312" w:cs="仿宋_GB2312"/>
          <w:b w:val="0"/>
          <w:bCs w:val="0"/>
          <w:sz w:val="32"/>
          <w:szCs w:val="32"/>
          <w:lang w:eastAsia="zh-CN"/>
        </w:rPr>
        <w:t>荷韵生态</w:t>
      </w:r>
      <w:r>
        <w:rPr>
          <w:rFonts w:hint="eastAsia" w:ascii="仿宋_GB2312" w:hAnsi="仿宋_GB2312" w:eastAsia="仿宋_GB2312" w:cs="仿宋_GB2312"/>
          <w:b w:val="0"/>
          <w:bCs w:val="0"/>
          <w:sz w:val="32"/>
          <w:szCs w:val="32"/>
        </w:rPr>
        <w:t>体育公园、</w:t>
      </w:r>
      <w:r>
        <w:rPr>
          <w:rFonts w:hint="eastAsia" w:ascii="仿宋_GB2312" w:hAnsi="仿宋_GB2312" w:eastAsia="仿宋_GB2312" w:cs="仿宋_GB2312"/>
          <w:b w:val="0"/>
          <w:bCs w:val="0"/>
          <w:sz w:val="32"/>
          <w:szCs w:val="32"/>
          <w:lang w:eastAsia="zh-CN"/>
        </w:rPr>
        <w:t>桃花湾旅游休闲绿道二期</w:t>
      </w:r>
      <w:r>
        <w:rPr>
          <w:rFonts w:hint="eastAsia" w:ascii="仿宋_GB2312" w:hAnsi="仿宋_GB2312" w:eastAsia="仿宋_GB2312" w:cs="仿宋_GB2312"/>
          <w:b w:val="0"/>
          <w:bCs w:val="0"/>
          <w:sz w:val="32"/>
          <w:szCs w:val="32"/>
        </w:rPr>
        <w:t>、社会足球场、户外</w:t>
      </w:r>
      <w:r>
        <w:rPr>
          <w:rFonts w:hint="eastAsia" w:ascii="仿宋_GB2312" w:hAnsi="仿宋_GB2312" w:eastAsia="仿宋_GB2312" w:cs="仿宋_GB2312"/>
          <w:b w:val="0"/>
          <w:bCs w:val="0"/>
          <w:sz w:val="32"/>
          <w:szCs w:val="32"/>
          <w:lang w:eastAsia="zh-CN"/>
        </w:rPr>
        <w:t>健身路径</w:t>
      </w:r>
      <w:r>
        <w:rPr>
          <w:rFonts w:hint="eastAsia" w:ascii="仿宋_GB2312" w:hAnsi="仿宋_GB2312" w:eastAsia="仿宋_GB2312" w:cs="仿宋_GB2312"/>
          <w:b w:val="0"/>
          <w:bCs w:val="0"/>
          <w:sz w:val="32"/>
          <w:szCs w:val="32"/>
        </w:rPr>
        <w:t>等建设。力争实现</w:t>
      </w:r>
      <w:r>
        <w:rPr>
          <w:rFonts w:hint="eastAsia" w:ascii="仿宋_GB2312" w:hAnsi="仿宋_GB2312" w:eastAsia="仿宋_GB2312" w:cs="仿宋_GB2312"/>
          <w:b w:val="0"/>
          <w:bCs w:val="0"/>
          <w:sz w:val="32"/>
          <w:szCs w:val="32"/>
          <w:lang w:eastAsia="zh-CN"/>
        </w:rPr>
        <w:t>城</w:t>
      </w:r>
      <w:r>
        <w:rPr>
          <w:rFonts w:hint="eastAsia" w:ascii="仿宋_GB2312" w:hAnsi="仿宋_GB2312" w:eastAsia="仿宋_GB2312" w:cs="仿宋_GB2312"/>
          <w:b w:val="0"/>
          <w:bCs w:val="0"/>
          <w:sz w:val="32"/>
          <w:szCs w:val="32"/>
        </w:rPr>
        <w:t>区、街道、村（社区）</w:t>
      </w:r>
      <w:r>
        <w:rPr>
          <w:rFonts w:hint="eastAsia" w:ascii="仿宋_GB2312" w:hAnsi="仿宋_GB2312" w:eastAsia="仿宋_GB2312" w:cs="仿宋_GB2312"/>
          <w:b w:val="0"/>
          <w:bCs w:val="0"/>
          <w:sz w:val="32"/>
          <w:szCs w:val="32"/>
          <w:lang w:eastAsia="zh-CN"/>
        </w:rPr>
        <w:t>三级</w:t>
      </w:r>
      <w:r>
        <w:rPr>
          <w:rFonts w:hint="eastAsia" w:ascii="仿宋_GB2312" w:hAnsi="仿宋_GB2312" w:eastAsia="仿宋_GB2312" w:cs="仿宋_GB2312"/>
          <w:b w:val="0"/>
          <w:bCs w:val="0"/>
          <w:sz w:val="32"/>
          <w:szCs w:val="32"/>
        </w:rPr>
        <w:t>公共健身设施全覆盖的目标，城区建有体育公园、健身步道；街道建有小型全民健身广场、多功能运动场；行政村建有室外篮球场、室外乒乓球场；社区建有多功能运动场地、健身路径。新建居住区和社区要按室内人均建筑面积不低于</w:t>
      </w:r>
      <w:r>
        <w:rPr>
          <w:rFonts w:hint="default" w:ascii="Times New Roman" w:hAnsi="Times New Roman" w:eastAsia="仿宋_GB2312" w:cs="Times New Roman"/>
          <w:b w:val="0"/>
          <w:bCs w:val="0"/>
          <w:sz w:val="32"/>
          <w:szCs w:val="32"/>
        </w:rPr>
        <w:t>0.1</w:t>
      </w:r>
      <w:r>
        <w:rPr>
          <w:rFonts w:hint="eastAsia" w:ascii="仿宋_GB2312" w:hAnsi="仿宋_GB2312" w:eastAsia="仿宋_GB2312" w:cs="仿宋_GB2312"/>
          <w:b w:val="0"/>
          <w:bCs w:val="0"/>
          <w:sz w:val="32"/>
          <w:szCs w:val="32"/>
        </w:rPr>
        <w:t>平方米或室外人均用地面积不低于</w:t>
      </w:r>
      <w:r>
        <w:rPr>
          <w:rFonts w:hint="default" w:ascii="Times New Roman" w:hAnsi="Times New Roman" w:eastAsia="仿宋_GB2312" w:cs="Times New Roman"/>
          <w:b w:val="0"/>
          <w:bCs w:val="0"/>
          <w:sz w:val="32"/>
          <w:szCs w:val="32"/>
        </w:rPr>
        <w:t>0.3</w:t>
      </w:r>
      <w:r>
        <w:rPr>
          <w:rFonts w:hint="eastAsia" w:ascii="仿宋_GB2312" w:hAnsi="仿宋_GB2312" w:eastAsia="仿宋_GB2312" w:cs="仿宋_GB2312"/>
          <w:b w:val="0"/>
          <w:bCs w:val="0"/>
          <w:sz w:val="32"/>
          <w:szCs w:val="32"/>
        </w:rPr>
        <w:t>平方米标准规范配套群众健身设施，并与住宅区主体工程同步设计、同步施工、同步投入使用。不具备标准健身场地设施、未达到规划标准的既有居住小区，要结合场地实际情况和居民健身需求，实施健身场地微更新改造。探索以租赁方式供地，引导社会力量参与投资建设。鼓励创建具备体育健身功能的乡村休闲区和景区，助力乡村振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）完善全民健身赛事活动体系。</w:t>
      </w:r>
      <w:r>
        <w:rPr>
          <w:rFonts w:hint="eastAsia" w:ascii="仿宋_GB2312" w:hAnsi="仿宋_GB2312" w:eastAsia="仿宋_GB2312" w:cs="仿宋_GB2312"/>
          <w:b w:val="0"/>
          <w:bCs w:val="0"/>
          <w:sz w:val="32"/>
          <w:szCs w:val="32"/>
        </w:rPr>
        <w:t>开展群众喜闻乐见、丰富多彩的全民健身赛事活动。</w:t>
      </w:r>
      <w:r>
        <w:rPr>
          <w:rFonts w:hint="eastAsia" w:ascii="仿宋_GB2312" w:hAnsi="仿宋_GB2312" w:eastAsia="仿宋_GB2312" w:cs="仿宋_GB2312"/>
          <w:b w:val="0"/>
          <w:bCs w:val="0"/>
          <w:sz w:val="32"/>
          <w:szCs w:val="32"/>
          <w:lang w:eastAsia="zh-CN"/>
        </w:rPr>
        <w:t>城区重点</w:t>
      </w:r>
      <w:r>
        <w:rPr>
          <w:rFonts w:hint="eastAsia" w:ascii="仿宋_GB2312" w:hAnsi="仿宋_GB2312" w:eastAsia="仿宋_GB2312" w:cs="仿宋_GB2312"/>
          <w:b w:val="0"/>
          <w:bCs w:val="0"/>
          <w:sz w:val="32"/>
          <w:szCs w:val="32"/>
        </w:rPr>
        <w:t>办好“壮族三月三·民族体育炫”、“奔跑吧</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少年</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青少年</w:t>
      </w:r>
      <w:r>
        <w:rPr>
          <w:rFonts w:hint="eastAsia" w:ascii="仿宋_GB2312" w:hAnsi="仿宋_GB2312" w:eastAsia="仿宋_GB2312" w:cs="仿宋_GB2312"/>
          <w:b w:val="0"/>
          <w:bCs w:val="0"/>
          <w:sz w:val="32"/>
          <w:szCs w:val="32"/>
        </w:rPr>
        <w:t>系列赛、广西万村篮球赛</w:t>
      </w:r>
      <w:r>
        <w:rPr>
          <w:rFonts w:hint="eastAsia" w:ascii="仿宋_GB2312" w:hAnsi="仿宋_GB2312" w:eastAsia="仿宋_GB2312" w:cs="仿宋_GB2312"/>
          <w:b w:val="0"/>
          <w:bCs w:val="0"/>
          <w:sz w:val="32"/>
          <w:szCs w:val="32"/>
          <w:lang w:eastAsia="zh-CN"/>
        </w:rPr>
        <w:t>和</w:t>
      </w:r>
      <w:r>
        <w:rPr>
          <w:rFonts w:hint="eastAsia" w:ascii="仿宋_GB2312" w:hAnsi="仿宋_GB2312" w:eastAsia="仿宋_GB2312" w:cs="仿宋_GB2312"/>
          <w:b w:val="0"/>
          <w:bCs w:val="0"/>
          <w:sz w:val="32"/>
          <w:szCs w:val="32"/>
        </w:rPr>
        <w:t>广西城乡万人气排球赛</w:t>
      </w:r>
      <w:r>
        <w:rPr>
          <w:rFonts w:hint="eastAsia" w:ascii="仿宋_GB2312" w:hAnsi="仿宋_GB2312" w:eastAsia="仿宋_GB2312" w:cs="仿宋_GB2312"/>
          <w:b w:val="0"/>
          <w:bCs w:val="0"/>
          <w:sz w:val="32"/>
          <w:szCs w:val="32"/>
          <w:lang w:eastAsia="zh-CN"/>
        </w:rPr>
        <w:t>秀峰选拔赛、广场舞大赛、“秀峰逍遥跑”长跑赛、“舞甲天下·秀峰独秀”街舞大赛、五一职工运动会</w:t>
      </w:r>
      <w:r>
        <w:rPr>
          <w:rFonts w:hint="eastAsia" w:ascii="仿宋_GB2312" w:hAnsi="仿宋_GB2312" w:eastAsia="仿宋_GB2312" w:cs="仿宋_GB2312"/>
          <w:b w:val="0"/>
          <w:bCs w:val="0"/>
          <w:sz w:val="32"/>
          <w:szCs w:val="32"/>
        </w:rPr>
        <w:t>等赛事和活动。</w:t>
      </w:r>
      <w:r>
        <w:rPr>
          <w:rFonts w:hint="eastAsia" w:ascii="仿宋_GB2312" w:hAnsi="仿宋_GB2312" w:eastAsia="仿宋_GB2312" w:cs="仿宋_GB2312"/>
          <w:b w:val="0"/>
          <w:bCs w:val="0"/>
          <w:sz w:val="32"/>
          <w:szCs w:val="32"/>
          <w:lang w:eastAsia="zh-CN"/>
        </w:rPr>
        <w:t>街道社区重点办好社区运动会、重阳节登高爬山、老年人气排球、围（象）棋比赛等赛事和活动。加强与广西旅发南国体育投资集团有限公司战略合作，与广西旅发南国体育赛事有限公司持续办好“唯美秀峰·秀甲天下”中国桂林体育舞蹈公开赛等合作赛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）提升科学健身指导服务水平。</w:t>
      </w:r>
      <w:r>
        <w:rPr>
          <w:rFonts w:hint="eastAsia" w:ascii="仿宋_GB2312" w:hAnsi="仿宋_GB2312" w:eastAsia="仿宋_GB2312" w:cs="仿宋_GB2312"/>
          <w:b w:val="0"/>
          <w:bCs w:val="0"/>
          <w:sz w:val="32"/>
          <w:szCs w:val="32"/>
        </w:rPr>
        <w:t>落实国民体质监测、国家体育锻炼标准和全民健身活动状况调查制度。深化社会体育指导员管理制度改革，提高社会体育指导员上岗率，发挥其在组织体育赛事活动、开展科学健身指导、推广普及健身项目等方面的作用。组织科学健身指导宣讲团深入机关、企事业单位、学校、街道、乡村为群众科学健身进行指导，推广居家健身模式。在各级机关、企事业单位推广工间操制度，鼓励举办行业系统和单位运动会以及单项比赛，开展太极拳、健身气功、广播体操等公益教学活动。大力倡导全民健身志愿服务精神，依托新时代文明实践中心（所、站）平台，组建全民健身志愿服务队，持续开展全民健身志愿者服务活动，打造全民健身志愿服务品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五</w:t>
      </w:r>
      <w:r>
        <w:rPr>
          <w:rFonts w:hint="eastAsia" w:ascii="楷体_GB2312" w:hAnsi="楷体_GB2312" w:eastAsia="楷体_GB2312" w:cs="楷体_GB2312"/>
          <w:b w:val="0"/>
          <w:bCs w:val="0"/>
          <w:sz w:val="32"/>
          <w:szCs w:val="32"/>
        </w:rPr>
        <w:t>）健全体育健身组织服务体系。</w:t>
      </w:r>
      <w:r>
        <w:rPr>
          <w:rFonts w:hint="eastAsia" w:ascii="仿宋_GB2312" w:hAnsi="仿宋_GB2312" w:eastAsia="仿宋_GB2312" w:cs="仿宋_GB2312"/>
          <w:b w:val="0"/>
          <w:bCs w:val="0"/>
          <w:sz w:val="32"/>
          <w:szCs w:val="32"/>
        </w:rPr>
        <w:t>完善以</w:t>
      </w:r>
      <w:r>
        <w:rPr>
          <w:rFonts w:hint="eastAsia" w:ascii="仿宋_GB2312" w:hAnsi="仿宋_GB2312" w:eastAsia="仿宋_GB2312" w:cs="仿宋_GB2312"/>
          <w:b w:val="0"/>
          <w:bCs w:val="0"/>
          <w:sz w:val="32"/>
          <w:szCs w:val="32"/>
          <w:lang w:eastAsia="zh-CN"/>
        </w:rPr>
        <w:t>城区</w:t>
      </w:r>
      <w:r>
        <w:rPr>
          <w:rFonts w:hint="eastAsia" w:ascii="仿宋_GB2312" w:hAnsi="仿宋_GB2312" w:eastAsia="仿宋_GB2312" w:cs="仿宋_GB2312"/>
          <w:b w:val="0"/>
          <w:bCs w:val="0"/>
          <w:sz w:val="32"/>
          <w:szCs w:val="32"/>
        </w:rPr>
        <w:t>体育总会为枢纽，各级各类单项、行业和人群体育协会为支撑，青少年体育俱乐部、社区体育俱乐部、职工体育俱乐部、健身团队等基层体育组织为主体的全民健身组织网络，鼓励体育总会向街道延伸，各类体育社会组织下沉行政村（社区）。发挥各类体育社会组织和体育健身站点在体育服务和健身指导方面的作用。发挥民间力量，结合实际建设农民体育健身活动基地，促进农民体协等农民群众身边的体育社会组织不断健全，助力乡村振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六</w:t>
      </w:r>
      <w:r>
        <w:rPr>
          <w:rFonts w:hint="eastAsia" w:ascii="楷体_GB2312" w:hAnsi="楷体_GB2312" w:eastAsia="楷体_GB2312" w:cs="楷体_GB2312"/>
          <w:b w:val="0"/>
          <w:bCs w:val="0"/>
          <w:sz w:val="32"/>
          <w:szCs w:val="32"/>
        </w:rPr>
        <w:t>）促进重点人群健身活动开展。</w:t>
      </w:r>
      <w:r>
        <w:rPr>
          <w:rFonts w:hint="eastAsia" w:ascii="仿宋_GB2312" w:hAnsi="仿宋_GB2312" w:eastAsia="仿宋_GB2312" w:cs="仿宋_GB2312"/>
          <w:b w:val="0"/>
          <w:bCs w:val="0"/>
          <w:sz w:val="32"/>
          <w:szCs w:val="32"/>
        </w:rPr>
        <w:t>加大对未成年人、老年人、残疾人、农民、农民工和妇女等重点人群的健身指导力度，鼓励重点人群参与体育赛事和健身活动，提供适合相关人群健身的公共体育设施及服务，提升社区公共体育设施适老化、适幼化水平。推进青少年体育“健康包”工程，开展针对青少年近视、肥胖等问题的体育干预。鼓励各类学校成立体育项目青少年兴趣小组、学生社团和俱乐部，组织开展体育夏令营、冬令营等活动。建设完善老年人体育协会、门球协会、广场舞协会等单项体育协会网络，组织开展适合老年人的赛事活动。完善公共健身设施无障碍环境，开展残疾人康复健身活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七</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培育</w:t>
      </w:r>
      <w:r>
        <w:rPr>
          <w:rFonts w:hint="eastAsia" w:ascii="楷体_GB2312" w:hAnsi="楷体_GB2312" w:eastAsia="楷体_GB2312" w:cs="楷体_GB2312"/>
          <w:b w:val="0"/>
          <w:bCs w:val="0"/>
          <w:sz w:val="32"/>
          <w:szCs w:val="32"/>
        </w:rPr>
        <w:t>体育产业</w:t>
      </w:r>
      <w:r>
        <w:rPr>
          <w:rFonts w:hint="eastAsia" w:ascii="楷体_GB2312" w:hAnsi="楷体_GB2312" w:eastAsia="楷体_GB2312" w:cs="楷体_GB2312"/>
          <w:b w:val="0"/>
          <w:bCs w:val="0"/>
          <w:sz w:val="32"/>
          <w:szCs w:val="32"/>
          <w:lang w:eastAsia="zh-CN"/>
        </w:rPr>
        <w:t>健康</w:t>
      </w:r>
      <w:r>
        <w:rPr>
          <w:rFonts w:hint="eastAsia" w:ascii="楷体_GB2312" w:hAnsi="楷体_GB2312" w:eastAsia="楷体_GB2312" w:cs="楷体_GB2312"/>
          <w:b w:val="0"/>
          <w:bCs w:val="0"/>
          <w:sz w:val="32"/>
          <w:szCs w:val="32"/>
        </w:rPr>
        <w:t>发展。</w:t>
      </w:r>
      <w:r>
        <w:rPr>
          <w:rFonts w:hint="eastAsia" w:ascii="仿宋_GB2312" w:hAnsi="仿宋_GB2312" w:eastAsia="仿宋_GB2312" w:cs="仿宋_GB2312"/>
          <w:b w:val="0"/>
          <w:bCs w:val="0"/>
          <w:sz w:val="32"/>
          <w:szCs w:val="32"/>
        </w:rPr>
        <w:t>健全体育产业体系，大力</w:t>
      </w:r>
      <w:r>
        <w:rPr>
          <w:rFonts w:hint="eastAsia" w:ascii="仿宋_GB2312" w:hAnsi="仿宋_GB2312" w:eastAsia="仿宋_GB2312" w:cs="仿宋_GB2312"/>
          <w:b w:val="0"/>
          <w:bCs w:val="0"/>
          <w:sz w:val="32"/>
          <w:szCs w:val="32"/>
          <w:lang w:eastAsia="zh-CN"/>
        </w:rPr>
        <w:t>培育</w:t>
      </w:r>
      <w:r>
        <w:rPr>
          <w:rFonts w:hint="eastAsia" w:ascii="仿宋_GB2312" w:hAnsi="仿宋_GB2312" w:eastAsia="仿宋_GB2312" w:cs="仿宋_GB2312"/>
          <w:b w:val="0"/>
          <w:bCs w:val="0"/>
          <w:sz w:val="32"/>
          <w:szCs w:val="32"/>
        </w:rPr>
        <w:t>发展竞赛表演、健身休闲、体育旅游、场馆服务等产业。</w:t>
      </w:r>
      <w:r>
        <w:rPr>
          <w:rFonts w:hint="eastAsia" w:ascii="仿宋_GB2312" w:hAnsi="仿宋_GB2312" w:eastAsia="仿宋_GB2312" w:cs="仿宋_GB2312"/>
          <w:b w:val="0"/>
          <w:bCs w:val="0"/>
          <w:sz w:val="32"/>
          <w:szCs w:val="32"/>
          <w:lang w:eastAsia="zh-CN"/>
        </w:rPr>
        <w:t>结合我区区位优势，重点培育青少年羽毛球、游泳、篮球、足球、跳绳等体育技能培训业，促进我区体育产业发展。将</w:t>
      </w:r>
      <w:r>
        <w:rPr>
          <w:rFonts w:hint="eastAsia" w:ascii="仿宋_GB2312" w:hAnsi="仿宋_GB2312" w:eastAsia="仿宋_GB2312" w:cs="仿宋_GB2312"/>
          <w:b w:val="0"/>
          <w:bCs w:val="0"/>
          <w:color w:val="auto"/>
          <w:sz w:val="32"/>
          <w:szCs w:val="32"/>
          <w:lang w:eastAsia="zh-CN"/>
        </w:rPr>
        <w:t>桃花湾</w:t>
      </w:r>
      <w:r>
        <w:rPr>
          <w:rFonts w:hint="eastAsia" w:ascii="仿宋_GB2312" w:hAnsi="仿宋_GB2312" w:eastAsia="仿宋_GB2312" w:cs="仿宋_GB2312"/>
          <w:b w:val="0"/>
          <w:bCs w:val="0"/>
          <w:sz w:val="32"/>
          <w:szCs w:val="32"/>
          <w:lang w:eastAsia="zh-CN"/>
        </w:rPr>
        <w:t>度假区打造成</w:t>
      </w:r>
      <w:r>
        <w:rPr>
          <w:rFonts w:hint="eastAsia" w:ascii="仿宋_GB2312" w:hAnsi="仿宋_GB2312" w:eastAsia="仿宋_GB2312" w:cs="仿宋_GB2312"/>
          <w:b w:val="0"/>
          <w:bCs w:val="0"/>
          <w:sz w:val="32"/>
          <w:szCs w:val="32"/>
        </w:rPr>
        <w:t>体育旅游</w:t>
      </w:r>
      <w:r>
        <w:rPr>
          <w:rFonts w:hint="eastAsia" w:ascii="仿宋_GB2312" w:hAnsi="仿宋_GB2312" w:eastAsia="仿宋_GB2312" w:cs="仿宋_GB2312"/>
          <w:b w:val="0"/>
          <w:bCs w:val="0"/>
          <w:sz w:val="32"/>
          <w:szCs w:val="32"/>
          <w:lang w:eastAsia="zh-CN"/>
        </w:rPr>
        <w:t>示范区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促进体育旅游融合发展。</w:t>
      </w:r>
      <w:r>
        <w:rPr>
          <w:rFonts w:hint="eastAsia" w:ascii="仿宋_GB2312" w:hAnsi="仿宋_GB2312" w:eastAsia="仿宋_GB2312" w:cs="仿宋_GB2312"/>
          <w:b w:val="0"/>
          <w:bCs w:val="0"/>
          <w:sz w:val="32"/>
          <w:szCs w:val="32"/>
        </w:rPr>
        <w:t>优化营商环境，支持各类体育市场主体健康成长。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八</w:t>
      </w:r>
      <w:r>
        <w:rPr>
          <w:rFonts w:hint="eastAsia" w:ascii="楷体_GB2312" w:hAnsi="楷体_GB2312" w:eastAsia="楷体_GB2312" w:cs="楷体_GB2312"/>
          <w:b w:val="0"/>
          <w:bCs w:val="0"/>
          <w:sz w:val="32"/>
          <w:szCs w:val="32"/>
        </w:rPr>
        <w:t>）推进全民健身融合发展。</w:t>
      </w:r>
      <w:r>
        <w:rPr>
          <w:rFonts w:hint="eastAsia" w:ascii="仿宋_GB2312" w:hAnsi="仿宋_GB2312" w:eastAsia="仿宋_GB2312" w:cs="仿宋_GB2312"/>
          <w:b w:val="0"/>
          <w:bCs w:val="0"/>
          <w:sz w:val="32"/>
          <w:szCs w:val="32"/>
        </w:rPr>
        <w:t>深化体教融合。完善学校体育教学模式，保障学生每天校内、校外各</w:t>
      </w:r>
      <w:r>
        <w:rPr>
          <w:rFonts w:hint="default" w:ascii="Times New Roman" w:hAnsi="Times New Roman" w:eastAsia="仿宋_GB2312" w:cs="Times New Roman"/>
          <w:b w:val="0"/>
          <w:bCs w:val="0"/>
          <w:sz w:val="32"/>
          <w:szCs w:val="32"/>
        </w:rPr>
        <w:t>1个小时体育活动时间，推进落实青少年每人掌握2项以上</w:t>
      </w:r>
      <w:r>
        <w:rPr>
          <w:rFonts w:hint="eastAsia" w:ascii="仿宋_GB2312" w:hAnsi="仿宋_GB2312" w:eastAsia="仿宋_GB2312" w:cs="仿宋_GB2312"/>
          <w:b w:val="0"/>
          <w:bCs w:val="0"/>
          <w:sz w:val="32"/>
          <w:szCs w:val="32"/>
        </w:rPr>
        <w:t>运动技能目标。支持体育社会组织进校园，建立和培育学校体育项目代表队。开展民族传统体育进校园活动，按照“一校一品”、“一校多品”的学校体育教育模式，创建体育传统特色学校。建立完善青少年体育赛事体系，推动</w:t>
      </w:r>
      <w:r>
        <w:rPr>
          <w:rFonts w:hint="eastAsia" w:ascii="仿宋_GB2312" w:hAnsi="仿宋_GB2312" w:eastAsia="仿宋_GB2312" w:cs="仿宋_GB2312"/>
          <w:b w:val="0"/>
          <w:bCs w:val="0"/>
          <w:sz w:val="32"/>
          <w:szCs w:val="32"/>
          <w:lang w:eastAsia="zh-CN"/>
        </w:rPr>
        <w:t>我区</w:t>
      </w:r>
      <w:r>
        <w:rPr>
          <w:rFonts w:hint="eastAsia" w:ascii="仿宋_GB2312" w:hAnsi="仿宋_GB2312" w:eastAsia="仿宋_GB2312" w:cs="仿宋_GB2312"/>
          <w:b w:val="0"/>
          <w:bCs w:val="0"/>
          <w:sz w:val="32"/>
          <w:szCs w:val="32"/>
        </w:rPr>
        <w:t>每年举办</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级中小学生运动会和体育项目联赛。推进</w:t>
      </w:r>
      <w:r>
        <w:rPr>
          <w:rFonts w:hint="eastAsia" w:ascii="仿宋_GB2312" w:hAnsi="仿宋_GB2312" w:eastAsia="仿宋_GB2312" w:cs="仿宋_GB2312"/>
          <w:b w:val="0"/>
          <w:bCs w:val="0"/>
          <w:sz w:val="32"/>
          <w:szCs w:val="32"/>
          <w:lang w:eastAsia="zh-CN"/>
        </w:rPr>
        <w:t>文体</w:t>
      </w:r>
      <w:r>
        <w:rPr>
          <w:rFonts w:hint="eastAsia" w:ascii="仿宋_GB2312" w:hAnsi="仿宋_GB2312" w:eastAsia="仿宋_GB2312" w:cs="仿宋_GB2312"/>
          <w:b w:val="0"/>
          <w:bCs w:val="0"/>
          <w:sz w:val="32"/>
          <w:szCs w:val="32"/>
        </w:rPr>
        <w:t>旅融合</w:t>
      </w:r>
      <w:r>
        <w:rPr>
          <w:rFonts w:hint="eastAsia" w:ascii="仿宋_GB2312" w:hAnsi="仿宋_GB2312" w:eastAsia="仿宋_GB2312" w:cs="仿宋_GB2312"/>
          <w:b w:val="0"/>
          <w:bCs w:val="0"/>
          <w:sz w:val="32"/>
          <w:szCs w:val="32"/>
          <w:lang w:eastAsia="zh-CN"/>
        </w:rPr>
        <w:t>。依托建设桃花湾文化体育旅游融合示范区，推进我区文体旅融合高质量发展。深化与广西旅发南国集团有限公司合作打造品牌赛事活动，吸引各地人群到桂林参赛，促进住宿业、餐饮业、旅游业发展。</w:t>
      </w:r>
      <w:r>
        <w:rPr>
          <w:rFonts w:hint="eastAsia" w:ascii="仿宋_GB2312" w:hAnsi="仿宋_GB2312" w:eastAsia="仿宋_GB2312" w:cs="仿宋_GB2312"/>
          <w:b w:val="0"/>
          <w:bCs w:val="0"/>
          <w:sz w:val="32"/>
          <w:szCs w:val="32"/>
        </w:rPr>
        <w:t>建立体卫（医）融合健康管理服务体系，基本实现县级体卫（医）融合健康服务机构全覆盖。加强运动防护师、运动营养师等复合型人才队伍建设，为城乡居民提供运动健康指导服务，发挥全民健身在健康促进、慢性病预防和康复等方面的积极作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九</w:t>
      </w:r>
      <w:r>
        <w:rPr>
          <w:rFonts w:hint="eastAsia" w:ascii="楷体_GB2312" w:hAnsi="楷体_GB2312" w:eastAsia="楷体_GB2312" w:cs="楷体_GB2312"/>
          <w:b w:val="0"/>
          <w:bCs w:val="0"/>
          <w:sz w:val="32"/>
          <w:szCs w:val="32"/>
        </w:rPr>
        <w:t>）营造全民健身社会氛围。</w:t>
      </w:r>
      <w:r>
        <w:rPr>
          <w:rFonts w:hint="eastAsia" w:ascii="仿宋_GB2312" w:hAnsi="仿宋_GB2312" w:eastAsia="仿宋_GB2312" w:cs="仿宋_GB2312"/>
          <w:b w:val="0"/>
          <w:bCs w:val="0"/>
          <w:sz w:val="32"/>
          <w:szCs w:val="32"/>
        </w:rPr>
        <w:t>繁荣体育文化，将弘扬中华体育精神同坚定文化自信相结合，加强社会主义精神文明建设。充分利用报纸、广播、电视、网络等载体，推广普及科学健身运动预防和促进疾病康复的知识和方法。讲好群众健身故事，每年宣传一批群众身边的健身健康模范人物、家庭、组织，营造健康文明的全民健身社会氛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三、保障措施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）加强组织领导。</w:t>
      </w:r>
      <w:r>
        <w:rPr>
          <w:rFonts w:hint="eastAsia" w:ascii="仿宋_GB2312" w:hAnsi="仿宋_GB2312" w:eastAsia="仿宋_GB2312" w:cs="仿宋_GB2312"/>
          <w:b w:val="0"/>
          <w:bCs w:val="0"/>
          <w:sz w:val="32"/>
          <w:szCs w:val="32"/>
        </w:rPr>
        <w:t>加强党对全民健身工作的全面领导，发挥</w:t>
      </w:r>
      <w:r>
        <w:rPr>
          <w:rFonts w:hint="eastAsia" w:ascii="仿宋_GB2312" w:hAnsi="仿宋_GB2312" w:eastAsia="仿宋_GB2312" w:cs="仿宋_GB2312"/>
          <w:b w:val="0"/>
          <w:bCs w:val="0"/>
          <w:sz w:val="32"/>
          <w:szCs w:val="32"/>
          <w:lang w:eastAsia="zh-CN"/>
        </w:rPr>
        <w:t>我区局际</w:t>
      </w:r>
      <w:r>
        <w:rPr>
          <w:rFonts w:hint="eastAsia" w:ascii="仿宋_GB2312" w:hAnsi="仿宋_GB2312" w:eastAsia="仿宋_GB2312" w:cs="仿宋_GB2312"/>
          <w:b w:val="0"/>
          <w:bCs w:val="0"/>
          <w:sz w:val="32"/>
          <w:szCs w:val="32"/>
        </w:rPr>
        <w:t>全民健身工作联席会议</w:t>
      </w:r>
      <w:r>
        <w:rPr>
          <w:rFonts w:hint="eastAsia" w:ascii="仿宋_GB2312" w:hAnsi="仿宋_GB2312" w:eastAsia="仿宋_GB2312" w:cs="仿宋_GB2312"/>
          <w:b w:val="0"/>
          <w:bCs w:val="0"/>
          <w:sz w:val="32"/>
          <w:szCs w:val="32"/>
          <w:lang w:eastAsia="zh-CN"/>
        </w:rPr>
        <w:t>和桂林市秀峰区全民健身领导小组</w:t>
      </w:r>
      <w:r>
        <w:rPr>
          <w:rFonts w:hint="eastAsia" w:ascii="仿宋_GB2312" w:hAnsi="仿宋_GB2312" w:eastAsia="仿宋_GB2312" w:cs="仿宋_GB2312"/>
          <w:b w:val="0"/>
          <w:bCs w:val="0"/>
          <w:sz w:val="32"/>
          <w:szCs w:val="32"/>
        </w:rPr>
        <w:t>作用，推动完善政府主导、社会协同、公众参与、法治保障的全民健身工作机制。</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人民政府将全民健身事业纳入本级经济社会发展规划，制定出台本地区全民健身实施计划，完善多元投入机制，鼓励社会力量参与全民健身公共服务体系建设。</w:t>
      </w:r>
      <w:r>
        <w:rPr>
          <w:rFonts w:hint="eastAsia" w:ascii="仿宋_GB2312" w:hAnsi="仿宋_GB2312" w:eastAsia="仿宋_GB2312" w:cs="仿宋_GB2312"/>
          <w:b w:val="0"/>
          <w:bCs w:val="0"/>
          <w:sz w:val="32"/>
          <w:szCs w:val="32"/>
          <w:lang w:eastAsia="zh-CN"/>
        </w:rPr>
        <w:t>推动市各相关单位</w:t>
      </w:r>
      <w:r>
        <w:rPr>
          <w:rFonts w:hint="eastAsia" w:ascii="仿宋_GB2312" w:hAnsi="仿宋_GB2312" w:eastAsia="仿宋_GB2312" w:cs="仿宋_GB2312"/>
          <w:b w:val="0"/>
          <w:bCs w:val="0"/>
          <w:sz w:val="32"/>
          <w:szCs w:val="32"/>
        </w:rPr>
        <w:t>将全民健身空间用地统筹纳入国土空间规划和年度用地计划，并对其优先保障。</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财政加大体育事业投入力度，重点用于全民健身工作。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）壮大全民健身人才队伍。</w:t>
      </w:r>
      <w:r>
        <w:rPr>
          <w:rFonts w:hint="eastAsia" w:ascii="仿宋_GB2312" w:hAnsi="仿宋_GB2312" w:eastAsia="仿宋_GB2312" w:cs="仿宋_GB2312"/>
          <w:b w:val="0"/>
          <w:bCs w:val="0"/>
          <w:sz w:val="32"/>
          <w:szCs w:val="32"/>
        </w:rPr>
        <w:t>创新全民健身人才培养模式，发挥互联网等科技手段在人才培训中的作用。加强健身指导、组织管理、科技研发、宣传推广、志愿服务等方面的人才培养供给。畅通各类培养渠道，引导扶持社会力量参与全民健身人才培养，加大对体育管理人员、社会体育指导员和全民健身志愿者的培训力度，搭建全民健身线上培训和交流平台，形成多元化的全民健身人才培养体系和科学评价机制。积极稳妥推进指导群众健身的教练员职称评定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）加强全民健身安全保障。</w:t>
      </w:r>
      <w:r>
        <w:rPr>
          <w:rFonts w:hint="eastAsia" w:ascii="仿宋_GB2312" w:hAnsi="仿宋_GB2312" w:eastAsia="仿宋_GB2312" w:cs="仿宋_GB2312"/>
          <w:b w:val="0"/>
          <w:bCs w:val="0"/>
          <w:sz w:val="32"/>
          <w:szCs w:val="32"/>
        </w:rPr>
        <w:t>对各类健身设施的安全运行加强监管，鼓励在公共体育场馆配置急救设备，确保各类公共体育设施开放服务达到防疫、应急、疏散、产品质量和消防安全标准。建立全民健身赛事活动安全防范、应急保障机制，执行“一赛事一方案”制度。建立户外运动安全分级管控体系。落实网络安全等级保护制度，加强全民健身相关信息系统安全保护和个人信息保护。坚持防控为先、动态调整，统筹赛事活动举办和新冠肺炎疫情防控。</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）提供全民健身智慧化服务。</w:t>
      </w:r>
      <w:r>
        <w:rPr>
          <w:rFonts w:hint="eastAsia" w:ascii="仿宋_GB2312" w:hAnsi="仿宋_GB2312" w:eastAsia="仿宋_GB2312" w:cs="仿宋_GB2312"/>
          <w:b w:val="0"/>
          <w:bCs w:val="0"/>
          <w:sz w:val="32"/>
          <w:szCs w:val="32"/>
        </w:rPr>
        <w:t>结合互联网、物联网、云计算等现代信息技术，加强服务信息平台建设，建立健身大数据采集体系，支持健康科技发展，加快全民健身信息化、智能化建设进度。引导线上体育锻炼智能产品在全民健身方面的推广运用。</w:t>
      </w:r>
    </w:p>
    <w:p>
      <w:pPr>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rPr>
      </w:pPr>
    </w:p>
    <w:p>
      <w:pPr>
        <w:pStyle w:val="2"/>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b w:val="0"/>
          <w:bCs w:val="0"/>
          <w:sz w:val="32"/>
          <w:szCs w:val="32"/>
        </w:rPr>
      </w:pPr>
    </w:p>
    <w:p>
      <w:pPr>
        <w:rPr>
          <w:rFonts w:hint="default" w:ascii="Times New Roman" w:hAnsi="Times New Roman" w:eastAsia="楷体_GB2312" w:cs="Times New Roman"/>
          <w:b/>
          <w:bCs/>
          <w:sz w:val="32"/>
          <w:szCs w:val="32"/>
        </w:rPr>
      </w:pPr>
    </w:p>
    <w:p>
      <w:pPr>
        <w:pStyle w:val="2"/>
        <w:rPr>
          <w:rFonts w:hint="eastAsia" w:ascii="Times New Roman" w:hAnsi="Times New Roman" w:eastAsia="楷体_GB2312" w:cs="Times New Roman"/>
          <w:b/>
          <w:bCs/>
          <w:sz w:val="32"/>
          <w:szCs w:val="32"/>
          <w:lang w:val="en-US" w:eastAsia="zh-CN"/>
        </w:rPr>
      </w:pPr>
      <w:bookmarkStart w:id="0" w:name="_GoBack"/>
      <w:bookmarkEnd w:id="0"/>
    </w:p>
    <w:p>
      <w:pPr>
        <w:rPr>
          <w:rFonts w:hint="default" w:ascii="Times New Roman" w:hAnsi="Times New Roman" w:eastAsia="楷体_GB2312" w:cs="Times New Roman"/>
          <w:b/>
          <w:bCs/>
          <w:sz w:val="32"/>
          <w:szCs w:val="32"/>
        </w:rPr>
      </w:pPr>
    </w:p>
    <w:p>
      <w:pPr>
        <w:pStyle w:val="2"/>
        <w:rPr>
          <w:rFonts w:hint="default" w:ascii="Times New Roman" w:hAnsi="Times New Roman" w:eastAsia="楷体_GB2312" w:cs="Times New Roman"/>
          <w:b/>
          <w:bCs/>
          <w:sz w:val="32"/>
          <w:szCs w:val="32"/>
        </w:rPr>
      </w:pPr>
    </w:p>
    <w:p>
      <w:pPr>
        <w:rPr>
          <w:rFonts w:hint="default" w:ascii="Times New Roman" w:hAnsi="Times New Roman" w:eastAsia="楷体_GB2312" w:cs="Times New Roman"/>
          <w:b/>
          <w:bCs/>
          <w:sz w:val="32"/>
          <w:szCs w:val="32"/>
        </w:rPr>
      </w:pPr>
    </w:p>
    <w:p>
      <w:pPr>
        <w:pStyle w:val="2"/>
        <w:rPr>
          <w:rFonts w:hint="default"/>
        </w:rPr>
      </w:pPr>
    </w:p>
    <w:p>
      <w:pPr>
        <w:pStyle w:val="2"/>
        <w:rPr>
          <w:rFonts w:hint="default"/>
        </w:rPr>
      </w:pPr>
    </w:p>
    <w:p>
      <w:pPr>
        <w:pStyle w:val="2"/>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楷体_GB2312" w:cs="Times New Roman"/>
          <w:b/>
          <w:bCs/>
          <w:sz w:val="32"/>
          <w:szCs w:val="32"/>
        </w:rPr>
      </w:pPr>
    </w:p>
    <w:p>
      <w:pPr>
        <w:spacing w:line="540" w:lineRule="exact"/>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 xml:space="preserve">  政府信息公开选项：</w:t>
      </w:r>
      <w:r>
        <w:rPr>
          <w:rFonts w:hint="eastAsia" w:ascii="Times New Roman" w:hAnsi="Times New Roman" w:eastAsia="楷体_GB2312" w:cs="Times New Roman"/>
          <w:b/>
          <w:bCs/>
          <w:sz w:val="32"/>
          <w:szCs w:val="32"/>
          <w:lang w:eastAsia="zh-CN"/>
        </w:rPr>
        <w:t>主动</w:t>
      </w:r>
      <w:r>
        <w:rPr>
          <w:rFonts w:hint="default" w:ascii="Times New Roman" w:hAnsi="Times New Roman" w:eastAsia="楷体_GB2312" w:cs="Times New Roman"/>
          <w:b/>
          <w:bCs/>
          <w:sz w:val="32"/>
          <w:szCs w:val="32"/>
        </w:rPr>
        <w:t>公开</w:t>
      </w:r>
    </w:p>
    <w:p>
      <w:pPr>
        <w:pBdr>
          <w:top w:val="single" w:color="auto" w:sz="6" w:space="1"/>
          <w:bottom w:val="single" w:color="auto" w:sz="6" w:space="1"/>
        </w:pBdr>
        <w:spacing w:line="440" w:lineRule="exact"/>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抄  送：区委，区人大，区政协。</w:t>
      </w:r>
    </w:p>
    <w:p>
      <w:pPr>
        <w:pBdr>
          <w:bottom w:val="single" w:color="auto" w:sz="6" w:space="1"/>
          <w:between w:val="single" w:color="auto" w:sz="6" w:space="1"/>
        </w:pBdr>
        <w:spacing w:line="440" w:lineRule="exact"/>
        <w:rPr>
          <w:rFonts w:hint="default" w:ascii="Times New Roman" w:hAnsi="Times New Roman" w:cs="Times New Roman"/>
        </w:rPr>
      </w:pPr>
      <w:r>
        <w:rPr>
          <w:rFonts w:hint="default" w:ascii="Times New Roman" w:hAnsi="Times New Roman" w:eastAsia="仿宋_GB2312" w:cs="Times New Roman"/>
          <w:sz w:val="28"/>
          <w:szCs w:val="28"/>
        </w:rPr>
        <w:t xml:space="preserve">  桂林市秀峰区人民政府办公室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eastAsia="zh-CN"/>
        </w:rPr>
        <w:t>202</w:t>
      </w:r>
      <w:r>
        <w:rPr>
          <w:rFonts w:hint="eastAsia" w:ascii="Times New Roman" w:cs="Times New Roman"/>
          <w:sz w:val="28"/>
          <w:szCs w:val="28"/>
          <w:lang w:val="en-US" w:eastAsia="zh-CN"/>
        </w:rPr>
        <w:t>2</w:t>
      </w:r>
      <w:r>
        <w:rPr>
          <w:rFonts w:hint="default" w:ascii="Times New Roman" w:hAnsi="Times New Roman" w:eastAsia="仿宋_GB2312" w:cs="Times New Roman"/>
          <w:sz w:val="28"/>
          <w:szCs w:val="28"/>
        </w:rPr>
        <w:t>年</w:t>
      </w:r>
      <w:r>
        <w:rPr>
          <w:rFonts w:hint="eastAsia" w:ascii="Times New Roman" w:cs="Times New Roman"/>
          <w:sz w:val="28"/>
          <w:szCs w:val="28"/>
          <w:lang w:val="en-US" w:eastAsia="zh-CN"/>
        </w:rPr>
        <w:t>11</w:t>
      </w:r>
      <w:r>
        <w:rPr>
          <w:rFonts w:hint="default" w:ascii="Times New Roman" w:hAnsi="Times New Roman" w:eastAsia="仿宋_GB2312" w:cs="Times New Roman"/>
          <w:sz w:val="28"/>
          <w:szCs w:val="28"/>
        </w:rPr>
        <w:t>月</w:t>
      </w:r>
      <w:r>
        <w:rPr>
          <w:rFonts w:hint="eastAsia" w:ascii="Times New Roman" w:cs="Times New Roman"/>
          <w:sz w:val="28"/>
          <w:szCs w:val="28"/>
          <w:lang w:val="en-US" w:eastAsia="zh-CN"/>
        </w:rPr>
        <w:t>1</w:t>
      </w:r>
      <w:r>
        <w:rPr>
          <w:rFonts w:hint="default" w:ascii="Times New Roman" w:hAnsi="Times New Roman" w:eastAsia="仿宋_GB2312" w:cs="Times New Roman"/>
          <w:sz w:val="28"/>
          <w:szCs w:val="28"/>
        </w:rPr>
        <w:t>日印发</w:t>
      </w:r>
    </w:p>
    <w:sectPr>
      <w:headerReference r:id="rId3" w:type="default"/>
      <w:footerReference r:id="rId4" w:type="default"/>
      <w:pgSz w:w="11906" w:h="16838"/>
      <w:pgMar w:top="1417" w:right="1134"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OWY5ZThlNGQzMWQ2NWRlOGQ2OWFlNmEwMTYzZWQifQ=="/>
  </w:docVars>
  <w:rsids>
    <w:rsidRoot w:val="03AE1F34"/>
    <w:rsid w:val="00932C80"/>
    <w:rsid w:val="031A7F1B"/>
    <w:rsid w:val="03604F54"/>
    <w:rsid w:val="03614F1F"/>
    <w:rsid w:val="03AE1F34"/>
    <w:rsid w:val="05051173"/>
    <w:rsid w:val="05185A42"/>
    <w:rsid w:val="05D95A29"/>
    <w:rsid w:val="06F370A4"/>
    <w:rsid w:val="07565F7E"/>
    <w:rsid w:val="09D43C31"/>
    <w:rsid w:val="0D017E04"/>
    <w:rsid w:val="12DC23BA"/>
    <w:rsid w:val="13137E5E"/>
    <w:rsid w:val="138541C6"/>
    <w:rsid w:val="18FC638C"/>
    <w:rsid w:val="19102CE2"/>
    <w:rsid w:val="1CC8203D"/>
    <w:rsid w:val="1CCA21DB"/>
    <w:rsid w:val="1CF807FA"/>
    <w:rsid w:val="1E4D65F8"/>
    <w:rsid w:val="1F1D7B74"/>
    <w:rsid w:val="1F4340DC"/>
    <w:rsid w:val="20CE1990"/>
    <w:rsid w:val="21EF2ACE"/>
    <w:rsid w:val="22457A01"/>
    <w:rsid w:val="22A4388E"/>
    <w:rsid w:val="252A1DA0"/>
    <w:rsid w:val="264A1647"/>
    <w:rsid w:val="26BE6160"/>
    <w:rsid w:val="27500734"/>
    <w:rsid w:val="28BC6D29"/>
    <w:rsid w:val="291E7587"/>
    <w:rsid w:val="2A2D61F0"/>
    <w:rsid w:val="2E2E3E01"/>
    <w:rsid w:val="31E10701"/>
    <w:rsid w:val="33D11937"/>
    <w:rsid w:val="353F1520"/>
    <w:rsid w:val="35936D9C"/>
    <w:rsid w:val="36330BDB"/>
    <w:rsid w:val="36616453"/>
    <w:rsid w:val="36B24501"/>
    <w:rsid w:val="37EB15AF"/>
    <w:rsid w:val="38C4184A"/>
    <w:rsid w:val="3ACA202E"/>
    <w:rsid w:val="3B197B79"/>
    <w:rsid w:val="3BC9432B"/>
    <w:rsid w:val="3CA5540E"/>
    <w:rsid w:val="3FA66C18"/>
    <w:rsid w:val="42E35327"/>
    <w:rsid w:val="42F972A1"/>
    <w:rsid w:val="43277993"/>
    <w:rsid w:val="43F6328B"/>
    <w:rsid w:val="44374614"/>
    <w:rsid w:val="465F41FD"/>
    <w:rsid w:val="46A06278"/>
    <w:rsid w:val="475C6056"/>
    <w:rsid w:val="48F24C6E"/>
    <w:rsid w:val="491200A1"/>
    <w:rsid w:val="49A463AB"/>
    <w:rsid w:val="4A010DD6"/>
    <w:rsid w:val="4A597FBE"/>
    <w:rsid w:val="4B8D2E90"/>
    <w:rsid w:val="4BD81E3A"/>
    <w:rsid w:val="4C03019A"/>
    <w:rsid w:val="4F6C403A"/>
    <w:rsid w:val="5929715A"/>
    <w:rsid w:val="5B677138"/>
    <w:rsid w:val="5B990B39"/>
    <w:rsid w:val="5BC67724"/>
    <w:rsid w:val="5E970697"/>
    <w:rsid w:val="619D4234"/>
    <w:rsid w:val="64E9430A"/>
    <w:rsid w:val="65982E22"/>
    <w:rsid w:val="66941BAA"/>
    <w:rsid w:val="6CA67ED3"/>
    <w:rsid w:val="71B971C1"/>
    <w:rsid w:val="726F2358"/>
    <w:rsid w:val="72700903"/>
    <w:rsid w:val="729A02F5"/>
    <w:rsid w:val="73E3764A"/>
    <w:rsid w:val="75284ED0"/>
    <w:rsid w:val="754E6838"/>
    <w:rsid w:val="7600295B"/>
    <w:rsid w:val="76EC245F"/>
    <w:rsid w:val="77003F73"/>
    <w:rsid w:val="7BE26238"/>
    <w:rsid w:val="7D383A93"/>
    <w:rsid w:val="7DB94E07"/>
    <w:rsid w:val="7EF7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autoSpaceDE w:val="0"/>
      <w:autoSpaceDN w:val="0"/>
      <w:spacing w:line="487" w:lineRule="exact"/>
      <w:ind w:left="975" w:hanging="243"/>
      <w:jc w:val="left"/>
      <w:outlineLvl w:val="0"/>
    </w:pPr>
    <w:rPr>
      <w:rFonts w:ascii="Microsoft JhengHei" w:hAnsi="Microsoft JhengHei" w:eastAsia="Microsoft JhengHei" w:cs="Microsoft JhengHei"/>
      <w:b/>
      <w:bCs/>
      <w:sz w:val="32"/>
      <w:szCs w:val="32"/>
      <w:lang w:val="zh-CN" w:bidi="zh-CN"/>
    </w:rPr>
  </w:style>
  <w:style w:type="paragraph" w:styleId="2">
    <w:name w:val="heading 2"/>
    <w:basedOn w:val="1"/>
    <w:next w:val="1"/>
    <w:unhideWhenUsed/>
    <w:qFormat/>
    <w:uiPriority w:val="0"/>
    <w:pPr>
      <w:keepNext/>
      <w:keepLines/>
      <w:spacing w:line="415" w:lineRule="auto"/>
      <w:outlineLvl w:val="1"/>
    </w:pPr>
    <w:rPr>
      <w:rFonts w:ascii="Arial" w:hAnsi="Arial" w:eastAsia="黑体" w:cs="Arial"/>
      <w:b/>
      <w:bCs/>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after="120" w:afterLines="0" w:afterAutospacing="0"/>
      <w:jc w:val="both"/>
    </w:pPr>
    <w:rPr>
      <w:lang w:val="en-US" w:eastAsia="zh-CN"/>
    </w:rPr>
  </w:style>
  <w:style w:type="paragraph" w:styleId="5">
    <w:name w:val="Date"/>
    <w:basedOn w:val="1"/>
    <w:next w:val="1"/>
    <w:qFormat/>
    <w:uiPriority w:val="0"/>
    <w:pPr>
      <w:ind w:left="100" w:leftChars="2500"/>
    </w:pPr>
    <w:rPr>
      <w:sz w:val="32"/>
    </w:rPr>
  </w:style>
  <w:style w:type="paragraph" w:styleId="6">
    <w:name w:val="footer"/>
    <w:basedOn w:val="1"/>
    <w:next w:val="7"/>
    <w:qFormat/>
    <w:uiPriority w:val="0"/>
    <w:pPr>
      <w:tabs>
        <w:tab w:val="center" w:pos="4153"/>
        <w:tab w:val="right" w:pos="8306"/>
      </w:tabs>
      <w:snapToGrid w:val="0"/>
      <w:jc w:val="left"/>
    </w:pPr>
    <w:rPr>
      <w:sz w:val="18"/>
      <w:szCs w:val="18"/>
    </w:rPr>
  </w:style>
  <w:style w:type="paragraph" w:styleId="7">
    <w:name w:val="Normal (Web)"/>
    <w:next w:val="8"/>
    <w:qFormat/>
    <w:uiPriority w:val="0"/>
    <w:pPr>
      <w:widowControl w:val="0"/>
      <w:spacing w:before="100" w:beforeLines="0" w:beforeAutospacing="1" w:after="100" w:afterLines="0" w:afterAutospacing="1"/>
    </w:pPr>
    <w:rPr>
      <w:rFonts w:ascii="宋体" w:hAnsi="Calibri" w:eastAsia="宋体" w:cs="Times New Roman"/>
      <w:kern w:val="2"/>
      <w:sz w:val="24"/>
      <w:szCs w:val="21"/>
      <w:lang w:val="en-US" w:eastAsia="zh-CN" w:bidi="ar-SA"/>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ind w:firstLine="420" w:firstLineChars="100"/>
      <w:jc w:val="both"/>
    </w:pPr>
    <w:rPr>
      <w:lang w:val="en-US" w:eastAsia="zh-CN"/>
    </w:rPr>
  </w:style>
  <w:style w:type="character" w:styleId="12">
    <w:name w:val="page number"/>
    <w:basedOn w:val="11"/>
    <w:qFormat/>
    <w:uiPriority w:val="0"/>
  </w:style>
  <w:style w:type="character" w:customStyle="1" w:styleId="13">
    <w:name w:val="NormalCharacter"/>
    <w:semiHidden/>
    <w:qFormat/>
    <w:locked/>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9</Pages>
  <Words>3989</Words>
  <Characters>4067</Characters>
  <Lines>0</Lines>
  <Paragraphs>0</Paragraphs>
  <TotalTime>3</TotalTime>
  <ScaleCrop>false</ScaleCrop>
  <LinksUpToDate>false</LinksUpToDate>
  <CharactersWithSpaces>4135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2020-05-20T09:10:00Z</dcterms:created>
  <dc:creator>杨丽苗</dc:creator>
  <cp:lastModifiedBy>Administrator</cp:lastModifiedBy>
  <cp:lastPrinted>2022-11-02T08:52:53Z</cp:lastPrinted>
  <dcterms:modified xsi:type="dcterms:W3CDTF">2022-11-02T08:58:44Z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A54271F674804E30B98124C1BFEBFC4B</vt:lpwstr>
  </property>
</Properties>
</file>